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9D6774">
      <w:pPr>
        <w:rPr>
          <w:rFonts w:hint="default" w:eastAsia="宋体"/>
          <w:lang w:val="en-US" w:eastAsia="zh-CN"/>
        </w:rPr>
      </w:pPr>
      <w:bookmarkStart w:id="0" w:name="_Toc1048"/>
      <w:bookmarkStart w:id="1" w:name="_Toc16573"/>
      <w:bookmarkStart w:id="2" w:name="_Toc1333"/>
      <w:r>
        <w:rPr>
          <w:rFonts w:hint="eastAsia"/>
          <w:lang w:val="en-US" w:eastAsia="zh-CN"/>
        </w:rPr>
        <w:t xml:space="preserve"> </w:t>
      </w:r>
      <w:r>
        <w:rPr>
          <w:rFonts w:hint="eastAsia"/>
          <w:sz w:val="28"/>
          <w:szCs w:val="28"/>
          <w:lang w:val="en-US" w:eastAsia="zh-CN"/>
        </w:rPr>
        <w:t xml:space="preserve"> 现场照片</w:t>
      </w:r>
    </w:p>
    <w:tbl>
      <w:tblPr>
        <w:tblStyle w:val="22"/>
        <w:tblW w:w="934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639"/>
        <w:gridCol w:w="4707"/>
      </w:tblGrid>
      <w:tr w14:paraId="6FFD81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164" w:hRule="atLeast"/>
        </w:trPr>
        <w:tc>
          <w:tcPr>
            <w:tcW w:w="4639" w:type="dxa"/>
            <w:tcBorders>
              <w:tl2br w:val="nil"/>
              <w:tr2bl w:val="nil"/>
            </w:tcBorders>
            <w:vAlign w:val="top"/>
          </w:tcPr>
          <w:p w14:paraId="2B991C6C">
            <w:pPr>
              <w:spacing w:line="240" w:lineRule="auto"/>
              <w:ind w:left="0" w:leftChars="0" w:right="0" w:rightChars="0" w:firstLine="0" w:firstLineChars="0"/>
              <w:jc w:val="center"/>
              <w:rPr>
                <w:rFonts w:hint="eastAsia"/>
                <w:sz w:val="24"/>
                <w:szCs w:val="21"/>
                <w:vertAlign w:val="baseline"/>
                <w:lang w:val="en-US" w:eastAsia="zh-CN"/>
              </w:rPr>
            </w:pPr>
            <w:r>
              <w:rPr>
                <w:rFonts w:hint="eastAsia"/>
                <w:sz w:val="24"/>
                <w:szCs w:val="21"/>
                <w:vertAlign w:val="baseline"/>
                <w:lang w:val="en-US" w:eastAsia="zh-CN"/>
              </w:rPr>
              <w:t>光伏区</w:t>
            </w:r>
          </w:p>
          <w:p w14:paraId="4BAF8A2A">
            <w:pPr>
              <w:spacing w:line="240" w:lineRule="auto"/>
              <w:ind w:left="0" w:leftChars="0" w:right="0" w:rightChars="0" w:firstLine="0" w:firstLineChars="0"/>
              <w:jc w:val="center"/>
              <w:rPr>
                <w:rFonts w:hint="default"/>
                <w:sz w:val="24"/>
                <w:szCs w:val="21"/>
                <w:vertAlign w:val="baseline"/>
                <w:lang w:val="en-US" w:eastAsia="zh-CN"/>
              </w:rPr>
            </w:pPr>
            <w:r>
              <w:rPr>
                <w:rFonts w:hint="default"/>
                <w:sz w:val="24"/>
                <w:szCs w:val="21"/>
                <w:vertAlign w:val="baseline"/>
                <w:lang w:val="en-US" w:eastAsia="zh-CN"/>
              </w:rPr>
              <w:drawing>
                <wp:inline distT="0" distB="0" distL="114300" distR="114300">
                  <wp:extent cx="2794000" cy="2330450"/>
                  <wp:effectExtent l="0" t="0" r="0" b="6350"/>
                  <wp:docPr id="1" name="图片 1" descr="e368c5eb5af8a89b12520eb63d7b9e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368c5eb5af8a89b12520eb63d7b9e8a"/>
                          <pic:cNvPicPr>
                            <a:picLocks noChangeAspect="1"/>
                          </pic:cNvPicPr>
                        </pic:nvPicPr>
                        <pic:blipFill>
                          <a:blip r:embed="rId18"/>
                          <a:srcRect b="5205"/>
                          <a:stretch>
                            <a:fillRect/>
                          </a:stretch>
                        </pic:blipFill>
                        <pic:spPr>
                          <a:xfrm>
                            <a:off x="0" y="0"/>
                            <a:ext cx="2794000" cy="2330450"/>
                          </a:xfrm>
                          <a:prstGeom prst="rect">
                            <a:avLst/>
                          </a:prstGeom>
                        </pic:spPr>
                      </pic:pic>
                    </a:graphicData>
                  </a:graphic>
                </wp:inline>
              </w:drawing>
            </w:r>
          </w:p>
        </w:tc>
        <w:tc>
          <w:tcPr>
            <w:tcW w:w="4707" w:type="dxa"/>
            <w:tcBorders>
              <w:tl2br w:val="nil"/>
              <w:tr2bl w:val="nil"/>
            </w:tcBorders>
            <w:vAlign w:val="top"/>
          </w:tcPr>
          <w:p w14:paraId="2FE02044">
            <w:pPr>
              <w:ind w:left="0" w:leftChars="0" w:right="0" w:rightChars="0" w:firstLine="0" w:firstLineChars="0"/>
              <w:jc w:val="center"/>
              <w:rPr>
                <w:rFonts w:hint="eastAsia"/>
                <w:sz w:val="24"/>
                <w:szCs w:val="21"/>
                <w:vertAlign w:val="baseline"/>
                <w:lang w:val="en-US" w:eastAsia="zh-CN"/>
              </w:rPr>
            </w:pPr>
            <w:r>
              <w:rPr>
                <w:rFonts w:hint="eastAsia"/>
                <w:sz w:val="24"/>
                <w:szCs w:val="21"/>
                <w:vertAlign w:val="baseline"/>
                <w:lang w:val="en-US" w:eastAsia="zh-CN"/>
              </w:rPr>
              <w:t>围栏及安全警示标牌设置</w:t>
            </w:r>
          </w:p>
          <w:p w14:paraId="3B39F0AE">
            <w:pPr>
              <w:spacing w:line="240" w:lineRule="auto"/>
              <w:ind w:left="0" w:leftChars="0" w:right="0" w:rightChars="0" w:firstLine="0" w:firstLineChars="0"/>
              <w:jc w:val="center"/>
              <w:rPr>
                <w:rFonts w:hint="default"/>
                <w:sz w:val="24"/>
                <w:szCs w:val="21"/>
                <w:vertAlign w:val="baseline"/>
                <w:lang w:val="en-US" w:eastAsia="zh-CN"/>
              </w:rPr>
            </w:pPr>
            <w:r>
              <w:rPr>
                <w:rFonts w:hint="default"/>
                <w:sz w:val="24"/>
                <w:szCs w:val="21"/>
                <w:vertAlign w:val="baseline"/>
                <w:lang w:val="en-US" w:eastAsia="zh-CN"/>
              </w:rPr>
              <w:drawing>
                <wp:inline distT="0" distB="0" distL="114300" distR="114300">
                  <wp:extent cx="2818765" cy="2214880"/>
                  <wp:effectExtent l="0" t="0" r="635" b="7620"/>
                  <wp:docPr id="6" name="图片 6" descr="5d4315361eeea00cff5ab44ebf2bbe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d4315361eeea00cff5ab44ebf2bbe80"/>
                          <pic:cNvPicPr>
                            <a:picLocks noChangeAspect="1"/>
                          </pic:cNvPicPr>
                        </pic:nvPicPr>
                        <pic:blipFill>
                          <a:blip r:embed="rId19"/>
                          <a:srcRect b="7143"/>
                          <a:stretch>
                            <a:fillRect/>
                          </a:stretch>
                        </pic:blipFill>
                        <pic:spPr>
                          <a:xfrm>
                            <a:off x="0" y="0"/>
                            <a:ext cx="2818765" cy="2214880"/>
                          </a:xfrm>
                          <a:prstGeom prst="rect">
                            <a:avLst/>
                          </a:prstGeom>
                        </pic:spPr>
                      </pic:pic>
                    </a:graphicData>
                  </a:graphic>
                </wp:inline>
              </w:drawing>
            </w:r>
          </w:p>
        </w:tc>
      </w:tr>
      <w:tr w14:paraId="499B8D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12" w:hRule="atLeast"/>
        </w:trPr>
        <w:tc>
          <w:tcPr>
            <w:tcW w:w="4639" w:type="dxa"/>
            <w:tcBorders>
              <w:tl2br w:val="nil"/>
              <w:tr2bl w:val="nil"/>
            </w:tcBorders>
            <w:vAlign w:val="top"/>
          </w:tcPr>
          <w:p w14:paraId="2B7E1F32">
            <w:pPr>
              <w:spacing w:line="240" w:lineRule="auto"/>
              <w:ind w:left="0" w:leftChars="0" w:right="0" w:rightChars="0" w:firstLine="0" w:firstLineChars="0"/>
              <w:jc w:val="center"/>
              <w:rPr>
                <w:rFonts w:hint="eastAsia" w:cs="Times New Roman"/>
                <w:sz w:val="24"/>
                <w:szCs w:val="21"/>
                <w:vertAlign w:val="baseline"/>
                <w:lang w:val="en-US" w:eastAsia="zh-CN"/>
              </w:rPr>
            </w:pPr>
            <w:r>
              <w:rPr>
                <w:rFonts w:hint="eastAsia" w:cs="Times New Roman"/>
                <w:sz w:val="24"/>
                <w:szCs w:val="21"/>
                <w:vertAlign w:val="baseline"/>
                <w:lang w:val="en-US" w:eastAsia="zh-CN"/>
              </w:rPr>
              <w:t>箱变</w:t>
            </w:r>
            <w:r>
              <w:rPr>
                <w:rFonts w:hint="eastAsia" w:ascii="Times New Roman" w:hAnsi="Times New Roman" w:eastAsia="宋体" w:cs="Times New Roman"/>
                <w:vertAlign w:val="baseline"/>
                <w:lang w:val="en-US" w:eastAsia="zh-CN"/>
              </w:rPr>
              <w:drawing>
                <wp:inline distT="0" distB="0" distL="114300" distR="114300">
                  <wp:extent cx="2618740" cy="2031365"/>
                  <wp:effectExtent l="0" t="0" r="10160" b="635"/>
                  <wp:docPr id="24" name="图片 4" descr="IMG20250907165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 descr="IMG20250907165451"/>
                          <pic:cNvPicPr>
                            <a:picLocks noChangeAspect="1"/>
                          </pic:cNvPicPr>
                        </pic:nvPicPr>
                        <pic:blipFill>
                          <a:blip r:embed="rId20"/>
                          <a:stretch>
                            <a:fillRect/>
                          </a:stretch>
                        </pic:blipFill>
                        <pic:spPr>
                          <a:xfrm>
                            <a:off x="0" y="0"/>
                            <a:ext cx="2618740" cy="2031365"/>
                          </a:xfrm>
                          <a:prstGeom prst="rect">
                            <a:avLst/>
                          </a:prstGeom>
                          <a:noFill/>
                          <a:ln>
                            <a:noFill/>
                          </a:ln>
                        </pic:spPr>
                      </pic:pic>
                    </a:graphicData>
                  </a:graphic>
                </wp:inline>
              </w:drawing>
            </w:r>
          </w:p>
        </w:tc>
        <w:tc>
          <w:tcPr>
            <w:tcW w:w="4707" w:type="dxa"/>
            <w:tcBorders>
              <w:tl2br w:val="nil"/>
              <w:tr2bl w:val="nil"/>
            </w:tcBorders>
            <w:vAlign w:val="top"/>
          </w:tcPr>
          <w:p w14:paraId="2713FEE4">
            <w:pPr>
              <w:spacing w:line="240" w:lineRule="auto"/>
              <w:ind w:left="0" w:leftChars="0" w:right="0" w:rightChars="0" w:firstLine="0" w:firstLineChars="0"/>
              <w:jc w:val="center"/>
              <w:rPr>
                <w:rFonts w:hint="eastAsia" w:cs="Times New Roman"/>
                <w:sz w:val="24"/>
                <w:szCs w:val="21"/>
                <w:vertAlign w:val="baseline"/>
                <w:lang w:val="en-US" w:eastAsia="zh-CN"/>
              </w:rPr>
            </w:pPr>
            <w:r>
              <w:rPr>
                <w:rFonts w:hint="eastAsia" w:cs="Times New Roman"/>
                <w:sz w:val="24"/>
                <w:szCs w:val="21"/>
                <w:vertAlign w:val="baseline"/>
                <w:lang w:val="en-US" w:eastAsia="zh-CN"/>
              </w:rPr>
              <w:t>排水沟</w:t>
            </w:r>
          </w:p>
          <w:p w14:paraId="08A2B695">
            <w:pPr>
              <w:spacing w:line="240" w:lineRule="auto"/>
              <w:ind w:left="0" w:leftChars="0" w:right="0" w:rightChars="0" w:firstLine="0" w:firstLineChars="0"/>
              <w:jc w:val="center"/>
              <w:rPr>
                <w:rFonts w:hint="eastAsia" w:cs="Times New Roman"/>
                <w:sz w:val="24"/>
                <w:szCs w:val="21"/>
                <w:vertAlign w:val="baseline"/>
                <w:lang w:val="en-US" w:eastAsia="zh-CN"/>
              </w:rPr>
            </w:pPr>
            <w:r>
              <w:rPr>
                <w:rFonts w:hint="eastAsia" w:cs="Times New Roman"/>
                <w:sz w:val="24"/>
                <w:szCs w:val="21"/>
                <w:vertAlign w:val="baseline"/>
                <w:lang w:val="en-US" w:eastAsia="zh-CN"/>
              </w:rPr>
              <w:drawing>
                <wp:inline distT="0" distB="0" distL="114300" distR="114300">
                  <wp:extent cx="2818765" cy="1993900"/>
                  <wp:effectExtent l="0" t="0" r="635" b="0"/>
                  <wp:docPr id="16" name="图片 16" descr="e2edfe12c0351c33f985960bcc9ed0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e2edfe12c0351c33f985960bcc9ed0bf"/>
                          <pic:cNvPicPr>
                            <a:picLocks noChangeAspect="1"/>
                          </pic:cNvPicPr>
                        </pic:nvPicPr>
                        <pic:blipFill>
                          <a:blip r:embed="rId21"/>
                          <a:srcRect b="10015"/>
                          <a:stretch>
                            <a:fillRect/>
                          </a:stretch>
                        </pic:blipFill>
                        <pic:spPr>
                          <a:xfrm>
                            <a:off x="0" y="0"/>
                            <a:ext cx="2818765" cy="1993900"/>
                          </a:xfrm>
                          <a:prstGeom prst="rect">
                            <a:avLst/>
                          </a:prstGeom>
                        </pic:spPr>
                      </pic:pic>
                    </a:graphicData>
                  </a:graphic>
                </wp:inline>
              </w:drawing>
            </w:r>
          </w:p>
        </w:tc>
      </w:tr>
      <w:tr w14:paraId="1024A9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83" w:hRule="atLeast"/>
        </w:trPr>
        <w:tc>
          <w:tcPr>
            <w:tcW w:w="4639" w:type="dxa"/>
            <w:tcBorders>
              <w:tl2br w:val="nil"/>
              <w:tr2bl w:val="nil"/>
            </w:tcBorders>
            <w:vAlign w:val="top"/>
          </w:tcPr>
          <w:p w14:paraId="3BE12B54">
            <w:pPr>
              <w:spacing w:line="240" w:lineRule="auto"/>
              <w:ind w:left="0" w:leftChars="0" w:right="0" w:rightChars="0" w:firstLine="0" w:firstLineChars="0"/>
              <w:jc w:val="center"/>
              <w:rPr>
                <w:rFonts w:hint="default" w:cs="Times New Roman"/>
                <w:sz w:val="24"/>
                <w:szCs w:val="21"/>
                <w:vertAlign w:val="baseline"/>
                <w:lang w:val="en-US" w:eastAsia="zh-CN"/>
              </w:rPr>
            </w:pPr>
            <w:r>
              <w:rPr>
                <w:rFonts w:hint="eastAsia" w:cs="Times New Roman"/>
                <w:sz w:val="24"/>
                <w:szCs w:val="21"/>
                <w:vertAlign w:val="baseline"/>
                <w:lang w:val="en-US" w:eastAsia="zh-CN"/>
              </w:rPr>
              <w:t>光伏区道路</w:t>
            </w:r>
            <w:r>
              <w:rPr>
                <w:rFonts w:hint="default" w:cs="Times New Roman"/>
                <w:sz w:val="24"/>
                <w:szCs w:val="21"/>
                <w:vertAlign w:val="baseline"/>
                <w:lang w:val="en-US" w:eastAsia="zh-CN"/>
              </w:rPr>
              <w:drawing>
                <wp:inline distT="0" distB="0" distL="114300" distR="114300">
                  <wp:extent cx="2760345" cy="2326640"/>
                  <wp:effectExtent l="0" t="0" r="8255" b="10160"/>
                  <wp:docPr id="18" name="图片 18" descr="ae296451e3e05b6d844190a7b2278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ae296451e3e05b6d844190a7b2278879"/>
                          <pic:cNvPicPr>
                            <a:picLocks noChangeAspect="1"/>
                          </pic:cNvPicPr>
                        </pic:nvPicPr>
                        <pic:blipFill>
                          <a:blip r:embed="rId22"/>
                          <a:srcRect b="7790"/>
                          <a:stretch>
                            <a:fillRect/>
                          </a:stretch>
                        </pic:blipFill>
                        <pic:spPr>
                          <a:xfrm>
                            <a:off x="0" y="0"/>
                            <a:ext cx="2760345" cy="2326640"/>
                          </a:xfrm>
                          <a:prstGeom prst="rect">
                            <a:avLst/>
                          </a:prstGeom>
                        </pic:spPr>
                      </pic:pic>
                    </a:graphicData>
                  </a:graphic>
                </wp:inline>
              </w:drawing>
            </w:r>
          </w:p>
        </w:tc>
        <w:tc>
          <w:tcPr>
            <w:tcW w:w="4707" w:type="dxa"/>
            <w:tcBorders>
              <w:tl2br w:val="nil"/>
              <w:tr2bl w:val="nil"/>
            </w:tcBorders>
            <w:vAlign w:val="top"/>
          </w:tcPr>
          <w:p w14:paraId="1957E461">
            <w:pPr>
              <w:spacing w:line="240" w:lineRule="auto"/>
              <w:ind w:left="0" w:leftChars="0" w:right="0" w:rightChars="0" w:firstLine="0" w:firstLineChars="0"/>
              <w:jc w:val="center"/>
              <w:rPr>
                <w:rFonts w:hint="default"/>
                <w:vertAlign w:val="baseline"/>
                <w:lang w:val="en-US" w:eastAsia="zh-CN"/>
              </w:rPr>
            </w:pPr>
            <w:r>
              <w:rPr>
                <w:rFonts w:hint="eastAsia"/>
                <w:sz w:val="24"/>
                <w:szCs w:val="24"/>
                <w:vertAlign w:val="baseline"/>
                <w:lang w:val="en-US" w:eastAsia="zh-CN"/>
              </w:rPr>
              <w:t>逆变器</w:t>
            </w:r>
            <w:r>
              <w:rPr>
                <w:rFonts w:hint="eastAsia" w:ascii="Times New Roman" w:hAnsi="Times New Roman" w:eastAsia="宋体" w:cs="Times New Roman"/>
                <w:vertAlign w:val="baseline"/>
                <w:lang w:val="en-US" w:eastAsia="zh-CN"/>
              </w:rPr>
              <w:drawing>
                <wp:inline distT="0" distB="0" distL="114300" distR="114300">
                  <wp:extent cx="2875915" cy="2318385"/>
                  <wp:effectExtent l="0" t="0" r="6985" b="5715"/>
                  <wp:docPr id="27" name="图片 5" descr="IMG2025090717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5" descr="IMG20250907170046"/>
                          <pic:cNvPicPr>
                            <a:picLocks noChangeAspect="1"/>
                          </pic:cNvPicPr>
                        </pic:nvPicPr>
                        <pic:blipFill>
                          <a:blip r:embed="rId23"/>
                          <a:stretch>
                            <a:fillRect/>
                          </a:stretch>
                        </pic:blipFill>
                        <pic:spPr>
                          <a:xfrm>
                            <a:off x="0" y="0"/>
                            <a:ext cx="2875915" cy="2318385"/>
                          </a:xfrm>
                          <a:prstGeom prst="rect">
                            <a:avLst/>
                          </a:prstGeom>
                          <a:noFill/>
                          <a:ln>
                            <a:noFill/>
                          </a:ln>
                        </pic:spPr>
                      </pic:pic>
                    </a:graphicData>
                  </a:graphic>
                </wp:inline>
              </w:drawing>
            </w:r>
          </w:p>
        </w:tc>
      </w:tr>
    </w:tbl>
    <w:p w14:paraId="2CD14C76">
      <w:pPr>
        <w:spacing w:line="240" w:lineRule="auto"/>
        <w:ind w:left="0" w:leftChars="0" w:right="0" w:rightChars="0" w:firstLine="0" w:firstLineChars="0"/>
        <w:jc w:val="center"/>
        <w:rPr>
          <w:rFonts w:hint="eastAsia" w:cs="Times New Roman"/>
          <w:sz w:val="24"/>
          <w:szCs w:val="21"/>
          <w:vertAlign w:val="baseline"/>
          <w:lang w:val="en-US" w:eastAsia="zh-CN"/>
        </w:rPr>
        <w:sectPr>
          <w:footerReference r:id="rId3" w:type="first"/>
          <w:pgSz w:w="11906" w:h="16838"/>
          <w:pgMar w:top="1417" w:right="1417" w:bottom="1417" w:left="1587" w:header="851" w:footer="992" w:gutter="0"/>
          <w:cols w:space="425" w:num="1"/>
          <w:titlePg/>
          <w:docGrid w:type="lines" w:linePitch="312" w:charSpace="0"/>
        </w:sectPr>
      </w:pPr>
    </w:p>
    <w:tbl>
      <w:tblPr>
        <w:tblStyle w:val="22"/>
        <w:tblW w:w="934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639"/>
        <w:gridCol w:w="4707"/>
      </w:tblGrid>
      <w:tr w14:paraId="1A59C8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98" w:hRule="atLeast"/>
        </w:trPr>
        <w:tc>
          <w:tcPr>
            <w:tcW w:w="4639" w:type="dxa"/>
            <w:tcBorders>
              <w:tl2br w:val="nil"/>
              <w:tr2bl w:val="nil"/>
            </w:tcBorders>
            <w:vAlign w:val="top"/>
          </w:tcPr>
          <w:p w14:paraId="67FE4310">
            <w:pPr>
              <w:spacing w:line="240" w:lineRule="auto"/>
              <w:ind w:left="0" w:leftChars="0" w:right="0" w:rightChars="0" w:firstLine="0" w:firstLineChars="0"/>
              <w:jc w:val="center"/>
              <w:rPr>
                <w:rFonts w:hint="default" w:cs="Times New Roman"/>
                <w:sz w:val="24"/>
                <w:szCs w:val="21"/>
                <w:vertAlign w:val="baseline"/>
                <w:lang w:val="en-US" w:eastAsia="zh-CN"/>
              </w:rPr>
            </w:pPr>
            <w:r>
              <w:rPr>
                <w:rFonts w:hint="eastAsia" w:cs="Times New Roman"/>
                <w:sz w:val="24"/>
                <w:szCs w:val="21"/>
                <w:vertAlign w:val="baseline"/>
                <w:lang w:val="en-US" w:eastAsia="zh-CN"/>
              </w:rPr>
              <w:t>升压站配电预制仓</w:t>
            </w:r>
            <w:r>
              <w:rPr>
                <w:rFonts w:hint="eastAsia" w:eastAsia="宋体"/>
                <w:vertAlign w:val="baseline"/>
                <w:lang w:eastAsia="zh-CN"/>
              </w:rPr>
              <w:drawing>
                <wp:inline distT="0" distB="0" distL="114300" distR="114300">
                  <wp:extent cx="2867660" cy="2272665"/>
                  <wp:effectExtent l="0" t="0" r="2540" b="635"/>
                  <wp:docPr id="19" name="图片 1" descr="IMG20250907153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 descr="IMG20250907153010"/>
                          <pic:cNvPicPr>
                            <a:picLocks noChangeAspect="1"/>
                          </pic:cNvPicPr>
                        </pic:nvPicPr>
                        <pic:blipFill>
                          <a:blip r:embed="rId24"/>
                          <a:stretch>
                            <a:fillRect/>
                          </a:stretch>
                        </pic:blipFill>
                        <pic:spPr>
                          <a:xfrm>
                            <a:off x="0" y="0"/>
                            <a:ext cx="2867660" cy="2272665"/>
                          </a:xfrm>
                          <a:prstGeom prst="rect">
                            <a:avLst/>
                          </a:prstGeom>
                          <a:noFill/>
                          <a:ln>
                            <a:noFill/>
                          </a:ln>
                        </pic:spPr>
                      </pic:pic>
                    </a:graphicData>
                  </a:graphic>
                </wp:inline>
              </w:drawing>
            </w:r>
          </w:p>
        </w:tc>
        <w:tc>
          <w:tcPr>
            <w:tcW w:w="4707" w:type="dxa"/>
            <w:tcBorders>
              <w:tl2br w:val="nil"/>
              <w:tr2bl w:val="nil"/>
            </w:tcBorders>
            <w:vAlign w:val="top"/>
          </w:tcPr>
          <w:p w14:paraId="03E5E1E0">
            <w:pPr>
              <w:spacing w:line="240" w:lineRule="auto"/>
              <w:ind w:left="0" w:leftChars="0" w:right="0" w:rightChars="0" w:firstLine="0" w:firstLineChars="0"/>
              <w:jc w:val="center"/>
              <w:rPr>
                <w:rFonts w:hint="default" w:cs="Times New Roman"/>
                <w:sz w:val="24"/>
                <w:szCs w:val="21"/>
                <w:vertAlign w:val="baseline"/>
                <w:lang w:val="en-US" w:eastAsia="zh-CN"/>
              </w:rPr>
            </w:pPr>
            <w:r>
              <w:rPr>
                <w:rFonts w:hint="eastAsia" w:cs="Times New Roman"/>
                <w:sz w:val="24"/>
                <w:szCs w:val="21"/>
                <w:vertAlign w:val="baseline"/>
                <w:lang w:val="en-US" w:eastAsia="zh-CN"/>
              </w:rPr>
              <w:t>主变压器</w:t>
            </w:r>
            <w:r>
              <w:rPr>
                <w:rFonts w:hint="eastAsia" w:eastAsia="宋体"/>
                <w:vertAlign w:val="baseline"/>
                <w:lang w:eastAsia="zh-CN"/>
              </w:rPr>
              <w:drawing>
                <wp:inline distT="0" distB="0" distL="114300" distR="114300">
                  <wp:extent cx="2875915" cy="2318385"/>
                  <wp:effectExtent l="0" t="0" r="6985" b="5715"/>
                  <wp:docPr id="20" name="图片 2" descr="IMG20250907152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descr="IMG20250907152402"/>
                          <pic:cNvPicPr>
                            <a:picLocks noChangeAspect="1"/>
                          </pic:cNvPicPr>
                        </pic:nvPicPr>
                        <pic:blipFill>
                          <a:blip r:embed="rId25"/>
                          <a:stretch>
                            <a:fillRect/>
                          </a:stretch>
                        </pic:blipFill>
                        <pic:spPr>
                          <a:xfrm>
                            <a:off x="0" y="0"/>
                            <a:ext cx="2875915" cy="2318385"/>
                          </a:xfrm>
                          <a:prstGeom prst="rect">
                            <a:avLst/>
                          </a:prstGeom>
                          <a:noFill/>
                          <a:ln>
                            <a:noFill/>
                          </a:ln>
                        </pic:spPr>
                      </pic:pic>
                    </a:graphicData>
                  </a:graphic>
                </wp:inline>
              </w:drawing>
            </w:r>
          </w:p>
        </w:tc>
      </w:tr>
    </w:tbl>
    <w:p w14:paraId="0E5151DE">
      <w:pPr>
        <w:bidi w:val="0"/>
        <w:rPr>
          <w:rFonts w:hint="default"/>
          <w:lang w:val="en-US" w:eastAsia="zh-CN"/>
        </w:rPr>
      </w:pPr>
    </w:p>
    <w:tbl>
      <w:tblPr>
        <w:tblStyle w:val="22"/>
        <w:tblW w:w="934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639"/>
        <w:gridCol w:w="4707"/>
      </w:tblGrid>
      <w:tr w14:paraId="6A090E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1" w:hRule="atLeast"/>
        </w:trPr>
        <w:tc>
          <w:tcPr>
            <w:tcW w:w="4639" w:type="dxa"/>
            <w:tcBorders>
              <w:tl2br w:val="nil"/>
              <w:tr2bl w:val="nil"/>
            </w:tcBorders>
            <w:vAlign w:val="top"/>
          </w:tcPr>
          <w:p w14:paraId="79B4857E">
            <w:pPr>
              <w:spacing w:line="240" w:lineRule="auto"/>
              <w:ind w:left="0" w:leftChars="0" w:right="0" w:rightChars="0" w:firstLine="0" w:firstLineChars="0"/>
              <w:jc w:val="center"/>
              <w:rPr>
                <w:rFonts w:hint="default" w:cs="Times New Roman"/>
                <w:sz w:val="24"/>
                <w:szCs w:val="21"/>
                <w:vertAlign w:val="baseline"/>
                <w:lang w:val="en-US" w:eastAsia="zh-CN"/>
              </w:rPr>
            </w:pPr>
            <w:r>
              <w:rPr>
                <w:rFonts w:hint="eastAsia" w:cs="Times New Roman"/>
                <w:sz w:val="24"/>
                <w:szCs w:val="21"/>
                <w:vertAlign w:val="baseline"/>
                <w:lang w:val="en-US" w:eastAsia="zh-CN"/>
              </w:rPr>
              <w:t>消防水箱</w:t>
            </w:r>
            <w:r>
              <w:rPr>
                <w:rFonts w:hint="eastAsia" w:eastAsia="宋体"/>
                <w:vertAlign w:val="baseline"/>
                <w:lang w:val="en-US" w:eastAsia="zh-CN"/>
              </w:rPr>
              <w:drawing>
                <wp:inline distT="0" distB="0" distL="114300" distR="114300">
                  <wp:extent cx="2642870" cy="2349500"/>
                  <wp:effectExtent l="0" t="0" r="11430" b="0"/>
                  <wp:docPr id="21" name="图片 3" descr="IMG20250907153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 descr="IMG20250907153647"/>
                          <pic:cNvPicPr>
                            <a:picLocks noChangeAspect="1"/>
                          </pic:cNvPicPr>
                        </pic:nvPicPr>
                        <pic:blipFill>
                          <a:blip r:embed="rId26"/>
                          <a:stretch>
                            <a:fillRect/>
                          </a:stretch>
                        </pic:blipFill>
                        <pic:spPr>
                          <a:xfrm>
                            <a:off x="0" y="0"/>
                            <a:ext cx="2642870" cy="2349500"/>
                          </a:xfrm>
                          <a:prstGeom prst="rect">
                            <a:avLst/>
                          </a:prstGeom>
                          <a:noFill/>
                          <a:ln>
                            <a:noFill/>
                          </a:ln>
                        </pic:spPr>
                      </pic:pic>
                    </a:graphicData>
                  </a:graphic>
                </wp:inline>
              </w:drawing>
            </w:r>
          </w:p>
        </w:tc>
        <w:tc>
          <w:tcPr>
            <w:tcW w:w="4707" w:type="dxa"/>
            <w:tcBorders>
              <w:tl2br w:val="nil"/>
              <w:tr2bl w:val="nil"/>
            </w:tcBorders>
            <w:vAlign w:val="top"/>
          </w:tcPr>
          <w:p w14:paraId="45C840FD">
            <w:pPr>
              <w:spacing w:line="240" w:lineRule="auto"/>
              <w:ind w:left="0" w:leftChars="0" w:right="0" w:rightChars="0" w:firstLine="0" w:firstLineChars="0"/>
              <w:jc w:val="center"/>
              <w:rPr>
                <w:rFonts w:hint="default"/>
                <w:vertAlign w:val="baseline"/>
                <w:lang w:val="en-US" w:eastAsia="zh-CN"/>
              </w:rPr>
            </w:pPr>
            <w:r>
              <w:rPr>
                <w:rFonts w:hint="eastAsia"/>
                <w:vertAlign w:val="baseline"/>
                <w:lang w:val="en-US" w:eastAsia="zh-CN"/>
              </w:rPr>
              <w:t>消防报警系统</w:t>
            </w:r>
            <w:r>
              <w:rPr>
                <w:rFonts w:hint="eastAsia" w:eastAsia="宋体"/>
                <w:vertAlign w:val="baseline"/>
                <w:lang w:eastAsia="zh-CN"/>
              </w:rPr>
              <w:drawing>
                <wp:inline distT="0" distB="0" distL="114300" distR="114300">
                  <wp:extent cx="2714625" cy="2317750"/>
                  <wp:effectExtent l="0" t="0" r="3175" b="6350"/>
                  <wp:docPr id="28" name="图片 6" descr="IMG20250907154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6" descr="IMG20250907154259"/>
                          <pic:cNvPicPr>
                            <a:picLocks noChangeAspect="1"/>
                          </pic:cNvPicPr>
                        </pic:nvPicPr>
                        <pic:blipFill>
                          <a:blip r:embed="rId27"/>
                          <a:stretch>
                            <a:fillRect/>
                          </a:stretch>
                        </pic:blipFill>
                        <pic:spPr>
                          <a:xfrm>
                            <a:off x="0" y="0"/>
                            <a:ext cx="2714625" cy="2317750"/>
                          </a:xfrm>
                          <a:prstGeom prst="rect">
                            <a:avLst/>
                          </a:prstGeom>
                          <a:noFill/>
                          <a:ln>
                            <a:noFill/>
                          </a:ln>
                        </pic:spPr>
                      </pic:pic>
                    </a:graphicData>
                  </a:graphic>
                </wp:inline>
              </w:drawing>
            </w:r>
          </w:p>
        </w:tc>
      </w:tr>
      <w:tr w14:paraId="66D4BC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5" w:hRule="atLeast"/>
        </w:trPr>
        <w:tc>
          <w:tcPr>
            <w:tcW w:w="4639" w:type="dxa"/>
            <w:tcBorders>
              <w:tl2br w:val="nil"/>
              <w:tr2bl w:val="nil"/>
            </w:tcBorders>
            <w:vAlign w:val="top"/>
          </w:tcPr>
          <w:p w14:paraId="14747B68">
            <w:pPr>
              <w:ind w:left="0" w:leftChars="0" w:right="0" w:rightChars="0" w:firstLine="0" w:firstLineChars="0"/>
              <w:jc w:val="center"/>
              <w:rPr>
                <w:rFonts w:hint="default"/>
                <w:lang w:val="en-US" w:eastAsia="zh-CN"/>
              </w:rPr>
            </w:pPr>
            <w:r>
              <w:rPr>
                <w:rFonts w:hint="eastAsia"/>
                <w:lang w:val="en-US" w:eastAsia="zh-CN"/>
              </w:rPr>
              <w:t>评价人员照片（中间：周忠菊）</w:t>
            </w:r>
          </w:p>
          <w:p w14:paraId="2010AAFD">
            <w:pPr>
              <w:pStyle w:val="10"/>
              <w:spacing w:line="240" w:lineRule="auto"/>
              <w:rPr>
                <w:rFonts w:hint="eastAsia"/>
                <w:lang w:val="en-US" w:eastAsia="zh-CN"/>
              </w:rPr>
            </w:pPr>
            <w:r>
              <w:rPr>
                <w:rFonts w:hint="default"/>
                <w:color w:val="000000" w:themeColor="text1"/>
                <w:lang w:val="en-US" w:eastAsia="zh-CN"/>
                <w14:textFill>
                  <w14:solidFill>
                    <w14:schemeClr w14:val="tx1"/>
                  </w14:solidFill>
                </w14:textFill>
              </w:rPr>
              <w:drawing>
                <wp:inline distT="0" distB="0" distL="114300" distR="114300">
                  <wp:extent cx="2672715" cy="1905000"/>
                  <wp:effectExtent l="0" t="0" r="6985" b="0"/>
                  <wp:docPr id="4" name="图片 4" descr="93023f418d41f6238c47427497dc5a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93023f418d41f6238c47427497dc5a5b"/>
                          <pic:cNvPicPr>
                            <a:picLocks noChangeAspect="1"/>
                          </pic:cNvPicPr>
                        </pic:nvPicPr>
                        <pic:blipFill>
                          <a:blip r:embed="rId28"/>
                          <a:stretch>
                            <a:fillRect/>
                          </a:stretch>
                        </pic:blipFill>
                        <pic:spPr>
                          <a:xfrm>
                            <a:off x="0" y="0"/>
                            <a:ext cx="2672715" cy="1905000"/>
                          </a:xfrm>
                          <a:prstGeom prst="rect">
                            <a:avLst/>
                          </a:prstGeom>
                        </pic:spPr>
                      </pic:pic>
                    </a:graphicData>
                  </a:graphic>
                </wp:inline>
              </w:drawing>
            </w:r>
          </w:p>
        </w:tc>
        <w:tc>
          <w:tcPr>
            <w:tcW w:w="4707" w:type="dxa"/>
            <w:tcBorders>
              <w:tl2br w:val="nil"/>
              <w:tr2bl w:val="nil"/>
            </w:tcBorders>
            <w:vAlign w:val="top"/>
          </w:tcPr>
          <w:p w14:paraId="0267D4B2">
            <w:pPr>
              <w:ind w:left="0" w:leftChars="0" w:right="0" w:rightChars="0" w:firstLine="0" w:firstLineChars="0"/>
              <w:jc w:val="center"/>
              <w:rPr>
                <w:rFonts w:hint="eastAsia"/>
                <w:color w:val="auto"/>
                <w:highlight w:val="none"/>
                <w:lang w:val="en-US" w:eastAsia="zh-CN"/>
              </w:rPr>
            </w:pPr>
            <w:r>
              <w:rPr>
                <w:rFonts w:hint="eastAsia"/>
                <w:color w:val="auto"/>
                <w:highlight w:val="none"/>
                <w:lang w:val="en-US" w:eastAsia="zh-CN"/>
              </w:rPr>
              <w:t>评价人员照片（右：李毅雄）</w:t>
            </w:r>
          </w:p>
          <w:p w14:paraId="3508C058">
            <w:pPr>
              <w:spacing w:line="240" w:lineRule="auto"/>
              <w:ind w:left="0" w:leftChars="0" w:right="0" w:rightChars="0" w:firstLine="0" w:firstLineChars="0"/>
              <w:jc w:val="center"/>
              <w:rPr>
                <w:rFonts w:hint="eastAsia"/>
                <w:color w:val="auto"/>
                <w:highlight w:val="none"/>
                <w:lang w:val="en-US" w:eastAsia="zh-CN"/>
              </w:rPr>
            </w:pPr>
            <w:r>
              <w:rPr>
                <w:rFonts w:hint="eastAsia"/>
                <w:color w:val="auto"/>
                <w:highlight w:val="none"/>
                <w:lang w:val="en-US" w:eastAsia="zh-CN"/>
              </w:rPr>
              <w:drawing>
                <wp:inline distT="0" distB="0" distL="114300" distR="114300">
                  <wp:extent cx="2660650" cy="1912620"/>
                  <wp:effectExtent l="0" t="0" r="6350" b="5080"/>
                  <wp:docPr id="5" name="图片 5" descr="96607169dedf3716914a27d6f0acf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96607169dedf3716914a27d6f0acfb22"/>
                          <pic:cNvPicPr>
                            <a:picLocks noChangeAspect="1"/>
                          </pic:cNvPicPr>
                        </pic:nvPicPr>
                        <pic:blipFill>
                          <a:blip r:embed="rId29"/>
                          <a:stretch>
                            <a:fillRect/>
                          </a:stretch>
                        </pic:blipFill>
                        <pic:spPr>
                          <a:xfrm>
                            <a:off x="0" y="0"/>
                            <a:ext cx="2660650" cy="1912620"/>
                          </a:xfrm>
                          <a:prstGeom prst="rect">
                            <a:avLst/>
                          </a:prstGeom>
                        </pic:spPr>
                      </pic:pic>
                    </a:graphicData>
                  </a:graphic>
                </wp:inline>
              </w:drawing>
            </w:r>
          </w:p>
        </w:tc>
      </w:tr>
    </w:tbl>
    <w:p w14:paraId="3AB458B1">
      <w:pPr>
        <w:rPr>
          <w:rFonts w:hint="eastAsia" w:eastAsia="宋体"/>
          <w:lang w:val="en-US" w:eastAsia="zh-CN"/>
        </w:rPr>
      </w:pPr>
    </w:p>
    <w:p w14:paraId="024739CA">
      <w:pPr>
        <w:pStyle w:val="3"/>
        <w:keepLines w:val="0"/>
        <w:pageBreakBefore w:val="0"/>
        <w:kinsoku/>
        <w:wordWrap/>
        <w:overflowPunct/>
        <w:topLinePunct w:val="0"/>
        <w:autoSpaceDE/>
        <w:autoSpaceDN/>
        <w:bidi w:val="0"/>
        <w:spacing w:line="420" w:lineRule="exact"/>
        <w:jc w:val="center"/>
        <w:textAlignment w:val="auto"/>
        <w:rPr>
          <w:rFonts w:hint="eastAsia" w:ascii="宋体" w:hAnsi="宋体" w:eastAsia="宋体" w:cs="宋体"/>
          <w:sz w:val="32"/>
          <w:szCs w:val="32"/>
        </w:rPr>
        <w:sectPr>
          <w:footerReference r:id="rId5" w:type="first"/>
          <w:footerReference r:id="rId4" w:type="default"/>
          <w:pgSz w:w="11906" w:h="16838"/>
          <w:pgMar w:top="1417" w:right="1417" w:bottom="1417" w:left="1587" w:header="851" w:footer="992" w:gutter="0"/>
          <w:pgNumType w:start="1"/>
          <w:cols w:space="425" w:num="1"/>
          <w:docGrid w:type="lines" w:linePitch="312" w:charSpace="0"/>
        </w:sectPr>
      </w:pPr>
      <w:bookmarkStart w:id="3" w:name="_Toc12880"/>
    </w:p>
    <w:p w14:paraId="40C72998">
      <w:pPr>
        <w:pStyle w:val="3"/>
        <w:keepLines w:val="0"/>
        <w:pageBreakBefore w:val="0"/>
        <w:kinsoku/>
        <w:wordWrap/>
        <w:overflowPunct/>
        <w:topLinePunct w:val="0"/>
        <w:autoSpaceDE/>
        <w:autoSpaceDN/>
        <w:bidi w:val="0"/>
        <w:spacing w:line="420" w:lineRule="exact"/>
        <w:jc w:val="center"/>
        <w:textAlignment w:val="auto"/>
        <w:rPr>
          <w:rFonts w:hint="eastAsia" w:ascii="宋体" w:hAnsi="宋体" w:eastAsia="宋体" w:cs="宋体"/>
          <w:sz w:val="32"/>
          <w:szCs w:val="32"/>
        </w:rPr>
      </w:pPr>
      <w:r>
        <w:rPr>
          <w:rFonts w:hint="eastAsia" w:ascii="宋体" w:hAnsi="宋体" w:eastAsia="宋体" w:cs="宋体"/>
          <w:sz w:val="32"/>
          <w:szCs w:val="32"/>
        </w:rPr>
        <w:t>前</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言</w:t>
      </w:r>
      <w:bookmarkEnd w:id="0"/>
      <w:bookmarkEnd w:id="1"/>
      <w:bookmarkEnd w:id="2"/>
      <w:bookmarkEnd w:id="3"/>
    </w:p>
    <w:p w14:paraId="6278F9C1">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景讷乡大寨村云盘光伏电站</w:t>
      </w:r>
      <w:r>
        <w:rPr>
          <w:rFonts w:hint="eastAsia" w:ascii="宋体" w:hAnsi="宋体" w:eastAsia="宋体" w:cs="宋体"/>
          <w:color w:val="000000" w:themeColor="text1"/>
          <w:kern w:val="2"/>
          <w:sz w:val="28"/>
          <w:szCs w:val="28"/>
          <w:lang w:val="en-US" w:eastAsia="zh-CN" w:bidi="ar-SA"/>
          <w14:textFill>
            <w14:solidFill>
              <w14:schemeClr w14:val="tx1"/>
            </w14:solidFill>
          </w14:textFill>
        </w:rPr>
        <w:t>位于</w:t>
      </w:r>
      <w:r>
        <w:rPr>
          <w:rFonts w:hint="eastAsia" w:ascii="宋体" w:hAnsi="宋体" w:eastAsia="宋体" w:cs="宋体"/>
          <w:color w:val="000000"/>
          <w:kern w:val="0"/>
          <w:sz w:val="28"/>
          <w:szCs w:val="28"/>
          <w:lang w:val="en-US" w:eastAsia="zh-CN" w:bidi="ar"/>
        </w:rPr>
        <w:t>云南省西双版纳州景洪市景讷乡大寨村附近内，</w:t>
      </w:r>
      <w:r>
        <w:rPr>
          <w:rFonts w:hint="eastAsia" w:ascii="宋体" w:hAnsi="宋体" w:eastAsia="宋体" w:cs="宋体"/>
          <w:color w:val="000000" w:themeColor="text1"/>
          <w:kern w:val="2"/>
          <w:sz w:val="28"/>
          <w:szCs w:val="28"/>
          <w:lang w:val="en-US" w:eastAsia="zh-CN" w:bidi="ar-SA"/>
          <w14:textFill>
            <w14:solidFill>
              <w14:schemeClr w14:val="tx1"/>
            </w14:solidFill>
          </w14:textFill>
        </w:rPr>
        <w:t>项目于2022年0</w:t>
      </w:r>
      <w:r>
        <w:rPr>
          <w:rFonts w:hint="eastAsia" w:ascii="宋体" w:hAnsi="宋体" w:cs="宋体"/>
          <w:color w:val="000000" w:themeColor="text1"/>
          <w:kern w:val="2"/>
          <w:sz w:val="28"/>
          <w:szCs w:val="28"/>
          <w:lang w:val="en-US" w:eastAsia="zh-CN" w:bidi="ar-SA"/>
          <w14:textFill>
            <w14:solidFill>
              <w14:schemeClr w14:val="tx1"/>
            </w14:solidFill>
          </w14:textFill>
        </w:rPr>
        <w:t>8</w:t>
      </w:r>
      <w:r>
        <w:rPr>
          <w:rFonts w:hint="eastAsia" w:ascii="宋体" w:hAnsi="宋体" w:eastAsia="宋体" w:cs="宋体"/>
          <w:color w:val="000000" w:themeColor="text1"/>
          <w:kern w:val="2"/>
          <w:sz w:val="28"/>
          <w:szCs w:val="28"/>
          <w:lang w:val="en-US" w:eastAsia="zh-CN" w:bidi="ar-SA"/>
          <w14:textFill>
            <w14:solidFill>
              <w14:schemeClr w14:val="tx1"/>
            </w14:solidFill>
          </w14:textFill>
        </w:rPr>
        <w:t>月</w:t>
      </w:r>
      <w:r>
        <w:rPr>
          <w:rFonts w:hint="eastAsia" w:ascii="宋体" w:hAnsi="宋体" w:cs="宋体"/>
          <w:color w:val="000000" w:themeColor="text1"/>
          <w:kern w:val="2"/>
          <w:sz w:val="28"/>
          <w:szCs w:val="28"/>
          <w:lang w:val="en-US" w:eastAsia="zh-CN" w:bidi="ar-SA"/>
          <w14:textFill>
            <w14:solidFill>
              <w14:schemeClr w14:val="tx1"/>
            </w14:solidFill>
          </w14:textFill>
        </w:rPr>
        <w:t>02</w:t>
      </w:r>
      <w:r>
        <w:rPr>
          <w:rFonts w:hint="eastAsia" w:ascii="宋体" w:hAnsi="宋体" w:eastAsia="宋体" w:cs="宋体"/>
          <w:color w:val="000000" w:themeColor="text1"/>
          <w:kern w:val="2"/>
          <w:sz w:val="28"/>
          <w:szCs w:val="28"/>
          <w:lang w:val="en-US" w:eastAsia="zh-CN" w:bidi="ar-SA"/>
          <w14:textFill>
            <w14:solidFill>
              <w14:schemeClr w14:val="tx1"/>
            </w14:solidFill>
          </w14:textFill>
        </w:rPr>
        <w:t>日景洪市发展和改革局办理投资备案证，</w:t>
      </w:r>
      <w:r>
        <w:rPr>
          <w:rFonts w:hint="eastAsia" w:ascii="宋体" w:hAnsi="宋体" w:eastAsia="宋体" w:cs="宋体"/>
          <w:color w:val="000000" w:themeColor="text1"/>
          <w:kern w:val="2"/>
          <w:sz w:val="28"/>
          <w:szCs w:val="28"/>
          <w:lang w:val="zh-CN" w:eastAsia="zh-CN" w:bidi="ar-SA"/>
          <w14:textFill>
            <w14:solidFill>
              <w14:schemeClr w14:val="tx1"/>
            </w14:solidFill>
          </w14:textFill>
        </w:rPr>
        <w:t>备案号【项目代码】:2208-532801-04-01-</w:t>
      </w:r>
      <w:r>
        <w:rPr>
          <w:rFonts w:hint="eastAsia" w:ascii="宋体" w:hAnsi="宋体" w:cs="宋体"/>
          <w:color w:val="000000" w:themeColor="text1"/>
          <w:kern w:val="2"/>
          <w:sz w:val="28"/>
          <w:szCs w:val="28"/>
          <w:lang w:val="en-US" w:eastAsia="zh-CN" w:bidi="ar-SA"/>
          <w14:textFill>
            <w14:solidFill>
              <w14:schemeClr w14:val="tx1"/>
            </w14:solidFill>
          </w14:textFill>
        </w:rPr>
        <w:t>507389</w:t>
      </w:r>
      <w:r>
        <w:rPr>
          <w:rFonts w:hint="eastAsia" w:ascii="宋体" w:hAnsi="宋体" w:eastAsia="宋体" w:cs="宋体"/>
          <w:color w:val="000000" w:themeColor="text1"/>
          <w:kern w:val="2"/>
          <w:sz w:val="28"/>
          <w:szCs w:val="28"/>
          <w:lang w:val="zh-CN" w:eastAsia="zh-CN" w:bidi="ar-SA"/>
          <w14:textFill>
            <w14:solidFill>
              <w14:schemeClr w14:val="tx1"/>
            </w14:solidFill>
          </w14:textFill>
        </w:rPr>
        <w:t>。</w:t>
      </w:r>
      <w:r>
        <w:rPr>
          <w:rFonts w:hint="eastAsia" w:ascii="宋体" w:hAnsi="宋体" w:eastAsia="宋体" w:cs="宋体"/>
          <w:color w:val="000000" w:themeColor="text1"/>
          <w:kern w:val="2"/>
          <w:sz w:val="28"/>
          <w:szCs w:val="28"/>
          <w:lang w:val="en-US" w:eastAsia="zh-CN" w:bidi="ar-SA"/>
          <w14:textFill>
            <w14:solidFill>
              <w14:schemeClr w14:val="tx1"/>
            </w14:solidFill>
          </w14:textFill>
        </w:rPr>
        <w:t>项目由</w:t>
      </w:r>
      <w:r>
        <w:rPr>
          <w:rFonts w:hint="eastAsia" w:ascii="宋体" w:hAnsi="宋体" w:eastAsia="宋体" w:cs="宋体"/>
          <w:color w:val="000000" w:themeColor="text1"/>
          <w:kern w:val="2"/>
          <w:sz w:val="28"/>
          <w:szCs w:val="28"/>
          <w:lang w:val="zh-CN" w:eastAsia="zh-CN" w:bidi="ar-SA"/>
          <w14:textFill>
            <w14:solidFill>
              <w14:schemeClr w14:val="tx1"/>
            </w14:solidFill>
          </w14:textFill>
        </w:rPr>
        <w:t>华能澜沧江（</w:t>
      </w:r>
      <w:r>
        <w:rPr>
          <w:rFonts w:hint="eastAsia" w:ascii="宋体" w:hAnsi="宋体" w:eastAsia="宋体" w:cs="宋体"/>
          <w:color w:val="000000" w:themeColor="text1"/>
          <w:sz w:val="28"/>
          <w:szCs w:val="28"/>
          <w:lang w:eastAsia="zh-CN"/>
          <w14:textFill>
            <w14:solidFill>
              <w14:schemeClr w14:val="tx1"/>
            </w14:solidFill>
          </w14:textFill>
        </w:rPr>
        <w:t>景洪</w:t>
      </w:r>
      <w:r>
        <w:rPr>
          <w:rFonts w:hint="eastAsia" w:ascii="宋体" w:hAnsi="宋体" w:eastAsia="宋体" w:cs="宋体"/>
          <w:color w:val="000000" w:themeColor="text1"/>
          <w:kern w:val="2"/>
          <w:sz w:val="28"/>
          <w:szCs w:val="28"/>
          <w:lang w:val="zh-CN" w:eastAsia="zh-CN" w:bidi="ar-SA"/>
          <w14:textFill>
            <w14:solidFill>
              <w14:schemeClr w14:val="tx1"/>
            </w14:solidFill>
          </w14:textFill>
        </w:rPr>
        <w:t>）新能源有限公司</w:t>
      </w:r>
      <w:r>
        <w:rPr>
          <w:rFonts w:hint="eastAsia" w:ascii="宋体" w:hAnsi="宋体" w:eastAsia="宋体" w:cs="宋体"/>
          <w:color w:val="000000" w:themeColor="text1"/>
          <w:kern w:val="2"/>
          <w:sz w:val="28"/>
          <w:szCs w:val="28"/>
          <w:lang w:val="en-US" w:eastAsia="zh-CN" w:bidi="ar-SA"/>
          <w14:textFill>
            <w14:solidFill>
              <w14:schemeClr w14:val="tx1"/>
            </w14:solidFill>
          </w14:textFill>
        </w:rPr>
        <w:t>投资建设，总投资额</w:t>
      </w:r>
      <w:r>
        <w:rPr>
          <w:rFonts w:hint="eastAsia" w:ascii="宋体" w:hAnsi="宋体" w:cs="宋体"/>
          <w:color w:val="000000" w:themeColor="text1"/>
          <w:kern w:val="2"/>
          <w:sz w:val="28"/>
          <w:szCs w:val="28"/>
          <w:lang w:val="en-US" w:eastAsia="zh-CN" w:bidi="ar-SA"/>
          <w14:textFill>
            <w14:solidFill>
              <w14:schemeClr w14:val="tx1"/>
            </w14:solidFill>
          </w14:textFill>
        </w:rPr>
        <w:t>39007</w:t>
      </w:r>
      <w:r>
        <w:rPr>
          <w:rFonts w:hint="eastAsia" w:ascii="宋体" w:hAnsi="宋体" w:eastAsia="宋体" w:cs="宋体"/>
          <w:color w:val="000000" w:themeColor="text1"/>
          <w:kern w:val="2"/>
          <w:sz w:val="28"/>
          <w:szCs w:val="28"/>
          <w:lang w:val="en-US" w:eastAsia="zh-CN" w:bidi="ar-SA"/>
          <w14:textFill>
            <w14:solidFill>
              <w14:schemeClr w14:val="tx1"/>
            </w14:solidFill>
          </w14:textFill>
        </w:rPr>
        <w:t>万元。</w:t>
      </w:r>
      <w:r>
        <w:rPr>
          <w:rFonts w:hint="eastAsia" w:ascii="宋体" w:hAnsi="宋体" w:cs="宋体"/>
          <w:color w:val="000000" w:themeColor="text1"/>
          <w:kern w:val="2"/>
          <w:sz w:val="28"/>
          <w:szCs w:val="28"/>
          <w:lang w:val="en-US" w:eastAsia="zh-CN" w:bidi="ar-SA"/>
          <w14:textFill>
            <w14:solidFill>
              <w14:schemeClr w14:val="tx1"/>
            </w14:solidFill>
          </w14:textFill>
        </w:rPr>
        <w:t>本工</w:t>
      </w:r>
      <w:r>
        <w:rPr>
          <w:rFonts w:hint="eastAsia" w:ascii="宋体" w:hAnsi="宋体" w:eastAsia="宋体" w:cs="宋体"/>
          <w:color w:val="000000"/>
          <w:kern w:val="0"/>
          <w:sz w:val="28"/>
          <w:szCs w:val="28"/>
          <w:lang w:val="en-US" w:eastAsia="zh-CN" w:bidi="ar"/>
        </w:rPr>
        <w:t>程额定容量为</w:t>
      </w:r>
      <w:r>
        <w:rPr>
          <w:rFonts w:hint="eastAsia" w:ascii="宋体" w:hAnsi="宋体" w:cs="宋体"/>
          <w:color w:val="000000"/>
          <w:kern w:val="0"/>
          <w:sz w:val="28"/>
          <w:szCs w:val="28"/>
          <w:lang w:val="en-US" w:eastAsia="zh-CN" w:bidi="ar"/>
        </w:rPr>
        <w:t>65</w:t>
      </w:r>
      <w:r>
        <w:rPr>
          <w:rFonts w:hint="eastAsia" w:ascii="宋体" w:hAnsi="宋体" w:eastAsia="宋体" w:cs="宋体"/>
          <w:color w:val="000000"/>
          <w:kern w:val="0"/>
          <w:sz w:val="28"/>
          <w:szCs w:val="28"/>
          <w:lang w:val="en-US" w:eastAsia="zh-CN" w:bidi="ar"/>
        </w:rPr>
        <w:t>MWac，组件安装容量为</w:t>
      </w:r>
      <w:r>
        <w:rPr>
          <w:rFonts w:hint="eastAsia" w:ascii="宋体" w:hAnsi="宋体" w:cs="宋体"/>
          <w:color w:val="000000"/>
          <w:kern w:val="0"/>
          <w:sz w:val="28"/>
          <w:szCs w:val="28"/>
          <w:lang w:val="en-US" w:eastAsia="zh-CN" w:bidi="ar"/>
        </w:rPr>
        <w:t>81.26118</w:t>
      </w:r>
      <w:r>
        <w:rPr>
          <w:rFonts w:hint="eastAsia" w:ascii="宋体" w:hAnsi="宋体" w:eastAsia="宋体" w:cs="宋体"/>
          <w:color w:val="000000"/>
          <w:kern w:val="0"/>
          <w:sz w:val="28"/>
          <w:szCs w:val="28"/>
          <w:lang w:val="en-US" w:eastAsia="zh-CN" w:bidi="ar"/>
        </w:rPr>
        <w:t>MWp。采用585Wp 单晶硅电池组件</w:t>
      </w:r>
      <w:r>
        <w:rPr>
          <w:rFonts w:hint="eastAsia" w:ascii="宋体" w:hAnsi="宋体" w:cs="宋体"/>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共有</w:t>
      </w:r>
      <w:r>
        <w:rPr>
          <w:rFonts w:hint="default" w:ascii="Times New Roman" w:hAnsi="Times New Roman" w:eastAsia="宋体" w:cs="Times New Roman"/>
          <w:color w:val="000000"/>
          <w:kern w:val="0"/>
          <w:sz w:val="28"/>
          <w:szCs w:val="28"/>
          <w:lang w:val="en-US" w:eastAsia="zh-CN" w:bidi="ar"/>
        </w:rPr>
        <w:t>18</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3.2MW</w:t>
      </w:r>
      <w:r>
        <w:rPr>
          <w:rFonts w:hint="eastAsia" w:ascii="宋体" w:hAnsi="宋体" w:eastAsia="宋体" w:cs="宋体"/>
          <w:color w:val="000000"/>
          <w:kern w:val="0"/>
          <w:sz w:val="28"/>
          <w:szCs w:val="28"/>
          <w:lang w:val="en-US" w:eastAsia="zh-CN" w:bidi="ar"/>
        </w:rPr>
        <w:t>的方阵、</w:t>
      </w:r>
      <w:r>
        <w:rPr>
          <w:rFonts w:hint="default" w:ascii="Times New Roman" w:hAnsi="Times New Roman" w:eastAsia="宋体" w:cs="Times New Roman"/>
          <w:color w:val="000000"/>
          <w:kern w:val="0"/>
          <w:sz w:val="28"/>
          <w:szCs w:val="28"/>
          <w:lang w:val="en-US" w:eastAsia="zh-CN" w:bidi="ar"/>
        </w:rPr>
        <w:t>1</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2.6MW</w:t>
      </w:r>
      <w:r>
        <w:rPr>
          <w:rFonts w:hint="eastAsia" w:ascii="宋体" w:hAnsi="宋体" w:eastAsia="宋体" w:cs="宋体"/>
          <w:color w:val="000000"/>
          <w:kern w:val="0"/>
          <w:sz w:val="28"/>
          <w:szCs w:val="28"/>
          <w:lang w:val="en-US" w:eastAsia="zh-CN" w:bidi="ar"/>
        </w:rPr>
        <w:t>的方阵、</w:t>
      </w:r>
      <w:r>
        <w:rPr>
          <w:rFonts w:hint="default" w:ascii="Times New Roman" w:hAnsi="Times New Roman" w:eastAsia="宋体" w:cs="Times New Roman"/>
          <w:color w:val="000000"/>
          <w:kern w:val="0"/>
          <w:sz w:val="28"/>
          <w:szCs w:val="28"/>
          <w:lang w:val="en-US" w:eastAsia="zh-CN" w:bidi="ar"/>
        </w:rPr>
        <w:t>2</w:t>
      </w:r>
      <w:r>
        <w:rPr>
          <w:rFonts w:hint="eastAsia" w:ascii="宋体" w:hAnsi="宋体" w:cs="宋体"/>
          <w:color w:val="000000"/>
          <w:kern w:val="0"/>
          <w:sz w:val="28"/>
          <w:szCs w:val="28"/>
          <w:lang w:val="en-US" w:eastAsia="zh-CN" w:bidi="ar"/>
        </w:rPr>
        <w:t xml:space="preserve"> </w:t>
      </w:r>
      <w:r>
        <w:rPr>
          <w:rFonts w:hint="default" w:ascii="Times New Roman" w:hAnsi="Times New Roman" w:eastAsia="宋体" w:cs="Times New Roman"/>
          <w:color w:val="000000"/>
          <w:kern w:val="0"/>
          <w:sz w:val="28"/>
          <w:szCs w:val="28"/>
          <w:lang w:val="en-US" w:eastAsia="zh-CN" w:bidi="ar"/>
        </w:rPr>
        <w:t>2.0MW</w:t>
      </w:r>
      <w:r>
        <w:rPr>
          <w:rFonts w:hint="eastAsia" w:ascii="宋体" w:hAnsi="宋体" w:eastAsia="宋体" w:cs="宋体"/>
          <w:color w:val="000000"/>
          <w:kern w:val="0"/>
          <w:sz w:val="28"/>
          <w:szCs w:val="28"/>
          <w:lang w:val="en-US" w:eastAsia="zh-CN" w:bidi="ar"/>
        </w:rPr>
        <w:t>的方阵和</w:t>
      </w:r>
      <w:r>
        <w:rPr>
          <w:rFonts w:hint="default" w:ascii="Times New Roman" w:hAnsi="Times New Roman" w:eastAsia="宋体" w:cs="Times New Roman"/>
          <w:color w:val="000000"/>
          <w:kern w:val="0"/>
          <w:sz w:val="28"/>
          <w:szCs w:val="28"/>
          <w:lang w:val="en-US" w:eastAsia="zh-CN" w:bidi="ar"/>
        </w:rPr>
        <w:t>1</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1.6MW</w:t>
      </w:r>
      <w:r>
        <w:rPr>
          <w:rFonts w:hint="eastAsia" w:ascii="宋体" w:hAnsi="宋体" w:eastAsia="宋体" w:cs="宋体"/>
          <w:color w:val="000000"/>
          <w:kern w:val="0"/>
          <w:sz w:val="28"/>
          <w:szCs w:val="28"/>
          <w:lang w:val="en-US" w:eastAsia="zh-CN" w:bidi="ar"/>
        </w:rPr>
        <w:t>的方阵，合计</w:t>
      </w:r>
      <w:r>
        <w:rPr>
          <w:rFonts w:hint="default" w:ascii="Times New Roman" w:hAnsi="Times New Roman" w:eastAsia="宋体" w:cs="Times New Roman"/>
          <w:color w:val="000000"/>
          <w:kern w:val="0"/>
          <w:sz w:val="28"/>
          <w:szCs w:val="28"/>
          <w:lang w:val="en-US" w:eastAsia="zh-CN" w:bidi="ar"/>
        </w:rPr>
        <w:t>22</w:t>
      </w:r>
      <w:r>
        <w:rPr>
          <w:rFonts w:hint="eastAsia" w:ascii="宋体" w:hAnsi="宋体" w:eastAsia="宋体" w:cs="宋体"/>
          <w:color w:val="000000"/>
          <w:kern w:val="0"/>
          <w:sz w:val="28"/>
          <w:szCs w:val="28"/>
          <w:lang w:val="en-US" w:eastAsia="zh-CN" w:bidi="ar"/>
        </w:rPr>
        <w:t>个方阵。每个</w:t>
      </w:r>
      <w:r>
        <w:rPr>
          <w:rFonts w:hint="default" w:ascii="Times New Roman" w:hAnsi="Times New Roman" w:eastAsia="宋体" w:cs="Times New Roman"/>
          <w:color w:val="000000"/>
          <w:kern w:val="0"/>
          <w:sz w:val="28"/>
          <w:szCs w:val="28"/>
          <w:lang w:val="en-US" w:eastAsia="zh-CN" w:bidi="ar"/>
        </w:rPr>
        <w:t>3.2MW</w:t>
      </w:r>
      <w:r>
        <w:rPr>
          <w:rFonts w:hint="eastAsia" w:ascii="宋体" w:hAnsi="宋体" w:eastAsia="宋体" w:cs="宋体"/>
          <w:color w:val="000000"/>
          <w:kern w:val="0"/>
          <w:sz w:val="28"/>
          <w:szCs w:val="28"/>
          <w:lang w:val="en-US" w:eastAsia="zh-CN" w:bidi="ar"/>
        </w:rPr>
        <w:t>光伏方阵包含</w:t>
      </w:r>
      <w:r>
        <w:rPr>
          <w:rFonts w:hint="default" w:ascii="Times New Roman" w:hAnsi="Times New Roman" w:eastAsia="宋体" w:cs="Times New Roman"/>
          <w:color w:val="000000"/>
          <w:kern w:val="0"/>
          <w:sz w:val="28"/>
          <w:szCs w:val="28"/>
          <w:lang w:val="en-US" w:eastAsia="zh-CN" w:bidi="ar"/>
        </w:rPr>
        <w:t>10</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320kW</w:t>
      </w:r>
      <w:r>
        <w:rPr>
          <w:rFonts w:hint="eastAsia" w:ascii="宋体" w:hAnsi="宋体" w:eastAsia="宋体" w:cs="宋体"/>
          <w:color w:val="000000"/>
          <w:kern w:val="0"/>
          <w:sz w:val="28"/>
          <w:szCs w:val="28"/>
          <w:lang w:val="en-US" w:eastAsia="zh-CN" w:bidi="ar"/>
        </w:rPr>
        <w:t>发电单元；每个</w:t>
      </w:r>
      <w:r>
        <w:rPr>
          <w:rFonts w:hint="default" w:ascii="Times New Roman" w:hAnsi="Times New Roman" w:eastAsia="宋体" w:cs="Times New Roman"/>
          <w:color w:val="000000"/>
          <w:kern w:val="0"/>
          <w:sz w:val="28"/>
          <w:szCs w:val="28"/>
          <w:lang w:val="en-US" w:eastAsia="zh-CN" w:bidi="ar"/>
        </w:rPr>
        <w:t>2.6MW</w:t>
      </w:r>
      <w:r>
        <w:rPr>
          <w:rFonts w:hint="eastAsia" w:ascii="宋体" w:hAnsi="宋体" w:eastAsia="宋体" w:cs="宋体"/>
          <w:color w:val="000000"/>
          <w:kern w:val="0"/>
          <w:sz w:val="28"/>
          <w:szCs w:val="28"/>
          <w:lang w:val="en-US" w:eastAsia="zh-CN" w:bidi="ar"/>
        </w:rPr>
        <w:t>光伏方阵包含</w:t>
      </w:r>
      <w:r>
        <w:rPr>
          <w:rFonts w:hint="default" w:ascii="Times New Roman" w:hAnsi="Times New Roman" w:eastAsia="宋体" w:cs="Times New Roman"/>
          <w:color w:val="000000"/>
          <w:kern w:val="0"/>
          <w:sz w:val="28"/>
          <w:szCs w:val="28"/>
          <w:lang w:val="en-US" w:eastAsia="zh-CN" w:bidi="ar"/>
        </w:rPr>
        <w:t>8</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 xml:space="preserve">320kW </w:t>
      </w:r>
      <w:r>
        <w:rPr>
          <w:rFonts w:hint="eastAsia" w:ascii="宋体" w:hAnsi="宋体" w:eastAsia="宋体" w:cs="宋体"/>
          <w:color w:val="000000"/>
          <w:kern w:val="0"/>
          <w:sz w:val="28"/>
          <w:szCs w:val="28"/>
          <w:lang w:val="en-US" w:eastAsia="zh-CN" w:bidi="ar"/>
        </w:rPr>
        <w:t>发电单元；每个</w:t>
      </w:r>
      <w:r>
        <w:rPr>
          <w:rFonts w:hint="default" w:ascii="Times New Roman" w:hAnsi="Times New Roman" w:eastAsia="宋体" w:cs="Times New Roman"/>
          <w:color w:val="000000"/>
          <w:kern w:val="0"/>
          <w:sz w:val="28"/>
          <w:szCs w:val="28"/>
          <w:lang w:val="en-US" w:eastAsia="zh-CN" w:bidi="ar"/>
        </w:rPr>
        <w:t>2.0MW</w:t>
      </w:r>
      <w:r>
        <w:rPr>
          <w:rFonts w:hint="eastAsia" w:ascii="宋体" w:hAnsi="宋体" w:eastAsia="宋体" w:cs="宋体"/>
          <w:color w:val="000000"/>
          <w:kern w:val="0"/>
          <w:sz w:val="28"/>
          <w:szCs w:val="28"/>
          <w:lang w:val="en-US" w:eastAsia="zh-CN" w:bidi="ar"/>
        </w:rPr>
        <w:t>光伏方阵包含</w:t>
      </w:r>
      <w:r>
        <w:rPr>
          <w:rFonts w:hint="default" w:ascii="Times New Roman" w:hAnsi="Times New Roman" w:eastAsia="宋体" w:cs="Times New Roman"/>
          <w:color w:val="000000"/>
          <w:kern w:val="0"/>
          <w:sz w:val="28"/>
          <w:szCs w:val="28"/>
          <w:lang w:val="en-US" w:eastAsia="zh-CN" w:bidi="ar"/>
        </w:rPr>
        <w:t>6</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320kW</w:t>
      </w:r>
      <w:r>
        <w:rPr>
          <w:rFonts w:hint="eastAsia" w:ascii="宋体" w:hAnsi="宋体" w:eastAsia="宋体" w:cs="宋体"/>
          <w:color w:val="000000"/>
          <w:kern w:val="0"/>
          <w:sz w:val="28"/>
          <w:szCs w:val="28"/>
          <w:lang w:val="en-US" w:eastAsia="zh-CN" w:bidi="ar"/>
        </w:rPr>
        <w:t>发电单元；每个</w:t>
      </w:r>
      <w:r>
        <w:rPr>
          <w:rFonts w:hint="default" w:ascii="Times New Roman" w:hAnsi="Times New Roman" w:eastAsia="宋体" w:cs="Times New Roman"/>
          <w:color w:val="000000"/>
          <w:kern w:val="0"/>
          <w:sz w:val="28"/>
          <w:szCs w:val="28"/>
          <w:lang w:val="en-US" w:eastAsia="zh-CN" w:bidi="ar"/>
        </w:rPr>
        <w:t xml:space="preserve">1.60MW </w:t>
      </w:r>
      <w:r>
        <w:rPr>
          <w:rFonts w:hint="eastAsia" w:ascii="宋体" w:hAnsi="宋体" w:eastAsia="宋体" w:cs="宋体"/>
          <w:color w:val="000000"/>
          <w:kern w:val="0"/>
          <w:sz w:val="28"/>
          <w:szCs w:val="28"/>
          <w:lang w:val="en-US" w:eastAsia="zh-CN" w:bidi="ar"/>
        </w:rPr>
        <w:t>光伏方阵包含</w:t>
      </w:r>
      <w:r>
        <w:rPr>
          <w:rFonts w:hint="default" w:ascii="Times New Roman" w:hAnsi="Times New Roman" w:eastAsia="宋体" w:cs="Times New Roman"/>
          <w:color w:val="000000"/>
          <w:kern w:val="0"/>
          <w:sz w:val="28"/>
          <w:szCs w:val="28"/>
          <w:lang w:val="en-US" w:eastAsia="zh-CN" w:bidi="ar"/>
        </w:rPr>
        <w:t>5</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320kW</w:t>
      </w:r>
      <w:r>
        <w:rPr>
          <w:rFonts w:hint="eastAsia" w:ascii="宋体" w:hAnsi="宋体" w:eastAsia="宋体" w:cs="宋体"/>
          <w:color w:val="000000"/>
          <w:kern w:val="0"/>
          <w:sz w:val="28"/>
          <w:szCs w:val="28"/>
          <w:lang w:val="en-US" w:eastAsia="zh-CN" w:bidi="ar"/>
        </w:rPr>
        <w:t>发电单元。</w:t>
      </w:r>
    </w:p>
    <w:p w14:paraId="492FEC65">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zh-CN" w:eastAsia="zh-CN"/>
          <w14:textFill>
            <w14:solidFill>
              <w14:schemeClr w14:val="tx1"/>
            </w14:solidFill>
          </w14:textFill>
        </w:rPr>
        <w:t>为贯彻“安全第一，预防为主、综合治理”的方针，做到</w:t>
      </w:r>
      <w:r>
        <w:rPr>
          <w:rFonts w:hint="eastAsia" w:ascii="宋体" w:hAnsi="宋体" w:eastAsia="宋体" w:cs="宋体"/>
          <w:color w:val="000000" w:themeColor="text1"/>
          <w:sz w:val="28"/>
          <w:szCs w:val="28"/>
          <w:lang w:val="en-US" w:eastAsia="zh-CN"/>
          <w14:textFill>
            <w14:solidFill>
              <w14:schemeClr w14:val="tx1"/>
            </w14:solidFill>
          </w14:textFill>
        </w:rPr>
        <w:t>光伏电站</w:t>
      </w:r>
      <w:r>
        <w:rPr>
          <w:rFonts w:hint="eastAsia" w:ascii="宋体" w:hAnsi="宋体" w:eastAsia="宋体" w:cs="宋体"/>
          <w:color w:val="000000" w:themeColor="text1"/>
          <w:sz w:val="28"/>
          <w:szCs w:val="28"/>
          <w:lang w:val="zh-CN" w:eastAsia="zh-CN"/>
          <w14:textFill>
            <w14:solidFill>
              <w14:schemeClr w14:val="tx1"/>
            </w14:solidFill>
          </w14:textFill>
        </w:rPr>
        <w:t>安全设施投产后符合安全生产的要求，保障劳动者在生</w:t>
      </w:r>
      <w:r>
        <w:rPr>
          <w:rFonts w:hint="eastAsia" w:ascii="宋体" w:hAnsi="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val="zh-CN" w:eastAsia="zh-CN"/>
          <w14:textFill>
            <w14:solidFill>
              <w14:schemeClr w14:val="tx1"/>
            </w14:solidFill>
          </w14:textFill>
        </w:rPr>
        <w:t>产过程中的安全与健康，保证国家和投资者的资产免遭损失，根据《中华人民共和国安全生产法》《建设项目安全设施“三同时”监督管理办法》国家安全监管总局令第36号，国家安全监管总局第77号令修订）等有关规定，在华能澜沧江（景洪）新能源有限公司</w:t>
      </w:r>
      <w:r>
        <w:rPr>
          <w:rFonts w:hint="eastAsia" w:ascii="宋体" w:hAnsi="宋体" w:eastAsia="宋体" w:cs="宋体"/>
          <w:color w:val="000000"/>
          <w:kern w:val="0"/>
          <w:sz w:val="28"/>
          <w:szCs w:val="28"/>
          <w:lang w:val="en-US" w:eastAsia="zh-CN" w:bidi="ar"/>
        </w:rPr>
        <w:t>景讷乡大寨村云盘光伏</w:t>
      </w:r>
      <w:r>
        <w:rPr>
          <w:rFonts w:hint="eastAsia" w:ascii="宋体" w:hAnsi="宋体" w:eastAsia="宋体" w:cs="宋体"/>
          <w:color w:val="000000" w:themeColor="text1"/>
          <w:sz w:val="28"/>
          <w:szCs w:val="28"/>
          <w:lang w:val="zh-CN" w:eastAsia="zh-CN"/>
          <w14:textFill>
            <w14:solidFill>
              <w14:schemeClr w14:val="tx1"/>
            </w14:solidFill>
          </w14:textFill>
        </w:rPr>
        <w:t>电站试运行正常后，建设单位</w:t>
      </w:r>
      <w:r>
        <w:rPr>
          <w:rFonts w:hint="eastAsia" w:ascii="宋体" w:hAnsi="宋体" w:eastAsia="宋体" w:cs="宋体"/>
          <w:color w:val="000000" w:themeColor="text1"/>
          <w:sz w:val="28"/>
          <w:szCs w:val="28"/>
          <w:lang w:eastAsia="zh-CN"/>
          <w14:textFill>
            <w14:solidFill>
              <w14:schemeClr w14:val="tx1"/>
            </w14:solidFill>
          </w14:textFill>
        </w:rPr>
        <w:t>华能澜沧江（景洪）新能源有限公司</w:t>
      </w:r>
      <w:r>
        <w:rPr>
          <w:rFonts w:hint="eastAsia" w:ascii="宋体" w:hAnsi="宋体" w:eastAsia="宋体" w:cs="宋体"/>
          <w:color w:val="000000" w:themeColor="text1"/>
          <w:sz w:val="28"/>
          <w:szCs w:val="28"/>
          <w:lang w:val="zh-CN" w:eastAsia="zh-CN"/>
          <w14:textFill>
            <w14:solidFill>
              <w14:schemeClr w14:val="tx1"/>
            </w14:solidFill>
          </w14:textFill>
        </w:rPr>
        <w:t>委托</w:t>
      </w:r>
      <w:r>
        <w:rPr>
          <w:rFonts w:hint="eastAsia" w:ascii="宋体" w:hAnsi="宋体" w:eastAsia="宋体" w:cs="宋体"/>
          <w:color w:val="000000" w:themeColor="text1"/>
          <w:sz w:val="28"/>
          <w:szCs w:val="28"/>
          <w:lang w:val="en-US" w:eastAsia="zh-CN"/>
          <w14:textFill>
            <w14:solidFill>
              <w14:schemeClr w14:val="tx1"/>
            </w14:solidFill>
          </w14:textFill>
        </w:rPr>
        <w:t>昭通市鼎安科技有限公司</w:t>
      </w:r>
      <w:r>
        <w:rPr>
          <w:rFonts w:hint="eastAsia" w:ascii="宋体" w:hAnsi="宋体" w:eastAsia="宋体" w:cs="宋体"/>
          <w:color w:val="000000" w:themeColor="text1"/>
          <w:sz w:val="28"/>
          <w:szCs w:val="28"/>
          <w:lang w:val="zh-CN" w:eastAsia="zh-CN"/>
          <w14:textFill>
            <w14:solidFill>
              <w14:schemeClr w14:val="tx1"/>
            </w14:solidFill>
          </w14:textFill>
        </w:rPr>
        <w:t>承担其</w:t>
      </w:r>
      <w:r>
        <w:rPr>
          <w:rFonts w:hint="eastAsia" w:ascii="宋体" w:hAnsi="宋体" w:eastAsia="宋体" w:cs="宋体"/>
          <w:color w:val="000000"/>
          <w:kern w:val="0"/>
          <w:sz w:val="28"/>
          <w:szCs w:val="28"/>
          <w:lang w:val="en-US" w:eastAsia="zh-CN" w:bidi="ar"/>
        </w:rPr>
        <w:t>景讷乡大寨村云盘光伏</w:t>
      </w:r>
      <w:r>
        <w:rPr>
          <w:rFonts w:hint="eastAsia" w:ascii="宋体" w:hAnsi="宋体" w:eastAsia="宋体" w:cs="宋体"/>
          <w:color w:val="000000" w:themeColor="text1"/>
          <w:sz w:val="28"/>
          <w:szCs w:val="28"/>
          <w:lang w:val="zh-CN" w:eastAsia="zh-CN"/>
          <w14:textFill>
            <w14:solidFill>
              <w14:schemeClr w14:val="tx1"/>
            </w14:solidFill>
          </w14:textFill>
        </w:rPr>
        <w:t>电站的安全</w:t>
      </w:r>
      <w:r>
        <w:rPr>
          <w:rFonts w:hint="eastAsia" w:ascii="宋体" w:hAnsi="宋体" w:eastAsia="宋体" w:cs="宋体"/>
          <w:color w:val="000000" w:themeColor="text1"/>
          <w:sz w:val="28"/>
          <w:szCs w:val="28"/>
          <w:lang w:val="en-US" w:eastAsia="zh-CN"/>
          <w14:textFill>
            <w14:solidFill>
              <w14:schemeClr w14:val="tx1"/>
            </w14:solidFill>
          </w14:textFill>
        </w:rPr>
        <w:t>安全竣工</w:t>
      </w:r>
      <w:r>
        <w:rPr>
          <w:rFonts w:hint="eastAsia" w:ascii="宋体" w:hAnsi="宋体" w:eastAsia="宋体" w:cs="宋体"/>
          <w:color w:val="000000" w:themeColor="text1"/>
          <w:sz w:val="28"/>
          <w:szCs w:val="28"/>
          <w:lang w:val="zh-CN" w:eastAsia="zh-CN"/>
          <w14:textFill>
            <w14:solidFill>
              <w14:schemeClr w14:val="tx1"/>
            </w14:solidFill>
          </w14:textFill>
        </w:rPr>
        <w:t>验收评价工作。</w:t>
      </w:r>
    </w:p>
    <w:p w14:paraId="6065125C">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zh-CN" w:eastAsia="zh-CN"/>
          <w14:textFill>
            <w14:solidFill>
              <w14:schemeClr w14:val="tx1"/>
            </w14:solidFill>
          </w14:textFill>
        </w:rPr>
        <w:t>在接受</w:t>
      </w:r>
      <w:r>
        <w:rPr>
          <w:rFonts w:hint="eastAsia" w:ascii="宋体" w:hAnsi="宋体" w:eastAsia="宋体" w:cs="宋体"/>
          <w:color w:val="000000" w:themeColor="text1"/>
          <w:sz w:val="28"/>
          <w:szCs w:val="28"/>
          <w:lang w:eastAsia="zh-CN"/>
          <w14:textFill>
            <w14:solidFill>
              <w14:schemeClr w14:val="tx1"/>
            </w14:solidFill>
          </w14:textFill>
        </w:rPr>
        <w:t>华能澜沧江（景洪）新能源有限公司</w:t>
      </w:r>
      <w:r>
        <w:rPr>
          <w:rFonts w:hint="eastAsia" w:ascii="宋体" w:hAnsi="宋体" w:eastAsia="宋体" w:cs="宋体"/>
          <w:color w:val="000000"/>
          <w:kern w:val="0"/>
          <w:sz w:val="28"/>
          <w:szCs w:val="28"/>
          <w:lang w:val="en-US" w:eastAsia="zh-CN" w:bidi="ar"/>
        </w:rPr>
        <w:t>景讷乡大寨村云盘光伏</w:t>
      </w:r>
      <w:r>
        <w:rPr>
          <w:rFonts w:hint="eastAsia" w:ascii="宋体" w:hAnsi="宋体" w:eastAsia="宋体" w:cs="宋体"/>
          <w:color w:val="000000" w:themeColor="text1"/>
          <w:sz w:val="28"/>
          <w:szCs w:val="28"/>
          <w:lang w:eastAsia="zh-CN"/>
          <w14:textFill>
            <w14:solidFill>
              <w14:schemeClr w14:val="tx1"/>
            </w14:solidFill>
          </w14:textFill>
        </w:rPr>
        <w:t>电站</w:t>
      </w:r>
      <w:r>
        <w:rPr>
          <w:rFonts w:hint="eastAsia" w:ascii="宋体" w:hAnsi="宋体" w:eastAsia="宋体" w:cs="宋体"/>
          <w:color w:val="000000" w:themeColor="text1"/>
          <w:sz w:val="28"/>
          <w:szCs w:val="28"/>
          <w:lang w:val="zh-CN" w:eastAsia="zh-CN"/>
          <w14:textFill>
            <w14:solidFill>
              <w14:schemeClr w14:val="tx1"/>
            </w14:solidFill>
          </w14:textFill>
        </w:rPr>
        <w:t>安全验收评价委托之后，</w:t>
      </w:r>
      <w:r>
        <w:rPr>
          <w:rFonts w:hint="eastAsia" w:ascii="宋体" w:hAnsi="宋体" w:eastAsia="宋体" w:cs="宋体"/>
          <w:color w:val="000000" w:themeColor="text1"/>
          <w:sz w:val="28"/>
          <w:szCs w:val="28"/>
          <w:lang w:val="en-US" w:eastAsia="zh-CN"/>
          <w14:textFill>
            <w14:solidFill>
              <w14:schemeClr w14:val="tx1"/>
            </w14:solidFill>
          </w14:textFill>
        </w:rPr>
        <w:t>昭通市鼎安科技有限公司</w:t>
      </w:r>
      <w:r>
        <w:rPr>
          <w:rFonts w:hint="eastAsia" w:ascii="宋体" w:hAnsi="宋体" w:eastAsia="宋体" w:cs="宋体"/>
          <w:color w:val="000000" w:themeColor="text1"/>
          <w:sz w:val="28"/>
          <w:szCs w:val="28"/>
          <w:lang w:val="zh-CN" w:eastAsia="zh-CN"/>
          <w14:textFill>
            <w14:solidFill>
              <w14:schemeClr w14:val="tx1"/>
            </w14:solidFill>
          </w14:textFill>
        </w:rPr>
        <w:t>组成安全评价组，于20</w:t>
      </w: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cs="宋体"/>
          <w:color w:val="000000" w:themeColor="text1"/>
          <w:sz w:val="28"/>
          <w:szCs w:val="28"/>
          <w:lang w:val="en-US" w:eastAsia="zh-CN"/>
          <w14:textFill>
            <w14:solidFill>
              <w14:schemeClr w14:val="tx1"/>
            </w14:solidFill>
          </w14:textFill>
        </w:rPr>
        <w:t>5</w:t>
      </w:r>
      <w:r>
        <w:rPr>
          <w:rFonts w:hint="eastAsia" w:ascii="宋体" w:hAnsi="宋体" w:eastAsia="宋体" w:cs="宋体"/>
          <w:color w:val="000000" w:themeColor="text1"/>
          <w:sz w:val="28"/>
          <w:szCs w:val="28"/>
          <w:lang w:val="zh-CN" w:eastAsia="zh-CN"/>
          <w14:textFill>
            <w14:solidFill>
              <w14:schemeClr w14:val="tx1"/>
            </w14:solidFill>
          </w14:textFill>
        </w:rPr>
        <w:t>年</w:t>
      </w:r>
      <w:r>
        <w:rPr>
          <w:rFonts w:hint="eastAsia" w:ascii="宋体" w:hAnsi="宋体" w:cs="宋体"/>
          <w:color w:val="000000" w:themeColor="text1"/>
          <w:sz w:val="28"/>
          <w:szCs w:val="28"/>
          <w:lang w:val="en-US" w:eastAsia="zh-CN"/>
          <w14:textFill>
            <w14:solidFill>
              <w14:schemeClr w14:val="tx1"/>
            </w14:solidFill>
          </w14:textFill>
        </w:rPr>
        <w:t>11</w:t>
      </w:r>
      <w:r>
        <w:rPr>
          <w:rFonts w:hint="eastAsia" w:ascii="宋体" w:hAnsi="宋体" w:eastAsia="宋体" w:cs="宋体"/>
          <w:color w:val="000000" w:themeColor="text1"/>
          <w:sz w:val="28"/>
          <w:szCs w:val="28"/>
          <w:lang w:val="zh-CN" w:eastAsia="zh-CN"/>
          <w14:textFill>
            <w14:solidFill>
              <w14:schemeClr w14:val="tx1"/>
            </w14:solidFill>
          </w14:textFill>
        </w:rPr>
        <w:t>月</w:t>
      </w:r>
      <w:r>
        <w:rPr>
          <w:rFonts w:hint="eastAsia" w:ascii="宋体" w:hAnsi="宋体" w:cs="宋体"/>
          <w:color w:val="000000" w:themeColor="text1"/>
          <w:sz w:val="28"/>
          <w:szCs w:val="28"/>
          <w:lang w:val="en-US" w:eastAsia="zh-CN"/>
          <w14:textFill>
            <w14:solidFill>
              <w14:schemeClr w14:val="tx1"/>
            </w14:solidFill>
          </w14:textFill>
        </w:rPr>
        <w:t>1</w:t>
      </w:r>
      <w:r>
        <w:rPr>
          <w:rFonts w:hint="eastAsia" w:ascii="宋体" w:hAnsi="宋体" w:eastAsia="宋体" w:cs="宋体"/>
          <w:color w:val="000000" w:themeColor="text1"/>
          <w:sz w:val="28"/>
          <w:szCs w:val="28"/>
          <w:lang w:val="zh-CN" w:eastAsia="zh-CN"/>
          <w14:textFill>
            <w14:solidFill>
              <w14:schemeClr w14:val="tx1"/>
            </w14:solidFill>
          </w14:textFill>
        </w:rPr>
        <w:t>日对</w:t>
      </w:r>
      <w:r>
        <w:rPr>
          <w:rFonts w:hint="eastAsia" w:ascii="宋体" w:hAnsi="宋体" w:eastAsia="宋体" w:cs="宋体"/>
          <w:color w:val="000000" w:themeColor="text1"/>
          <w:sz w:val="28"/>
          <w:szCs w:val="28"/>
          <w:lang w:eastAsia="zh-CN"/>
          <w14:textFill>
            <w14:solidFill>
              <w14:schemeClr w14:val="tx1"/>
            </w14:solidFill>
          </w14:textFill>
        </w:rPr>
        <w:t>华能澜沧江（景洪）新能源有限公司</w:t>
      </w:r>
      <w:r>
        <w:rPr>
          <w:rFonts w:hint="eastAsia" w:ascii="宋体" w:hAnsi="宋体" w:eastAsia="宋体" w:cs="宋体"/>
          <w:color w:val="000000"/>
          <w:kern w:val="0"/>
          <w:sz w:val="28"/>
          <w:szCs w:val="28"/>
          <w:lang w:val="en-US" w:eastAsia="zh-CN" w:bidi="ar"/>
        </w:rPr>
        <w:t>景讷乡大寨村云盘光伏</w:t>
      </w:r>
      <w:r>
        <w:rPr>
          <w:rFonts w:hint="eastAsia" w:ascii="宋体" w:hAnsi="宋体" w:eastAsia="宋体" w:cs="宋体"/>
          <w:color w:val="000000" w:themeColor="text1"/>
          <w:sz w:val="28"/>
          <w:szCs w:val="28"/>
          <w:lang w:eastAsia="zh-CN"/>
          <w14:textFill>
            <w14:solidFill>
              <w14:schemeClr w14:val="tx1"/>
            </w14:solidFill>
          </w14:textFill>
        </w:rPr>
        <w:t>电站</w:t>
      </w:r>
      <w:r>
        <w:rPr>
          <w:rFonts w:hint="eastAsia" w:ascii="宋体" w:hAnsi="宋体" w:eastAsia="宋体" w:cs="宋体"/>
          <w:color w:val="000000" w:themeColor="text1"/>
          <w:sz w:val="28"/>
          <w:szCs w:val="28"/>
          <w:lang w:val="zh-CN" w:eastAsia="zh-CN"/>
          <w14:textFill>
            <w14:solidFill>
              <w14:schemeClr w14:val="tx1"/>
            </w14:solidFill>
          </w14:textFill>
        </w:rPr>
        <w:t>进行了现场调查和资料收集工作。参考国内已建成运行的其他光伏电站工程调研成果及大量同类设备和设施的事故情况及作业环境卫生有关资料，依据《安全验收评价导则》（AQ8003-2007）等有关标准、规范、技术规程以及工程验收阶段性成果，编写完成《华能澜沧江（景洪）新能源有限公司</w:t>
      </w:r>
      <w:r>
        <w:rPr>
          <w:rFonts w:hint="eastAsia" w:ascii="宋体" w:hAnsi="宋体" w:eastAsia="宋体" w:cs="宋体"/>
          <w:color w:val="000000"/>
          <w:kern w:val="0"/>
          <w:sz w:val="28"/>
          <w:szCs w:val="28"/>
          <w:lang w:val="en-US" w:eastAsia="zh-CN" w:bidi="ar"/>
        </w:rPr>
        <w:t>景讷乡大寨村云盘光伏</w:t>
      </w:r>
      <w:r>
        <w:rPr>
          <w:rFonts w:hint="eastAsia" w:ascii="宋体" w:hAnsi="宋体" w:eastAsia="宋体" w:cs="宋体"/>
          <w:color w:val="000000" w:themeColor="text1"/>
          <w:sz w:val="28"/>
          <w:szCs w:val="28"/>
          <w:lang w:eastAsia="zh-CN"/>
          <w14:textFill>
            <w14:solidFill>
              <w14:schemeClr w14:val="tx1"/>
            </w14:solidFill>
          </w14:textFill>
        </w:rPr>
        <w:t>电站</w:t>
      </w:r>
      <w:r>
        <w:rPr>
          <w:rFonts w:hint="eastAsia" w:ascii="宋体" w:hAnsi="宋体" w:eastAsia="宋体" w:cs="宋体"/>
          <w:color w:val="000000" w:themeColor="text1"/>
          <w:sz w:val="28"/>
          <w:szCs w:val="28"/>
          <w:lang w:val="zh-CN" w:eastAsia="zh-CN"/>
          <w14:textFill>
            <w14:solidFill>
              <w14:schemeClr w14:val="tx1"/>
            </w14:solidFill>
          </w14:textFill>
        </w:rPr>
        <w:t>安全</w:t>
      </w:r>
      <w:r>
        <w:rPr>
          <w:rFonts w:hint="eastAsia" w:ascii="宋体" w:hAnsi="宋体" w:eastAsia="宋体" w:cs="宋体"/>
          <w:color w:val="000000" w:themeColor="text1"/>
          <w:sz w:val="28"/>
          <w:szCs w:val="28"/>
          <w:lang w:val="en-US" w:eastAsia="zh-CN"/>
          <w14:textFill>
            <w14:solidFill>
              <w14:schemeClr w14:val="tx1"/>
            </w14:solidFill>
          </w14:textFill>
        </w:rPr>
        <w:t>设施竣工</w:t>
      </w:r>
      <w:r>
        <w:rPr>
          <w:rFonts w:hint="eastAsia" w:ascii="宋体" w:hAnsi="宋体" w:eastAsia="宋体" w:cs="宋体"/>
          <w:color w:val="000000" w:themeColor="text1"/>
          <w:sz w:val="28"/>
          <w:szCs w:val="28"/>
          <w:lang w:val="zh-CN" w:eastAsia="zh-CN"/>
          <w14:textFill>
            <w14:solidFill>
              <w14:schemeClr w14:val="tx1"/>
            </w14:solidFill>
          </w14:textFill>
        </w:rPr>
        <w:t>验收评价报告》。</w:t>
      </w:r>
    </w:p>
    <w:p w14:paraId="184B5674">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zh-CN" w:eastAsia="zh-CN"/>
          <w14:textFill>
            <w14:solidFill>
              <w14:schemeClr w14:val="tx1"/>
            </w14:solidFill>
          </w14:textFill>
        </w:rPr>
        <w:t>本安全设施验收评价报告结论的主要技术支撑依据是：被评价单位提供的资料、现场勘察时的现状以及本评价机构所采用的评价方法等。当被评价项目的周边环境、总平面布置、安全生产设施、生产工艺和管理状况发生变化，超出本评价报告所依据的技术支撑，本评价结论将不再成立。当发生这些情况后，建议企业及时委托有资质的安全评价中介机构重新进行安全评价。</w:t>
      </w:r>
    </w:p>
    <w:p w14:paraId="2DD8A8C8">
      <w:pPr>
        <w:keepNext w:val="0"/>
        <w:keepLines w:val="0"/>
        <w:pageBreakBefore w:val="0"/>
        <w:kinsoku/>
        <w:wordWrap/>
        <w:overflowPunct/>
        <w:topLinePunct w:val="0"/>
        <w:autoSpaceDE/>
        <w:autoSpaceDN/>
        <w:bidi w:val="0"/>
        <w:adjustRightInd/>
        <w:snapToGrid/>
        <w:spacing w:line="4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sectPr>
          <w:footerReference r:id="rId6" w:type="default"/>
          <w:pgSz w:w="11906" w:h="16838"/>
          <w:pgMar w:top="1417" w:right="1417" w:bottom="1417" w:left="1587" w:header="851" w:footer="992" w:gutter="0"/>
          <w:pgNumType w:start="1"/>
          <w:cols w:space="425" w:num="1"/>
          <w:docGrid w:type="lines" w:linePitch="312" w:charSpace="0"/>
        </w:sectPr>
      </w:pPr>
      <w:r>
        <w:rPr>
          <w:rFonts w:hint="eastAsia" w:ascii="宋体" w:hAnsi="宋体" w:eastAsia="宋体" w:cs="宋体"/>
          <w:color w:val="000000" w:themeColor="text1"/>
          <w:sz w:val="28"/>
          <w:szCs w:val="28"/>
          <w:lang w:val="zh-CN" w:eastAsia="zh-CN"/>
          <w14:textFill>
            <w14:solidFill>
              <w14:schemeClr w14:val="tx1"/>
            </w14:solidFill>
          </w14:textFill>
        </w:rPr>
        <w:t>在本次安全设施验收评价过程中，得到华能澜沧江（</w:t>
      </w:r>
      <w:r>
        <w:rPr>
          <w:rFonts w:hint="eastAsia" w:ascii="宋体" w:hAnsi="宋体" w:eastAsia="宋体" w:cs="宋体"/>
          <w:color w:val="000000" w:themeColor="text1"/>
          <w:sz w:val="28"/>
          <w:szCs w:val="28"/>
          <w:lang w:val="en-US" w:eastAsia="zh-CN"/>
          <w14:textFill>
            <w14:solidFill>
              <w14:schemeClr w14:val="tx1"/>
            </w14:solidFill>
          </w14:textFill>
        </w:rPr>
        <w:t>景洪</w:t>
      </w:r>
      <w:r>
        <w:rPr>
          <w:rFonts w:hint="eastAsia" w:ascii="宋体" w:hAnsi="宋体" w:eastAsia="宋体" w:cs="宋体"/>
          <w:color w:val="000000" w:themeColor="text1"/>
          <w:sz w:val="28"/>
          <w:szCs w:val="28"/>
          <w:lang w:val="zh-CN" w:eastAsia="zh-CN"/>
          <w14:textFill>
            <w14:solidFill>
              <w14:schemeClr w14:val="tx1"/>
            </w14:solidFill>
          </w14:textFill>
        </w:rPr>
        <w:t>）新能源有限公司相关技术人员的大力支持，同时引用了一些专家学者的研究成果和技术资料，在此一并表示感谢！</w:t>
      </w:r>
    </w:p>
    <w:sdt>
      <w:sdtPr>
        <w:rPr>
          <w:rFonts w:ascii="宋体" w:hAnsi="宋体" w:eastAsia="宋体" w:cs="Times New Roman"/>
          <w:b/>
          <w:bCs/>
          <w:kern w:val="2"/>
          <w:sz w:val="30"/>
          <w:szCs w:val="30"/>
          <w:lang w:val="en-US" w:eastAsia="zh-CN" w:bidi="ar-SA"/>
        </w:rPr>
        <w:id w:val="147468558"/>
        <w15:color w:val="DBDBDB"/>
        <w:docPartObj>
          <w:docPartGallery w:val="Table of Contents"/>
          <w:docPartUnique/>
        </w:docPartObj>
      </w:sdtPr>
      <w:sdtEndPr>
        <w:rPr>
          <w:rFonts w:ascii="宋体" w:hAnsi="宋体" w:eastAsia="宋体" w:cs="Times New Roman"/>
          <w:b/>
          <w:bCs/>
          <w:kern w:val="2"/>
          <w:sz w:val="21"/>
          <w:szCs w:val="24"/>
          <w:lang w:val="en-US" w:eastAsia="zh-CN" w:bidi="ar-SA"/>
        </w:rPr>
      </w:sdtEndPr>
      <w:sdtContent>
        <w:p w14:paraId="1120B76D">
          <w:pPr>
            <w:spacing w:before="0" w:beforeLines="0" w:after="0" w:afterLines="0" w:line="240" w:lineRule="auto"/>
            <w:ind w:left="0" w:leftChars="0" w:right="0" w:rightChars="0" w:firstLine="0" w:firstLineChars="0"/>
            <w:jc w:val="center"/>
            <w:rPr>
              <w:b/>
              <w:bCs/>
              <w:sz w:val="30"/>
              <w:szCs w:val="30"/>
            </w:rPr>
          </w:pPr>
          <w:r>
            <w:rPr>
              <w:rFonts w:ascii="宋体" w:hAnsi="宋体" w:eastAsia="宋体"/>
              <w:b/>
              <w:bCs/>
              <w:sz w:val="30"/>
              <w:szCs w:val="30"/>
            </w:rPr>
            <w:t>目录</w:t>
          </w:r>
        </w:p>
        <w:p w14:paraId="23B54CB8">
          <w:pPr>
            <w:pStyle w:val="18"/>
            <w:tabs>
              <w:tab w:val="left" w:pos="301"/>
            </w:tabs>
            <w:rPr>
              <w:rFonts w:hint="eastAsia" w:ascii="仿宋" w:hAnsi="仿宋" w:eastAsia="仿宋" w:cs="仿宋"/>
              <w:b/>
              <w:bCs/>
              <w:sz w:val="24"/>
              <w:szCs w:val="24"/>
            </w:rPr>
          </w:pPr>
          <w:r>
            <w:fldChar w:fldCharType="begin"/>
          </w:r>
          <w:r>
            <w:instrText xml:space="preserve">TOC \o "1-3" \h \u </w:instrText>
          </w:r>
          <w:r>
            <w:fldChar w:fldCharType="separate"/>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_Toc12880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前</w:t>
          </w:r>
          <w:r>
            <w:rPr>
              <w:rFonts w:hint="eastAsia" w:ascii="仿宋" w:hAnsi="仿宋" w:eastAsia="仿宋" w:cs="仿宋"/>
              <w:b/>
              <w:bCs/>
              <w:sz w:val="24"/>
              <w:szCs w:val="24"/>
              <w:lang w:val="en-US" w:eastAsia="zh-CN"/>
            </w:rPr>
            <w:t xml:space="preserve">  </w:t>
          </w:r>
          <w:r>
            <w:rPr>
              <w:rFonts w:hint="eastAsia" w:ascii="仿宋" w:hAnsi="仿宋" w:eastAsia="仿宋" w:cs="仿宋"/>
              <w:b/>
              <w:bCs/>
              <w:sz w:val="24"/>
              <w:szCs w:val="24"/>
            </w:rPr>
            <w:t>言</w:t>
          </w:r>
          <w:r>
            <w:rPr>
              <w:rFonts w:hint="eastAsia" w:ascii="仿宋" w:hAnsi="仿宋" w:eastAsia="仿宋" w:cs="仿宋"/>
              <w:b/>
              <w:bCs/>
              <w:sz w:val="24"/>
              <w:szCs w:val="24"/>
            </w:rPr>
            <w:fldChar w:fldCharType="end"/>
          </w:r>
        </w:p>
        <w:p w14:paraId="5099910E">
          <w:pPr>
            <w:pStyle w:val="16"/>
            <w:tabs>
              <w:tab w:val="right" w:leader="dot" w:pos="8902"/>
            </w:tabs>
            <w:rPr>
              <w:rFonts w:hint="eastAsia" w:ascii="仿宋" w:hAnsi="仿宋" w:eastAsia="仿宋" w:cs="仿宋"/>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_Toc20325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lang w:val="en-US" w:eastAsia="zh-CN"/>
            </w:rPr>
            <w:t>1 编制说明</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_Toc20325 \h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1</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14:paraId="5E6E37FC">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_Toc15163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1.1</w:t>
          </w:r>
          <w:r>
            <w:rPr>
              <w:rFonts w:hint="eastAsia" w:ascii="仿宋" w:hAnsi="仿宋" w:eastAsia="仿宋" w:cs="仿宋"/>
              <w:bCs/>
              <w:sz w:val="24"/>
              <w:szCs w:val="24"/>
            </w:rPr>
            <w:t>评价对象和范围</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_Toc15163 \h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01537DFF">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_Toc9000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1.1.1</w:t>
          </w:r>
          <w:r>
            <w:rPr>
              <w:rFonts w:hint="eastAsia" w:ascii="仿宋" w:hAnsi="仿宋" w:eastAsia="仿宋" w:cs="仿宋"/>
              <w:bCs/>
              <w:sz w:val="24"/>
              <w:szCs w:val="24"/>
            </w:rPr>
            <w:t>评价对象</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_Toc9000 \h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1DF6A67">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_Toc19202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1.1.2评价目的</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_Toc19202 \h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1DD469A6">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_Toc20162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1.1.3评价范围</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_Toc20162 \h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017DD23F">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_Toc17161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1.2评价依据</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_Toc17161 \h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A632457">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_Toc21326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1.2.1法律、法规</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_Toc21326 \h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28069266">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_Toc22560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1.2.2行政法规</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_Toc22560 \h </w:instrText>
          </w:r>
          <w:r>
            <w:rPr>
              <w:rFonts w:hint="eastAsia" w:ascii="仿宋" w:hAnsi="仿宋" w:eastAsia="仿宋" w:cs="仿宋"/>
              <w:sz w:val="24"/>
              <w:szCs w:val="24"/>
            </w:rPr>
            <w:fldChar w:fldCharType="separate"/>
          </w:r>
          <w:r>
            <w:rPr>
              <w:rFonts w:hint="eastAsia" w:ascii="仿宋" w:hAnsi="仿宋" w:eastAsia="仿宋" w:cs="仿宋"/>
              <w:sz w:val="24"/>
              <w:szCs w:val="24"/>
            </w:rPr>
            <w:t>2</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42CE2F62">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_Toc29177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1.2.3部门规章及规范性文件</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_Toc29177 \h </w:instrText>
          </w:r>
          <w:r>
            <w:rPr>
              <w:rFonts w:hint="eastAsia" w:ascii="仿宋" w:hAnsi="仿宋" w:eastAsia="仿宋" w:cs="仿宋"/>
              <w:sz w:val="24"/>
              <w:szCs w:val="24"/>
            </w:rPr>
            <w:fldChar w:fldCharType="separate"/>
          </w:r>
          <w:r>
            <w:rPr>
              <w:rFonts w:hint="eastAsia" w:ascii="仿宋" w:hAnsi="仿宋" w:eastAsia="仿宋" w:cs="仿宋"/>
              <w:sz w:val="24"/>
              <w:szCs w:val="24"/>
            </w:rPr>
            <w:t>3</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F26956F">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_Toc4082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1.2.4地方性法规及规范性文件</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_Toc4082 \h </w:instrText>
          </w:r>
          <w:r>
            <w:rPr>
              <w:rFonts w:hint="eastAsia" w:ascii="仿宋" w:hAnsi="仿宋" w:eastAsia="仿宋" w:cs="仿宋"/>
              <w:sz w:val="24"/>
              <w:szCs w:val="24"/>
            </w:rPr>
            <w:fldChar w:fldCharType="separate"/>
          </w:r>
          <w:r>
            <w:rPr>
              <w:rFonts w:hint="eastAsia" w:ascii="仿宋" w:hAnsi="仿宋" w:eastAsia="仿宋" w:cs="仿宋"/>
              <w:sz w:val="24"/>
              <w:szCs w:val="24"/>
            </w:rPr>
            <w:t>6</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057D6C0">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_Toc1577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1.2.5主要技术标准规范</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_Toc1577 \h </w:instrText>
          </w:r>
          <w:r>
            <w:rPr>
              <w:rFonts w:hint="eastAsia" w:ascii="仿宋" w:hAnsi="仿宋" w:eastAsia="仿宋" w:cs="仿宋"/>
              <w:sz w:val="24"/>
              <w:szCs w:val="24"/>
            </w:rPr>
            <w:fldChar w:fldCharType="separate"/>
          </w:r>
          <w:r>
            <w:rPr>
              <w:rFonts w:hint="eastAsia" w:ascii="仿宋" w:hAnsi="仿宋" w:eastAsia="仿宋" w:cs="仿宋"/>
              <w:sz w:val="24"/>
              <w:szCs w:val="24"/>
            </w:rPr>
            <w:t>7</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8A0CF9A">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_Toc15120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1.2.6行业标准规范</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_Toc15120 \h </w:instrText>
          </w:r>
          <w:r>
            <w:rPr>
              <w:rFonts w:hint="eastAsia" w:ascii="仿宋" w:hAnsi="仿宋" w:eastAsia="仿宋" w:cs="仿宋"/>
              <w:sz w:val="24"/>
              <w:szCs w:val="24"/>
            </w:rPr>
            <w:fldChar w:fldCharType="separate"/>
          </w:r>
          <w:r>
            <w:rPr>
              <w:rFonts w:hint="eastAsia" w:ascii="仿宋" w:hAnsi="仿宋" w:eastAsia="仿宋" w:cs="仿宋"/>
              <w:sz w:val="24"/>
              <w:szCs w:val="24"/>
            </w:rPr>
            <w:t>10</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462CEC5C">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_Toc32229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1.3建设项目合法证明文件</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_Toc32229 \h </w:instrText>
          </w:r>
          <w:r>
            <w:rPr>
              <w:rFonts w:hint="eastAsia" w:ascii="仿宋" w:hAnsi="仿宋" w:eastAsia="仿宋" w:cs="仿宋"/>
              <w:sz w:val="24"/>
              <w:szCs w:val="24"/>
            </w:rPr>
            <w:fldChar w:fldCharType="separate"/>
          </w:r>
          <w:r>
            <w:rPr>
              <w:rFonts w:hint="eastAsia" w:ascii="仿宋" w:hAnsi="仿宋" w:eastAsia="仿宋" w:cs="仿宋"/>
              <w:sz w:val="24"/>
              <w:szCs w:val="24"/>
            </w:rPr>
            <w:t>11</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4BB30C82">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_Toc22581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1.4建设项目技术资料</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_Toc22581 \h </w:instrText>
          </w:r>
          <w:r>
            <w:rPr>
              <w:rFonts w:hint="eastAsia" w:ascii="仿宋" w:hAnsi="仿宋" w:eastAsia="仿宋" w:cs="仿宋"/>
              <w:sz w:val="24"/>
              <w:szCs w:val="24"/>
            </w:rPr>
            <w:fldChar w:fldCharType="separate"/>
          </w:r>
          <w:r>
            <w:rPr>
              <w:rFonts w:hint="eastAsia" w:ascii="仿宋" w:hAnsi="仿宋" w:eastAsia="仿宋" w:cs="仿宋"/>
              <w:sz w:val="24"/>
              <w:szCs w:val="24"/>
            </w:rPr>
            <w:t>11</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2D63D08B">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_Toc19083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1.5其他评价依据</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_Toc19083 \h </w:instrText>
          </w:r>
          <w:r>
            <w:rPr>
              <w:rFonts w:hint="eastAsia" w:ascii="仿宋" w:hAnsi="仿宋" w:eastAsia="仿宋" w:cs="仿宋"/>
              <w:sz w:val="24"/>
              <w:szCs w:val="24"/>
            </w:rPr>
            <w:fldChar w:fldCharType="separate"/>
          </w:r>
          <w:r>
            <w:rPr>
              <w:rFonts w:hint="eastAsia" w:ascii="仿宋" w:hAnsi="仿宋" w:eastAsia="仿宋" w:cs="仿宋"/>
              <w:sz w:val="24"/>
              <w:szCs w:val="24"/>
            </w:rPr>
            <w:t>12</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219D2C1C">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_Toc29356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1.6评价原则</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_Toc29356 \h </w:instrText>
          </w:r>
          <w:r>
            <w:rPr>
              <w:rFonts w:hint="eastAsia" w:ascii="仿宋" w:hAnsi="仿宋" w:eastAsia="仿宋" w:cs="仿宋"/>
              <w:sz w:val="24"/>
              <w:szCs w:val="24"/>
            </w:rPr>
            <w:fldChar w:fldCharType="separate"/>
          </w:r>
          <w:r>
            <w:rPr>
              <w:rFonts w:hint="eastAsia" w:ascii="仿宋" w:hAnsi="仿宋" w:eastAsia="仿宋" w:cs="仿宋"/>
              <w:sz w:val="24"/>
              <w:szCs w:val="24"/>
            </w:rPr>
            <w:t>12</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176FD4DE">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_Toc13326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1.7评价程序</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_Toc13326 \h </w:instrText>
          </w:r>
          <w:r>
            <w:rPr>
              <w:rFonts w:hint="eastAsia" w:ascii="仿宋" w:hAnsi="仿宋" w:eastAsia="仿宋" w:cs="仿宋"/>
              <w:sz w:val="24"/>
              <w:szCs w:val="24"/>
            </w:rPr>
            <w:fldChar w:fldCharType="separate"/>
          </w:r>
          <w:r>
            <w:rPr>
              <w:rFonts w:hint="eastAsia" w:ascii="仿宋" w:hAnsi="仿宋" w:eastAsia="仿宋" w:cs="仿宋"/>
              <w:sz w:val="24"/>
              <w:szCs w:val="24"/>
            </w:rPr>
            <w:t>12</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1C40734">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_Toc23819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1.8评价报告使用权声明</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_Toc23819 \h </w:instrText>
          </w:r>
          <w:r>
            <w:rPr>
              <w:rFonts w:hint="eastAsia" w:ascii="仿宋" w:hAnsi="仿宋" w:eastAsia="仿宋" w:cs="仿宋"/>
              <w:sz w:val="24"/>
              <w:szCs w:val="24"/>
            </w:rPr>
            <w:fldChar w:fldCharType="separate"/>
          </w:r>
          <w:r>
            <w:rPr>
              <w:rFonts w:hint="eastAsia" w:ascii="仿宋" w:hAnsi="仿宋" w:eastAsia="仿宋" w:cs="仿宋"/>
              <w:sz w:val="24"/>
              <w:szCs w:val="24"/>
            </w:rPr>
            <w:t>14</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23557930">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_Toc2901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1.9评价基准日</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_Toc2901 \h </w:instrText>
          </w:r>
          <w:r>
            <w:rPr>
              <w:rFonts w:hint="eastAsia" w:ascii="仿宋" w:hAnsi="仿宋" w:eastAsia="仿宋" w:cs="仿宋"/>
              <w:sz w:val="24"/>
              <w:szCs w:val="24"/>
            </w:rPr>
            <w:fldChar w:fldCharType="separate"/>
          </w:r>
          <w:r>
            <w:rPr>
              <w:rFonts w:hint="eastAsia" w:ascii="仿宋" w:hAnsi="仿宋" w:eastAsia="仿宋" w:cs="仿宋"/>
              <w:sz w:val="24"/>
              <w:szCs w:val="24"/>
            </w:rPr>
            <w:t>14</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1D057504">
          <w:pPr>
            <w:pStyle w:val="16"/>
            <w:tabs>
              <w:tab w:val="right" w:leader="dot" w:pos="8902"/>
            </w:tabs>
            <w:rPr>
              <w:rFonts w:hint="eastAsia" w:ascii="仿宋" w:hAnsi="仿宋" w:eastAsia="仿宋" w:cs="仿宋"/>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_Toc29343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 xml:space="preserve"> </w:t>
          </w:r>
          <w:r>
            <w:rPr>
              <w:rFonts w:hint="eastAsia" w:ascii="仿宋" w:hAnsi="仿宋" w:eastAsia="仿宋" w:cs="仿宋"/>
              <w:b/>
              <w:bCs/>
              <w:sz w:val="24"/>
              <w:szCs w:val="24"/>
              <w:lang w:val="en-US" w:eastAsia="zh-CN"/>
            </w:rPr>
            <w:t>建设</w:t>
          </w:r>
          <w:r>
            <w:rPr>
              <w:rFonts w:hint="eastAsia" w:ascii="仿宋" w:hAnsi="仿宋" w:eastAsia="仿宋" w:cs="仿宋"/>
              <w:b/>
              <w:bCs/>
              <w:sz w:val="24"/>
              <w:szCs w:val="24"/>
            </w:rPr>
            <w:t>项目概述</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_Toc29343 \h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15</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14:paraId="6B013448">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_Toc23674 </w:instrText>
          </w:r>
          <w:r>
            <w:rPr>
              <w:rFonts w:hint="eastAsia" w:ascii="仿宋" w:hAnsi="仿宋" w:eastAsia="仿宋" w:cs="仿宋"/>
              <w:sz w:val="24"/>
              <w:szCs w:val="24"/>
            </w:rPr>
            <w:fldChar w:fldCharType="separate"/>
          </w:r>
          <w:r>
            <w:rPr>
              <w:rFonts w:hint="eastAsia" w:ascii="仿宋" w:hAnsi="仿宋" w:eastAsia="仿宋" w:cs="仿宋"/>
              <w:sz w:val="24"/>
              <w:szCs w:val="24"/>
            </w:rPr>
            <w:t xml:space="preserve">2.1 </w:t>
          </w:r>
          <w:r>
            <w:rPr>
              <w:rFonts w:hint="eastAsia" w:ascii="仿宋" w:hAnsi="仿宋" w:eastAsia="仿宋" w:cs="仿宋"/>
              <w:sz w:val="24"/>
              <w:szCs w:val="24"/>
              <w:lang w:val="en-US" w:eastAsia="zh-CN"/>
            </w:rPr>
            <w:t>建设单位概况</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_Toc23674 \h </w:instrText>
          </w:r>
          <w:r>
            <w:rPr>
              <w:rFonts w:hint="eastAsia" w:ascii="仿宋" w:hAnsi="仿宋" w:eastAsia="仿宋" w:cs="仿宋"/>
              <w:sz w:val="24"/>
              <w:szCs w:val="24"/>
            </w:rPr>
            <w:fldChar w:fldCharType="separate"/>
          </w:r>
          <w:r>
            <w:rPr>
              <w:rFonts w:hint="eastAsia" w:ascii="仿宋" w:hAnsi="仿宋" w:eastAsia="仿宋" w:cs="仿宋"/>
              <w:sz w:val="24"/>
              <w:szCs w:val="24"/>
            </w:rPr>
            <w:t>15</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0EA6ADF">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_Toc7472 </w:instrText>
          </w:r>
          <w:r>
            <w:rPr>
              <w:rFonts w:hint="eastAsia" w:ascii="仿宋" w:hAnsi="仿宋" w:eastAsia="仿宋" w:cs="仿宋"/>
              <w:sz w:val="24"/>
              <w:szCs w:val="24"/>
            </w:rPr>
            <w:fldChar w:fldCharType="separate"/>
          </w:r>
          <w:r>
            <w:rPr>
              <w:rFonts w:hint="eastAsia" w:ascii="仿宋" w:hAnsi="仿宋" w:eastAsia="仿宋" w:cs="仿宋"/>
              <w:sz w:val="24"/>
              <w:szCs w:val="24"/>
            </w:rPr>
            <w:t>2.1.1 建设单位基本情况</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_Toc7472 \h </w:instrText>
          </w:r>
          <w:r>
            <w:rPr>
              <w:rFonts w:hint="eastAsia" w:ascii="仿宋" w:hAnsi="仿宋" w:eastAsia="仿宋" w:cs="仿宋"/>
              <w:sz w:val="24"/>
              <w:szCs w:val="24"/>
            </w:rPr>
            <w:fldChar w:fldCharType="separate"/>
          </w:r>
          <w:r>
            <w:rPr>
              <w:rFonts w:hint="eastAsia" w:ascii="仿宋" w:hAnsi="仿宋" w:eastAsia="仿宋" w:cs="仿宋"/>
              <w:sz w:val="24"/>
              <w:szCs w:val="24"/>
            </w:rPr>
            <w:t>15</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1624D036">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_Toc2027 </w:instrText>
          </w:r>
          <w:r>
            <w:rPr>
              <w:rFonts w:hint="eastAsia" w:ascii="仿宋" w:hAnsi="仿宋" w:eastAsia="仿宋" w:cs="仿宋"/>
              <w:sz w:val="24"/>
              <w:szCs w:val="24"/>
            </w:rPr>
            <w:fldChar w:fldCharType="separate"/>
          </w:r>
          <w:r>
            <w:rPr>
              <w:rFonts w:hint="eastAsia" w:ascii="仿宋" w:hAnsi="仿宋" w:eastAsia="仿宋" w:cs="仿宋"/>
              <w:bCs w:val="0"/>
              <w:sz w:val="24"/>
              <w:szCs w:val="24"/>
            </w:rPr>
            <w:t>2.1.2建设项目概况</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_Toc2027 \h </w:instrText>
          </w:r>
          <w:r>
            <w:rPr>
              <w:rFonts w:hint="eastAsia" w:ascii="仿宋" w:hAnsi="仿宋" w:eastAsia="仿宋" w:cs="仿宋"/>
              <w:sz w:val="24"/>
              <w:szCs w:val="24"/>
            </w:rPr>
            <w:fldChar w:fldCharType="separate"/>
          </w:r>
          <w:r>
            <w:rPr>
              <w:rFonts w:hint="eastAsia" w:ascii="仿宋" w:hAnsi="仿宋" w:eastAsia="仿宋" w:cs="仿宋"/>
              <w:sz w:val="24"/>
              <w:szCs w:val="24"/>
            </w:rPr>
            <w:t>15</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02E6BD1E">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_Toc2578 </w:instrText>
          </w:r>
          <w:r>
            <w:rPr>
              <w:rFonts w:hint="eastAsia" w:ascii="仿宋" w:hAnsi="仿宋" w:eastAsia="仿宋" w:cs="仿宋"/>
              <w:sz w:val="24"/>
              <w:szCs w:val="24"/>
            </w:rPr>
            <w:fldChar w:fldCharType="separate"/>
          </w:r>
          <w:r>
            <w:rPr>
              <w:rFonts w:hint="eastAsia" w:ascii="仿宋" w:hAnsi="仿宋" w:eastAsia="仿宋" w:cs="仿宋"/>
              <w:bCs w:val="0"/>
              <w:sz w:val="24"/>
              <w:szCs w:val="24"/>
            </w:rPr>
            <w:t>2.</w:t>
          </w:r>
          <w:r>
            <w:rPr>
              <w:rFonts w:hint="eastAsia" w:ascii="仿宋" w:hAnsi="仿宋" w:eastAsia="仿宋" w:cs="仿宋"/>
              <w:bCs w:val="0"/>
              <w:sz w:val="24"/>
              <w:szCs w:val="24"/>
              <w:lang w:val="en-US" w:eastAsia="zh-CN"/>
            </w:rPr>
            <w:t>1</w:t>
          </w:r>
          <w:r>
            <w:rPr>
              <w:rFonts w:hint="eastAsia" w:ascii="仿宋" w:hAnsi="仿宋" w:eastAsia="仿宋" w:cs="仿宋"/>
              <w:bCs w:val="0"/>
              <w:sz w:val="24"/>
              <w:szCs w:val="24"/>
            </w:rPr>
            <w:t>.</w:t>
          </w:r>
          <w:r>
            <w:rPr>
              <w:rFonts w:hint="eastAsia" w:ascii="仿宋" w:hAnsi="仿宋" w:eastAsia="仿宋" w:cs="仿宋"/>
              <w:bCs w:val="0"/>
              <w:sz w:val="24"/>
              <w:szCs w:val="24"/>
              <w:lang w:val="en-US" w:eastAsia="zh-CN"/>
            </w:rPr>
            <w:t>3</w:t>
          </w:r>
          <w:r>
            <w:rPr>
              <w:rFonts w:hint="eastAsia" w:ascii="仿宋" w:hAnsi="仿宋" w:eastAsia="仿宋" w:cs="仿宋"/>
              <w:bCs w:val="0"/>
              <w:sz w:val="24"/>
              <w:szCs w:val="24"/>
            </w:rPr>
            <w:t xml:space="preserve"> </w:t>
          </w:r>
          <w:r>
            <w:rPr>
              <w:rFonts w:hint="eastAsia" w:ascii="仿宋" w:hAnsi="仿宋" w:eastAsia="仿宋" w:cs="仿宋"/>
              <w:bCs w:val="0"/>
              <w:sz w:val="24"/>
              <w:szCs w:val="24"/>
              <w:lang w:val="en-US" w:eastAsia="zh-CN"/>
            </w:rPr>
            <w:t>主要建设内容</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_Toc2578 \h </w:instrText>
          </w:r>
          <w:r>
            <w:rPr>
              <w:rFonts w:hint="eastAsia" w:ascii="仿宋" w:hAnsi="仿宋" w:eastAsia="仿宋" w:cs="仿宋"/>
              <w:sz w:val="24"/>
              <w:szCs w:val="24"/>
            </w:rPr>
            <w:fldChar w:fldCharType="separate"/>
          </w:r>
          <w:r>
            <w:rPr>
              <w:rFonts w:hint="eastAsia" w:ascii="仿宋" w:hAnsi="仿宋" w:eastAsia="仿宋" w:cs="仿宋"/>
              <w:sz w:val="24"/>
              <w:szCs w:val="24"/>
            </w:rPr>
            <w:t>15</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AB34EA7">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_Toc8646 </w:instrText>
          </w:r>
          <w:r>
            <w:rPr>
              <w:rFonts w:hint="eastAsia" w:ascii="仿宋" w:hAnsi="仿宋" w:eastAsia="仿宋" w:cs="仿宋"/>
              <w:sz w:val="24"/>
              <w:szCs w:val="24"/>
            </w:rPr>
            <w:fldChar w:fldCharType="separate"/>
          </w:r>
          <w:r>
            <w:rPr>
              <w:rFonts w:hint="eastAsia" w:ascii="仿宋" w:hAnsi="仿宋" w:eastAsia="仿宋" w:cs="仿宋"/>
              <w:bCs w:val="0"/>
              <w:sz w:val="24"/>
              <w:szCs w:val="24"/>
            </w:rPr>
            <w:t>2.</w:t>
          </w:r>
          <w:r>
            <w:rPr>
              <w:rFonts w:hint="eastAsia" w:ascii="仿宋" w:hAnsi="仿宋" w:eastAsia="仿宋" w:cs="仿宋"/>
              <w:bCs w:val="0"/>
              <w:sz w:val="24"/>
              <w:szCs w:val="24"/>
              <w:lang w:val="en-US" w:eastAsia="zh-CN"/>
            </w:rPr>
            <w:t>1</w:t>
          </w:r>
          <w:r>
            <w:rPr>
              <w:rFonts w:hint="eastAsia" w:ascii="仿宋" w:hAnsi="仿宋" w:eastAsia="仿宋" w:cs="仿宋"/>
              <w:bCs w:val="0"/>
              <w:sz w:val="24"/>
              <w:szCs w:val="24"/>
            </w:rPr>
            <w:t>.</w:t>
          </w:r>
          <w:r>
            <w:rPr>
              <w:rFonts w:hint="eastAsia" w:ascii="仿宋" w:hAnsi="仿宋" w:eastAsia="仿宋" w:cs="仿宋"/>
              <w:bCs w:val="0"/>
              <w:sz w:val="24"/>
              <w:szCs w:val="24"/>
              <w:lang w:val="en-US" w:eastAsia="zh-CN"/>
            </w:rPr>
            <w:t>4</w:t>
          </w:r>
          <w:r>
            <w:rPr>
              <w:rFonts w:hint="eastAsia" w:ascii="仿宋" w:hAnsi="仿宋" w:eastAsia="仿宋" w:cs="仿宋"/>
              <w:bCs w:val="0"/>
              <w:sz w:val="24"/>
              <w:szCs w:val="24"/>
            </w:rPr>
            <w:t xml:space="preserve"> </w:t>
          </w:r>
          <w:r>
            <w:rPr>
              <w:rFonts w:hint="eastAsia" w:ascii="仿宋" w:hAnsi="仿宋" w:eastAsia="仿宋" w:cs="仿宋"/>
              <w:bCs w:val="0"/>
              <w:sz w:val="24"/>
              <w:szCs w:val="24"/>
              <w:lang w:val="en-US" w:eastAsia="zh-CN"/>
            </w:rPr>
            <w:t>建设历程</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_Toc8646 \h </w:instrText>
          </w:r>
          <w:r>
            <w:rPr>
              <w:rFonts w:hint="eastAsia" w:ascii="仿宋" w:hAnsi="仿宋" w:eastAsia="仿宋" w:cs="仿宋"/>
              <w:sz w:val="24"/>
              <w:szCs w:val="24"/>
            </w:rPr>
            <w:fldChar w:fldCharType="separate"/>
          </w:r>
          <w:r>
            <w:rPr>
              <w:rFonts w:hint="eastAsia" w:ascii="仿宋" w:hAnsi="仿宋" w:eastAsia="仿宋" w:cs="仿宋"/>
              <w:sz w:val="24"/>
              <w:szCs w:val="24"/>
            </w:rPr>
            <w:t>16</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1DFE5CEE">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_Toc4256 </w:instrText>
          </w:r>
          <w:r>
            <w:rPr>
              <w:rFonts w:hint="eastAsia" w:ascii="仿宋" w:hAnsi="仿宋" w:eastAsia="仿宋" w:cs="仿宋"/>
              <w:sz w:val="24"/>
              <w:szCs w:val="24"/>
            </w:rPr>
            <w:fldChar w:fldCharType="separate"/>
          </w:r>
          <w:r>
            <w:rPr>
              <w:rFonts w:hint="eastAsia" w:ascii="仿宋" w:hAnsi="仿宋" w:eastAsia="仿宋" w:cs="仿宋"/>
              <w:bCs w:val="0"/>
              <w:sz w:val="24"/>
              <w:szCs w:val="24"/>
            </w:rPr>
            <w:t>2.</w:t>
          </w:r>
          <w:r>
            <w:rPr>
              <w:rFonts w:hint="eastAsia" w:ascii="仿宋" w:hAnsi="仿宋" w:eastAsia="仿宋" w:cs="仿宋"/>
              <w:bCs w:val="0"/>
              <w:sz w:val="24"/>
              <w:szCs w:val="24"/>
              <w:lang w:val="en-US" w:eastAsia="zh-CN"/>
            </w:rPr>
            <w:t>1</w:t>
          </w:r>
          <w:r>
            <w:rPr>
              <w:rFonts w:hint="eastAsia" w:ascii="仿宋" w:hAnsi="仿宋" w:eastAsia="仿宋" w:cs="仿宋"/>
              <w:bCs w:val="0"/>
              <w:sz w:val="24"/>
              <w:szCs w:val="24"/>
            </w:rPr>
            <w:t>.</w:t>
          </w:r>
          <w:r>
            <w:rPr>
              <w:rFonts w:hint="eastAsia" w:ascii="仿宋" w:hAnsi="仿宋" w:eastAsia="仿宋" w:cs="仿宋"/>
              <w:bCs w:val="0"/>
              <w:sz w:val="24"/>
              <w:szCs w:val="24"/>
              <w:lang w:val="en-US" w:eastAsia="zh-CN"/>
            </w:rPr>
            <w:t>5</w:t>
          </w:r>
          <w:r>
            <w:rPr>
              <w:rFonts w:hint="eastAsia" w:ascii="仿宋" w:hAnsi="仿宋" w:eastAsia="仿宋" w:cs="仿宋"/>
              <w:bCs w:val="0"/>
              <w:sz w:val="24"/>
              <w:szCs w:val="24"/>
            </w:rPr>
            <w:t xml:space="preserve"> 主要原料消耗和产品</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_Toc4256 \h </w:instrText>
          </w:r>
          <w:r>
            <w:rPr>
              <w:rFonts w:hint="eastAsia" w:ascii="仿宋" w:hAnsi="仿宋" w:eastAsia="仿宋" w:cs="仿宋"/>
              <w:sz w:val="24"/>
              <w:szCs w:val="24"/>
            </w:rPr>
            <w:fldChar w:fldCharType="separate"/>
          </w:r>
          <w:r>
            <w:rPr>
              <w:rFonts w:hint="eastAsia" w:ascii="仿宋" w:hAnsi="仿宋" w:eastAsia="仿宋" w:cs="仿宋"/>
              <w:sz w:val="24"/>
              <w:szCs w:val="24"/>
            </w:rPr>
            <w:t>16</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9E97D30">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_Toc12517 </w:instrText>
          </w:r>
          <w:r>
            <w:rPr>
              <w:rFonts w:hint="eastAsia" w:ascii="仿宋" w:hAnsi="仿宋" w:eastAsia="仿宋" w:cs="仿宋"/>
              <w:sz w:val="24"/>
              <w:szCs w:val="24"/>
            </w:rPr>
            <w:fldChar w:fldCharType="separate"/>
          </w:r>
          <w:r>
            <w:rPr>
              <w:rFonts w:hint="eastAsia" w:ascii="仿宋" w:hAnsi="仿宋" w:eastAsia="仿宋" w:cs="仿宋"/>
              <w:bCs w:val="0"/>
              <w:sz w:val="24"/>
              <w:szCs w:val="24"/>
            </w:rPr>
            <w:t>2.</w:t>
          </w:r>
          <w:r>
            <w:rPr>
              <w:rFonts w:hint="eastAsia" w:ascii="仿宋" w:hAnsi="仿宋" w:eastAsia="仿宋" w:cs="仿宋"/>
              <w:bCs w:val="0"/>
              <w:sz w:val="24"/>
              <w:szCs w:val="24"/>
              <w:lang w:val="en-US" w:eastAsia="zh-CN"/>
            </w:rPr>
            <w:t>1</w:t>
          </w:r>
          <w:r>
            <w:rPr>
              <w:rFonts w:hint="eastAsia" w:ascii="仿宋" w:hAnsi="仿宋" w:eastAsia="仿宋" w:cs="仿宋"/>
              <w:bCs w:val="0"/>
              <w:sz w:val="24"/>
              <w:szCs w:val="24"/>
            </w:rPr>
            <w:t>.</w:t>
          </w:r>
          <w:r>
            <w:rPr>
              <w:rFonts w:hint="eastAsia" w:ascii="仿宋" w:hAnsi="仿宋" w:eastAsia="仿宋" w:cs="仿宋"/>
              <w:bCs w:val="0"/>
              <w:sz w:val="24"/>
              <w:szCs w:val="24"/>
              <w:lang w:val="en-US" w:eastAsia="zh-CN"/>
            </w:rPr>
            <w:t>6项目建设情况</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_Toc12517 \h </w:instrText>
          </w:r>
          <w:r>
            <w:rPr>
              <w:rFonts w:hint="eastAsia" w:ascii="仿宋" w:hAnsi="仿宋" w:eastAsia="仿宋" w:cs="仿宋"/>
              <w:sz w:val="24"/>
              <w:szCs w:val="24"/>
            </w:rPr>
            <w:fldChar w:fldCharType="separate"/>
          </w:r>
          <w:r>
            <w:rPr>
              <w:rFonts w:hint="eastAsia" w:ascii="仿宋" w:hAnsi="仿宋" w:eastAsia="仿宋" w:cs="仿宋"/>
              <w:sz w:val="24"/>
              <w:szCs w:val="24"/>
            </w:rPr>
            <w:t>16</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38840E7">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_Toc7561 </w:instrText>
          </w:r>
          <w:r>
            <w:rPr>
              <w:rFonts w:hint="eastAsia" w:ascii="仿宋" w:hAnsi="仿宋" w:eastAsia="仿宋" w:cs="仿宋"/>
              <w:sz w:val="24"/>
              <w:szCs w:val="24"/>
            </w:rPr>
            <w:fldChar w:fldCharType="separate"/>
          </w:r>
          <w:r>
            <w:rPr>
              <w:rFonts w:hint="eastAsia" w:ascii="仿宋" w:hAnsi="仿宋" w:eastAsia="仿宋" w:cs="仿宋"/>
              <w:bCs w:val="0"/>
              <w:sz w:val="24"/>
              <w:szCs w:val="24"/>
            </w:rPr>
            <w:t>2.</w:t>
          </w:r>
          <w:r>
            <w:rPr>
              <w:rFonts w:hint="eastAsia" w:ascii="仿宋" w:hAnsi="仿宋" w:eastAsia="仿宋" w:cs="仿宋"/>
              <w:bCs w:val="0"/>
              <w:sz w:val="24"/>
              <w:szCs w:val="24"/>
              <w:lang w:val="en-US" w:eastAsia="zh-CN"/>
            </w:rPr>
            <w:t>1</w:t>
          </w:r>
          <w:r>
            <w:rPr>
              <w:rFonts w:hint="eastAsia" w:ascii="仿宋" w:hAnsi="仿宋" w:eastAsia="仿宋" w:cs="仿宋"/>
              <w:bCs w:val="0"/>
              <w:sz w:val="24"/>
              <w:szCs w:val="24"/>
            </w:rPr>
            <w:t>.</w:t>
          </w:r>
          <w:r>
            <w:rPr>
              <w:rFonts w:hint="eastAsia" w:ascii="仿宋" w:hAnsi="仿宋" w:eastAsia="仿宋" w:cs="仿宋"/>
              <w:bCs w:val="0"/>
              <w:sz w:val="24"/>
              <w:szCs w:val="24"/>
              <w:lang w:val="en-US" w:eastAsia="zh-CN"/>
            </w:rPr>
            <w:t>7项目竣工验收情况：</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_Toc7561 \h </w:instrText>
          </w:r>
          <w:r>
            <w:rPr>
              <w:rFonts w:hint="eastAsia" w:ascii="仿宋" w:hAnsi="仿宋" w:eastAsia="仿宋" w:cs="仿宋"/>
              <w:sz w:val="24"/>
              <w:szCs w:val="24"/>
            </w:rPr>
            <w:fldChar w:fldCharType="separate"/>
          </w:r>
          <w:r>
            <w:rPr>
              <w:rFonts w:hint="eastAsia" w:ascii="仿宋" w:hAnsi="仿宋" w:eastAsia="仿宋" w:cs="仿宋"/>
              <w:sz w:val="24"/>
              <w:szCs w:val="24"/>
            </w:rPr>
            <w:t>17</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FA965D3">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_Toc29557 </w:instrText>
          </w:r>
          <w:r>
            <w:rPr>
              <w:rFonts w:hint="eastAsia" w:ascii="仿宋" w:hAnsi="仿宋" w:eastAsia="仿宋" w:cs="仿宋"/>
              <w:sz w:val="24"/>
              <w:szCs w:val="24"/>
            </w:rPr>
            <w:fldChar w:fldCharType="separate"/>
          </w:r>
          <w:r>
            <w:rPr>
              <w:rFonts w:hint="eastAsia" w:ascii="仿宋" w:hAnsi="仿宋" w:eastAsia="仿宋" w:cs="仿宋"/>
              <w:sz w:val="24"/>
              <w:szCs w:val="24"/>
            </w:rPr>
            <w:t xml:space="preserve">2.2 </w:t>
          </w:r>
          <w:r>
            <w:rPr>
              <w:rFonts w:hint="eastAsia" w:ascii="仿宋" w:hAnsi="仿宋" w:eastAsia="仿宋" w:cs="仿宋"/>
              <w:sz w:val="24"/>
              <w:szCs w:val="24"/>
              <w:lang w:val="en-US" w:eastAsia="zh-CN"/>
            </w:rPr>
            <w:t>自然环境条件</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_Toc29557 \h </w:instrText>
          </w:r>
          <w:r>
            <w:rPr>
              <w:rFonts w:hint="eastAsia" w:ascii="仿宋" w:hAnsi="仿宋" w:eastAsia="仿宋" w:cs="仿宋"/>
              <w:sz w:val="24"/>
              <w:szCs w:val="24"/>
            </w:rPr>
            <w:fldChar w:fldCharType="separate"/>
          </w:r>
          <w:r>
            <w:rPr>
              <w:rFonts w:hint="eastAsia" w:ascii="仿宋" w:hAnsi="仿宋" w:eastAsia="仿宋" w:cs="仿宋"/>
              <w:sz w:val="24"/>
              <w:szCs w:val="24"/>
            </w:rPr>
            <w:t>17</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D508F7F">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_Toc20894 </w:instrText>
          </w:r>
          <w:r>
            <w:rPr>
              <w:rFonts w:hint="eastAsia" w:ascii="仿宋" w:hAnsi="仿宋" w:eastAsia="仿宋" w:cs="仿宋"/>
              <w:sz w:val="24"/>
              <w:szCs w:val="24"/>
            </w:rPr>
            <w:fldChar w:fldCharType="separate"/>
          </w:r>
          <w:r>
            <w:rPr>
              <w:rFonts w:hint="eastAsia" w:ascii="仿宋" w:hAnsi="仿宋" w:eastAsia="仿宋" w:cs="仿宋"/>
              <w:sz w:val="24"/>
              <w:szCs w:val="24"/>
            </w:rPr>
            <w:t>2.2.</w:t>
          </w:r>
          <w:r>
            <w:rPr>
              <w:rFonts w:hint="eastAsia" w:ascii="仿宋" w:hAnsi="仿宋" w:eastAsia="仿宋" w:cs="仿宋"/>
              <w:sz w:val="24"/>
              <w:szCs w:val="24"/>
              <w:lang w:val="en-US" w:eastAsia="zh-CN"/>
            </w:rPr>
            <w:t>1</w:t>
          </w:r>
          <w:r>
            <w:rPr>
              <w:rFonts w:hint="eastAsia" w:ascii="仿宋" w:hAnsi="仿宋" w:eastAsia="仿宋" w:cs="仿宋"/>
              <w:sz w:val="24"/>
              <w:szCs w:val="24"/>
            </w:rPr>
            <w:t xml:space="preserve"> 地理位置</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_Toc20894 \h </w:instrText>
          </w:r>
          <w:r>
            <w:rPr>
              <w:rFonts w:hint="eastAsia" w:ascii="仿宋" w:hAnsi="仿宋" w:eastAsia="仿宋" w:cs="仿宋"/>
              <w:sz w:val="24"/>
              <w:szCs w:val="24"/>
            </w:rPr>
            <w:fldChar w:fldCharType="separate"/>
          </w:r>
          <w:r>
            <w:rPr>
              <w:rFonts w:hint="eastAsia" w:ascii="仿宋" w:hAnsi="仿宋" w:eastAsia="仿宋" w:cs="仿宋"/>
              <w:sz w:val="24"/>
              <w:szCs w:val="24"/>
            </w:rPr>
            <w:t>17</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62487AFD">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_Toc15624 </w:instrText>
          </w:r>
          <w:r>
            <w:rPr>
              <w:rFonts w:hint="eastAsia" w:ascii="仿宋" w:hAnsi="仿宋" w:eastAsia="仿宋" w:cs="仿宋"/>
              <w:sz w:val="24"/>
              <w:szCs w:val="24"/>
            </w:rPr>
            <w:fldChar w:fldCharType="separate"/>
          </w:r>
          <w:r>
            <w:rPr>
              <w:rFonts w:hint="eastAsia" w:ascii="仿宋" w:hAnsi="仿宋" w:eastAsia="仿宋" w:cs="仿宋"/>
              <w:sz w:val="24"/>
              <w:szCs w:val="24"/>
            </w:rPr>
            <w:t>2.2.</w:t>
          </w:r>
          <w:r>
            <w:rPr>
              <w:rFonts w:hint="eastAsia" w:ascii="仿宋" w:hAnsi="仿宋" w:eastAsia="仿宋" w:cs="仿宋"/>
              <w:sz w:val="24"/>
              <w:szCs w:val="24"/>
              <w:lang w:val="en-US" w:eastAsia="zh-CN"/>
            </w:rPr>
            <w:t>2</w:t>
          </w:r>
          <w:r>
            <w:rPr>
              <w:rFonts w:hint="eastAsia" w:ascii="仿宋" w:hAnsi="仿宋" w:eastAsia="仿宋" w:cs="仿宋"/>
              <w:sz w:val="24"/>
              <w:szCs w:val="24"/>
            </w:rPr>
            <w:t>周边环境状况</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_Toc15624 \h </w:instrText>
          </w:r>
          <w:r>
            <w:rPr>
              <w:rFonts w:hint="eastAsia" w:ascii="仿宋" w:hAnsi="仿宋" w:eastAsia="仿宋" w:cs="仿宋"/>
              <w:sz w:val="24"/>
              <w:szCs w:val="24"/>
            </w:rPr>
            <w:fldChar w:fldCharType="separate"/>
          </w:r>
          <w:r>
            <w:rPr>
              <w:rFonts w:hint="eastAsia" w:ascii="仿宋" w:hAnsi="仿宋" w:eastAsia="仿宋" w:cs="仿宋"/>
              <w:sz w:val="24"/>
              <w:szCs w:val="24"/>
            </w:rPr>
            <w:t>19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2F4D5C95">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_Toc14343 </w:instrText>
          </w:r>
          <w:r>
            <w:rPr>
              <w:rFonts w:hint="eastAsia" w:ascii="仿宋" w:hAnsi="仿宋" w:eastAsia="仿宋" w:cs="仿宋"/>
              <w:sz w:val="24"/>
              <w:szCs w:val="24"/>
            </w:rPr>
            <w:fldChar w:fldCharType="separate"/>
          </w:r>
          <w:r>
            <w:rPr>
              <w:rFonts w:hint="eastAsia" w:ascii="仿宋" w:hAnsi="仿宋" w:eastAsia="仿宋" w:cs="仿宋"/>
              <w:bCs/>
              <w:kern w:val="0"/>
              <w:sz w:val="24"/>
              <w:szCs w:val="24"/>
              <w:lang w:val="en-US" w:eastAsia="zh-CN" w:bidi="ar"/>
            </w:rPr>
            <w:t>2.2.3太阳能资源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_Toc14343 \h </w:instrText>
          </w:r>
          <w:r>
            <w:rPr>
              <w:rFonts w:hint="eastAsia" w:ascii="仿宋" w:hAnsi="仿宋" w:eastAsia="仿宋" w:cs="仿宋"/>
              <w:sz w:val="24"/>
              <w:szCs w:val="24"/>
            </w:rPr>
            <w:fldChar w:fldCharType="separate"/>
          </w:r>
          <w:r>
            <w:rPr>
              <w:rFonts w:hint="eastAsia" w:ascii="仿宋" w:hAnsi="仿宋" w:eastAsia="仿宋" w:cs="仿宋"/>
              <w:sz w:val="24"/>
              <w:szCs w:val="24"/>
            </w:rPr>
            <w:t>21</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1E520ED7">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_Toc25223 </w:instrText>
          </w:r>
          <w:r>
            <w:rPr>
              <w:rFonts w:hint="eastAsia" w:ascii="仿宋" w:hAnsi="仿宋" w:eastAsia="仿宋" w:cs="仿宋"/>
              <w:sz w:val="24"/>
              <w:szCs w:val="24"/>
            </w:rPr>
            <w:fldChar w:fldCharType="separate"/>
          </w:r>
          <w:r>
            <w:rPr>
              <w:rFonts w:hint="eastAsia" w:ascii="仿宋" w:hAnsi="仿宋" w:eastAsia="仿宋" w:cs="仿宋"/>
              <w:bCs/>
              <w:kern w:val="0"/>
              <w:sz w:val="24"/>
              <w:szCs w:val="24"/>
              <w:lang w:val="en-US" w:eastAsia="zh-CN" w:bidi="ar"/>
            </w:rPr>
            <w:t>2.2.4工艺流程</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_Toc25223 \h </w:instrText>
          </w:r>
          <w:r>
            <w:rPr>
              <w:rFonts w:hint="eastAsia" w:ascii="仿宋" w:hAnsi="仿宋" w:eastAsia="仿宋" w:cs="仿宋"/>
              <w:sz w:val="24"/>
              <w:szCs w:val="24"/>
            </w:rPr>
            <w:fldChar w:fldCharType="separate"/>
          </w:r>
          <w:r>
            <w:rPr>
              <w:rFonts w:hint="eastAsia" w:ascii="仿宋" w:hAnsi="仿宋" w:eastAsia="仿宋" w:cs="仿宋"/>
              <w:sz w:val="24"/>
              <w:szCs w:val="24"/>
            </w:rPr>
            <w:t>21</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29DE31AB">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_Toc22267 </w:instrText>
          </w:r>
          <w:r>
            <w:rPr>
              <w:rFonts w:hint="eastAsia" w:ascii="仿宋" w:hAnsi="仿宋" w:eastAsia="仿宋" w:cs="仿宋"/>
              <w:sz w:val="24"/>
              <w:szCs w:val="24"/>
            </w:rPr>
            <w:fldChar w:fldCharType="separate"/>
          </w:r>
          <w:r>
            <w:rPr>
              <w:rFonts w:hint="eastAsia" w:ascii="仿宋" w:hAnsi="仿宋" w:eastAsia="仿宋" w:cs="仿宋"/>
              <w:bCs/>
              <w:kern w:val="0"/>
              <w:sz w:val="24"/>
              <w:szCs w:val="24"/>
              <w:lang w:val="en-US" w:eastAsia="zh-CN" w:bidi="ar"/>
            </w:rPr>
            <w:t>2.3总平面布置</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_Toc22267 \h </w:instrText>
          </w:r>
          <w:r>
            <w:rPr>
              <w:rFonts w:hint="eastAsia" w:ascii="仿宋" w:hAnsi="仿宋" w:eastAsia="仿宋" w:cs="仿宋"/>
              <w:sz w:val="24"/>
              <w:szCs w:val="24"/>
            </w:rPr>
            <w:fldChar w:fldCharType="separate"/>
          </w:r>
          <w:r>
            <w:rPr>
              <w:rFonts w:hint="eastAsia" w:ascii="仿宋" w:hAnsi="仿宋" w:eastAsia="仿宋" w:cs="仿宋"/>
              <w:sz w:val="24"/>
              <w:szCs w:val="24"/>
            </w:rPr>
            <w:t>21</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3A4C9471">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_Toc2676 </w:instrText>
          </w:r>
          <w:r>
            <w:rPr>
              <w:rFonts w:hint="eastAsia" w:ascii="仿宋" w:hAnsi="仿宋" w:eastAsia="仿宋" w:cs="仿宋"/>
              <w:sz w:val="24"/>
              <w:szCs w:val="24"/>
            </w:rPr>
            <w:fldChar w:fldCharType="separate"/>
          </w:r>
          <w:r>
            <w:rPr>
              <w:rFonts w:hint="eastAsia" w:ascii="仿宋" w:hAnsi="仿宋" w:eastAsia="仿宋" w:cs="仿宋"/>
              <w:bCs/>
              <w:kern w:val="0"/>
              <w:sz w:val="24"/>
              <w:szCs w:val="24"/>
              <w:lang w:val="en-US" w:eastAsia="zh-CN" w:bidi="ar"/>
            </w:rPr>
            <w:t>2.3.1光伏厂区布置</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_Toc2676 \h </w:instrText>
          </w:r>
          <w:r>
            <w:rPr>
              <w:rFonts w:hint="eastAsia" w:ascii="仿宋" w:hAnsi="仿宋" w:eastAsia="仿宋" w:cs="仿宋"/>
              <w:sz w:val="24"/>
              <w:szCs w:val="24"/>
            </w:rPr>
            <w:fldChar w:fldCharType="separate"/>
          </w:r>
          <w:r>
            <w:rPr>
              <w:rFonts w:hint="eastAsia" w:ascii="仿宋" w:hAnsi="仿宋" w:eastAsia="仿宋" w:cs="仿宋"/>
              <w:sz w:val="24"/>
              <w:szCs w:val="24"/>
            </w:rPr>
            <w:t>22</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0C938A75">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_Toc14201 </w:instrText>
          </w:r>
          <w:r>
            <w:rPr>
              <w:rFonts w:hint="eastAsia" w:ascii="仿宋" w:hAnsi="仿宋" w:eastAsia="仿宋" w:cs="仿宋"/>
              <w:sz w:val="24"/>
              <w:szCs w:val="24"/>
            </w:rPr>
            <w:fldChar w:fldCharType="separate"/>
          </w:r>
          <w:r>
            <w:rPr>
              <w:rFonts w:hint="eastAsia" w:ascii="仿宋" w:hAnsi="仿宋" w:eastAsia="仿宋" w:cs="仿宋"/>
              <w:bCs/>
              <w:kern w:val="0"/>
              <w:sz w:val="24"/>
              <w:szCs w:val="24"/>
              <w:lang w:val="en-US" w:eastAsia="zh-CN" w:bidi="ar"/>
            </w:rPr>
            <w:t>2.3.2升压站布置</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_Toc14201 \h </w:instrText>
          </w:r>
          <w:r>
            <w:rPr>
              <w:rFonts w:hint="eastAsia" w:ascii="仿宋" w:hAnsi="仿宋" w:eastAsia="仿宋" w:cs="仿宋"/>
              <w:sz w:val="24"/>
              <w:szCs w:val="24"/>
            </w:rPr>
            <w:fldChar w:fldCharType="separate"/>
          </w:r>
          <w:r>
            <w:rPr>
              <w:rFonts w:hint="eastAsia" w:ascii="仿宋" w:hAnsi="仿宋" w:eastAsia="仿宋" w:cs="仿宋"/>
              <w:sz w:val="24"/>
              <w:szCs w:val="24"/>
            </w:rPr>
            <w:t>22</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D791B49">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_Toc11341 </w:instrText>
          </w:r>
          <w:r>
            <w:rPr>
              <w:rFonts w:hint="eastAsia" w:ascii="仿宋" w:hAnsi="仿宋" w:eastAsia="仿宋" w:cs="仿宋"/>
              <w:sz w:val="24"/>
              <w:szCs w:val="24"/>
            </w:rPr>
            <w:fldChar w:fldCharType="separate"/>
          </w:r>
          <w:r>
            <w:rPr>
              <w:rFonts w:hint="eastAsia" w:ascii="仿宋" w:hAnsi="仿宋" w:eastAsia="仿宋" w:cs="仿宋"/>
              <w:bCs/>
              <w:kern w:val="0"/>
              <w:sz w:val="24"/>
              <w:szCs w:val="24"/>
              <w:lang w:val="en-US" w:eastAsia="zh-CN" w:bidi="ar"/>
            </w:rPr>
            <w:t>2.3.3生活区布置</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_Toc11341 \h </w:instrText>
          </w:r>
          <w:r>
            <w:rPr>
              <w:rFonts w:hint="eastAsia" w:ascii="仿宋" w:hAnsi="仿宋" w:eastAsia="仿宋" w:cs="仿宋"/>
              <w:sz w:val="24"/>
              <w:szCs w:val="24"/>
            </w:rPr>
            <w:fldChar w:fldCharType="separate"/>
          </w:r>
          <w:r>
            <w:rPr>
              <w:rFonts w:hint="eastAsia" w:ascii="仿宋" w:hAnsi="仿宋" w:eastAsia="仿宋" w:cs="仿宋"/>
              <w:sz w:val="24"/>
              <w:szCs w:val="24"/>
            </w:rPr>
            <w:t>22</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0A86E6D6">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_Toc9109 </w:instrText>
          </w:r>
          <w:r>
            <w:rPr>
              <w:rFonts w:hint="eastAsia" w:ascii="仿宋" w:hAnsi="仿宋" w:eastAsia="仿宋" w:cs="仿宋"/>
              <w:sz w:val="24"/>
              <w:szCs w:val="24"/>
            </w:rPr>
            <w:fldChar w:fldCharType="separate"/>
          </w:r>
          <w:r>
            <w:rPr>
              <w:rFonts w:hint="eastAsia" w:ascii="仿宋" w:hAnsi="仿宋" w:eastAsia="仿宋" w:cs="仿宋"/>
              <w:bCs/>
              <w:kern w:val="0"/>
              <w:sz w:val="24"/>
              <w:szCs w:val="24"/>
              <w:lang w:val="en-US" w:eastAsia="zh-CN" w:bidi="ar"/>
            </w:rPr>
            <w:t>2.3.4工艺流程</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_Toc9109 \h </w:instrText>
          </w:r>
          <w:r>
            <w:rPr>
              <w:rFonts w:hint="eastAsia" w:ascii="仿宋" w:hAnsi="仿宋" w:eastAsia="仿宋" w:cs="仿宋"/>
              <w:sz w:val="24"/>
              <w:szCs w:val="24"/>
            </w:rPr>
            <w:fldChar w:fldCharType="separate"/>
          </w:r>
          <w:r>
            <w:rPr>
              <w:rFonts w:hint="eastAsia" w:ascii="仿宋" w:hAnsi="仿宋" w:eastAsia="仿宋" w:cs="仿宋"/>
              <w:sz w:val="24"/>
              <w:szCs w:val="24"/>
            </w:rPr>
            <w:t>22</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0EAE905">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_Toc8222 </w:instrText>
          </w:r>
          <w:r>
            <w:rPr>
              <w:rFonts w:hint="eastAsia" w:ascii="仿宋" w:hAnsi="仿宋" w:eastAsia="仿宋" w:cs="仿宋"/>
              <w:sz w:val="24"/>
              <w:szCs w:val="24"/>
            </w:rPr>
            <w:fldChar w:fldCharType="separate"/>
          </w:r>
          <w:r>
            <w:rPr>
              <w:rFonts w:hint="eastAsia" w:ascii="仿宋" w:hAnsi="仿宋" w:eastAsia="仿宋" w:cs="仿宋"/>
              <w:bCs/>
              <w:kern w:val="0"/>
              <w:sz w:val="24"/>
              <w:szCs w:val="24"/>
              <w:lang w:val="en-US" w:eastAsia="zh-CN" w:bidi="ar"/>
            </w:rPr>
            <w:t>2.4公用工程和辅助设施</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_Toc8222 \h </w:instrText>
          </w:r>
          <w:r>
            <w:rPr>
              <w:rFonts w:hint="eastAsia" w:ascii="仿宋" w:hAnsi="仿宋" w:eastAsia="仿宋" w:cs="仿宋"/>
              <w:sz w:val="24"/>
              <w:szCs w:val="24"/>
            </w:rPr>
            <w:fldChar w:fldCharType="separate"/>
          </w:r>
          <w:r>
            <w:rPr>
              <w:rFonts w:hint="eastAsia" w:ascii="仿宋" w:hAnsi="仿宋" w:eastAsia="仿宋" w:cs="仿宋"/>
              <w:sz w:val="24"/>
              <w:szCs w:val="24"/>
            </w:rPr>
            <w:t>27</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0E0387FB">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_Toc6225 </w:instrText>
          </w:r>
          <w:r>
            <w:rPr>
              <w:rFonts w:hint="eastAsia" w:ascii="仿宋" w:hAnsi="仿宋" w:eastAsia="仿宋" w:cs="仿宋"/>
              <w:sz w:val="24"/>
              <w:szCs w:val="24"/>
            </w:rPr>
            <w:fldChar w:fldCharType="separate"/>
          </w:r>
          <w:r>
            <w:rPr>
              <w:rFonts w:hint="eastAsia" w:ascii="仿宋" w:hAnsi="仿宋" w:eastAsia="仿宋" w:cs="仿宋"/>
              <w:bCs/>
              <w:kern w:val="0"/>
              <w:sz w:val="24"/>
              <w:szCs w:val="24"/>
              <w:lang w:val="en-US" w:eastAsia="zh-CN" w:bidi="ar"/>
            </w:rPr>
            <w:t>2.4.1给排水</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_Toc6225 \h </w:instrText>
          </w:r>
          <w:r>
            <w:rPr>
              <w:rFonts w:hint="eastAsia" w:ascii="仿宋" w:hAnsi="仿宋" w:eastAsia="仿宋" w:cs="仿宋"/>
              <w:sz w:val="24"/>
              <w:szCs w:val="24"/>
            </w:rPr>
            <w:fldChar w:fldCharType="separate"/>
          </w:r>
          <w:r>
            <w:rPr>
              <w:rFonts w:hint="eastAsia" w:ascii="仿宋" w:hAnsi="仿宋" w:eastAsia="仿宋" w:cs="仿宋"/>
              <w:sz w:val="24"/>
              <w:szCs w:val="24"/>
            </w:rPr>
            <w:t>27</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4D8FE253">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_Toc26493 </w:instrText>
          </w:r>
          <w:r>
            <w:rPr>
              <w:rFonts w:hint="eastAsia" w:ascii="仿宋" w:hAnsi="仿宋" w:eastAsia="仿宋" w:cs="仿宋"/>
              <w:sz w:val="24"/>
              <w:szCs w:val="24"/>
            </w:rPr>
            <w:fldChar w:fldCharType="separate"/>
          </w:r>
          <w:r>
            <w:rPr>
              <w:rFonts w:hint="eastAsia" w:ascii="仿宋" w:hAnsi="仿宋" w:eastAsia="仿宋" w:cs="仿宋"/>
              <w:bCs/>
              <w:kern w:val="0"/>
              <w:sz w:val="24"/>
              <w:szCs w:val="24"/>
              <w:lang w:val="en-US" w:eastAsia="zh-CN" w:bidi="ar"/>
            </w:rPr>
            <w:t>2.4.2消防</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_Toc26493 \h </w:instrText>
          </w:r>
          <w:r>
            <w:rPr>
              <w:rFonts w:hint="eastAsia" w:ascii="仿宋" w:hAnsi="仿宋" w:eastAsia="仿宋" w:cs="仿宋"/>
              <w:sz w:val="24"/>
              <w:szCs w:val="24"/>
            </w:rPr>
            <w:fldChar w:fldCharType="separate"/>
          </w:r>
          <w:r>
            <w:rPr>
              <w:rFonts w:hint="eastAsia" w:ascii="仿宋" w:hAnsi="仿宋" w:eastAsia="仿宋" w:cs="仿宋"/>
              <w:sz w:val="24"/>
              <w:szCs w:val="24"/>
            </w:rPr>
            <w:t>28</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22C8C429">
          <w:pPr>
            <w:pStyle w:val="13"/>
            <w:tabs>
              <w:tab w:val="right" w:leader="dot" w:pos="8902"/>
            </w:tabs>
            <w:rPr>
              <w:rFonts w:hint="eastAsia" w:ascii="仿宋" w:hAnsi="仿宋" w:eastAsia="仿宋" w:cs="仿宋"/>
              <w:sz w:val="24"/>
              <w:szCs w:val="24"/>
            </w:rPr>
            <w:sectPr>
              <w:footerReference r:id="rId7" w:type="default"/>
              <w:pgSz w:w="11906" w:h="16838"/>
              <w:pgMar w:top="1417" w:right="1417" w:bottom="1417" w:left="1587" w:header="851" w:footer="992" w:gutter="0"/>
              <w:pgNumType w:start="1"/>
              <w:cols w:space="425" w:num="1"/>
              <w:docGrid w:type="lines" w:linePitch="312" w:charSpace="0"/>
            </w:sectPr>
          </w:pPr>
        </w:p>
        <w:p w14:paraId="0A14196B">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_Toc3870 </w:instrText>
          </w:r>
          <w:r>
            <w:rPr>
              <w:rFonts w:hint="eastAsia" w:ascii="仿宋" w:hAnsi="仿宋" w:eastAsia="仿宋" w:cs="仿宋"/>
              <w:sz w:val="24"/>
              <w:szCs w:val="24"/>
            </w:rPr>
            <w:fldChar w:fldCharType="separate"/>
          </w:r>
          <w:r>
            <w:rPr>
              <w:rFonts w:hint="eastAsia" w:ascii="仿宋" w:hAnsi="仿宋" w:eastAsia="仿宋" w:cs="仿宋"/>
              <w:bCs/>
              <w:kern w:val="0"/>
              <w:sz w:val="24"/>
              <w:szCs w:val="24"/>
              <w:lang w:val="en-US" w:eastAsia="zh-CN" w:bidi="ar"/>
            </w:rPr>
            <w:t>2.4.3照明</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_Toc3870 \h </w:instrText>
          </w:r>
          <w:r>
            <w:rPr>
              <w:rFonts w:hint="eastAsia" w:ascii="仿宋" w:hAnsi="仿宋" w:eastAsia="仿宋" w:cs="仿宋"/>
              <w:sz w:val="24"/>
              <w:szCs w:val="24"/>
            </w:rPr>
            <w:fldChar w:fldCharType="separate"/>
          </w:r>
          <w:r>
            <w:rPr>
              <w:rFonts w:hint="eastAsia" w:ascii="仿宋" w:hAnsi="仿宋" w:eastAsia="仿宋" w:cs="仿宋"/>
              <w:sz w:val="24"/>
              <w:szCs w:val="24"/>
            </w:rPr>
            <w:t>29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291E08C5">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_Toc25473 </w:instrText>
          </w:r>
          <w:r>
            <w:rPr>
              <w:rFonts w:hint="eastAsia" w:ascii="仿宋" w:hAnsi="仿宋" w:eastAsia="仿宋" w:cs="仿宋"/>
              <w:sz w:val="24"/>
              <w:szCs w:val="24"/>
            </w:rPr>
            <w:fldChar w:fldCharType="separate"/>
          </w:r>
          <w:r>
            <w:rPr>
              <w:rFonts w:hint="eastAsia" w:ascii="仿宋" w:hAnsi="仿宋" w:eastAsia="仿宋" w:cs="仿宋"/>
              <w:bCs/>
              <w:kern w:val="0"/>
              <w:sz w:val="24"/>
              <w:szCs w:val="24"/>
              <w:lang w:val="en-US" w:eastAsia="zh-CN" w:bidi="ar"/>
            </w:rPr>
            <w:t>2.4.4通风、采暖与空气调节</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_Toc25473 \h </w:instrText>
          </w:r>
          <w:r>
            <w:rPr>
              <w:rFonts w:hint="eastAsia" w:ascii="仿宋" w:hAnsi="仿宋" w:eastAsia="仿宋" w:cs="仿宋"/>
              <w:sz w:val="24"/>
              <w:szCs w:val="24"/>
            </w:rPr>
            <w:fldChar w:fldCharType="separate"/>
          </w:r>
          <w:r>
            <w:rPr>
              <w:rFonts w:hint="eastAsia" w:ascii="仿宋" w:hAnsi="仿宋" w:eastAsia="仿宋" w:cs="仿宋"/>
              <w:sz w:val="24"/>
              <w:szCs w:val="24"/>
            </w:rPr>
            <w:t>29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0BB9BEB0">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_Toc9330 </w:instrText>
          </w:r>
          <w:r>
            <w:rPr>
              <w:rFonts w:hint="eastAsia" w:ascii="仿宋" w:hAnsi="仿宋" w:eastAsia="仿宋" w:cs="仿宋"/>
              <w:sz w:val="24"/>
              <w:szCs w:val="24"/>
            </w:rPr>
            <w:fldChar w:fldCharType="separate"/>
          </w:r>
          <w:r>
            <w:rPr>
              <w:rFonts w:hint="eastAsia" w:ascii="仿宋" w:hAnsi="仿宋" w:eastAsia="仿宋" w:cs="仿宋"/>
              <w:bCs/>
              <w:kern w:val="0"/>
              <w:sz w:val="24"/>
              <w:szCs w:val="24"/>
              <w:lang w:val="en-US" w:eastAsia="zh-CN" w:bidi="ar"/>
            </w:rPr>
            <w:t>2.4.5防雷系统</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_Toc9330 \h </w:instrText>
          </w:r>
          <w:r>
            <w:rPr>
              <w:rFonts w:hint="eastAsia" w:ascii="仿宋" w:hAnsi="仿宋" w:eastAsia="仿宋" w:cs="仿宋"/>
              <w:sz w:val="24"/>
              <w:szCs w:val="24"/>
            </w:rPr>
            <w:fldChar w:fldCharType="separate"/>
          </w:r>
          <w:r>
            <w:rPr>
              <w:rFonts w:hint="eastAsia" w:ascii="仿宋" w:hAnsi="仿宋" w:eastAsia="仿宋" w:cs="仿宋"/>
              <w:sz w:val="24"/>
              <w:szCs w:val="24"/>
            </w:rPr>
            <w:t>29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3F7C2FAC">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_Toc1922 </w:instrText>
          </w:r>
          <w:r>
            <w:rPr>
              <w:rFonts w:hint="eastAsia" w:ascii="仿宋" w:hAnsi="仿宋" w:eastAsia="仿宋" w:cs="仿宋"/>
              <w:sz w:val="24"/>
              <w:szCs w:val="24"/>
            </w:rPr>
            <w:fldChar w:fldCharType="separate"/>
          </w:r>
          <w:r>
            <w:rPr>
              <w:rFonts w:hint="eastAsia" w:ascii="仿宋" w:hAnsi="仿宋" w:eastAsia="仿宋" w:cs="仿宋"/>
              <w:bCs/>
              <w:kern w:val="0"/>
              <w:sz w:val="24"/>
              <w:szCs w:val="24"/>
              <w:lang w:val="en-US" w:eastAsia="zh-CN" w:bidi="ar"/>
            </w:rPr>
            <w:t>2.4.6计算机监控系统</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_Toc1922 \h </w:instrText>
          </w:r>
          <w:r>
            <w:rPr>
              <w:rFonts w:hint="eastAsia" w:ascii="仿宋" w:hAnsi="仿宋" w:eastAsia="仿宋" w:cs="仿宋"/>
              <w:sz w:val="24"/>
              <w:szCs w:val="24"/>
            </w:rPr>
            <w:fldChar w:fldCharType="separate"/>
          </w:r>
          <w:r>
            <w:rPr>
              <w:rFonts w:hint="eastAsia" w:ascii="仿宋" w:hAnsi="仿宋" w:eastAsia="仿宋" w:cs="仿宋"/>
              <w:sz w:val="24"/>
              <w:szCs w:val="24"/>
            </w:rPr>
            <w:t>30</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4831288A">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_Toc3103 </w:instrText>
          </w:r>
          <w:r>
            <w:rPr>
              <w:rFonts w:hint="eastAsia" w:ascii="仿宋" w:hAnsi="仿宋" w:eastAsia="仿宋" w:cs="仿宋"/>
              <w:sz w:val="24"/>
              <w:szCs w:val="24"/>
            </w:rPr>
            <w:fldChar w:fldCharType="separate"/>
          </w:r>
          <w:r>
            <w:rPr>
              <w:rFonts w:hint="eastAsia" w:ascii="仿宋" w:hAnsi="仿宋" w:eastAsia="仿宋" w:cs="仿宋"/>
              <w:bCs/>
              <w:kern w:val="0"/>
              <w:sz w:val="24"/>
              <w:szCs w:val="24"/>
              <w:lang w:val="en-US" w:eastAsia="zh-CN" w:bidi="ar"/>
            </w:rPr>
            <w:t>2.5安全管理</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_Toc3103 \h </w:instrText>
          </w:r>
          <w:r>
            <w:rPr>
              <w:rFonts w:hint="eastAsia" w:ascii="仿宋" w:hAnsi="仿宋" w:eastAsia="仿宋" w:cs="仿宋"/>
              <w:sz w:val="24"/>
              <w:szCs w:val="24"/>
            </w:rPr>
            <w:fldChar w:fldCharType="separate"/>
          </w:r>
          <w:r>
            <w:rPr>
              <w:rFonts w:hint="eastAsia" w:ascii="仿宋" w:hAnsi="仿宋" w:eastAsia="仿宋" w:cs="仿宋"/>
              <w:sz w:val="24"/>
              <w:szCs w:val="24"/>
            </w:rPr>
            <w:t>31</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1EB3036B">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_Toc22161 </w:instrText>
          </w:r>
          <w:r>
            <w:rPr>
              <w:rFonts w:hint="eastAsia" w:ascii="仿宋" w:hAnsi="仿宋" w:eastAsia="仿宋" w:cs="仿宋"/>
              <w:sz w:val="24"/>
              <w:szCs w:val="24"/>
            </w:rPr>
            <w:fldChar w:fldCharType="separate"/>
          </w:r>
          <w:r>
            <w:rPr>
              <w:rFonts w:hint="eastAsia" w:ascii="仿宋" w:hAnsi="仿宋" w:eastAsia="仿宋" w:cs="仿宋"/>
              <w:bCs/>
              <w:kern w:val="0"/>
              <w:sz w:val="24"/>
              <w:szCs w:val="24"/>
              <w:lang w:val="en-US" w:eastAsia="zh-CN" w:bidi="ar"/>
            </w:rPr>
            <w:t>2.5.1安全生产管理组织</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_Toc22161 \h </w:instrText>
          </w:r>
          <w:r>
            <w:rPr>
              <w:rFonts w:hint="eastAsia" w:ascii="仿宋" w:hAnsi="仿宋" w:eastAsia="仿宋" w:cs="仿宋"/>
              <w:sz w:val="24"/>
              <w:szCs w:val="24"/>
            </w:rPr>
            <w:fldChar w:fldCharType="separate"/>
          </w:r>
          <w:r>
            <w:rPr>
              <w:rFonts w:hint="eastAsia" w:ascii="仿宋" w:hAnsi="仿宋" w:eastAsia="仿宋" w:cs="仿宋"/>
              <w:sz w:val="24"/>
              <w:szCs w:val="24"/>
            </w:rPr>
            <w:t>31</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1A624EFF">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_Toc2380 </w:instrText>
          </w:r>
          <w:r>
            <w:rPr>
              <w:rFonts w:hint="eastAsia" w:ascii="仿宋" w:hAnsi="仿宋" w:eastAsia="仿宋" w:cs="仿宋"/>
              <w:sz w:val="24"/>
              <w:szCs w:val="24"/>
            </w:rPr>
            <w:fldChar w:fldCharType="separate"/>
          </w:r>
          <w:r>
            <w:rPr>
              <w:rFonts w:hint="eastAsia" w:ascii="仿宋" w:hAnsi="仿宋" w:eastAsia="仿宋" w:cs="仿宋"/>
              <w:bCs/>
              <w:kern w:val="0"/>
              <w:sz w:val="24"/>
              <w:szCs w:val="24"/>
              <w:lang w:val="en-US" w:eastAsia="zh-CN" w:bidi="ar"/>
            </w:rPr>
            <w:t>2.5.2安全生产管理制度</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_Toc2380 \h </w:instrText>
          </w:r>
          <w:r>
            <w:rPr>
              <w:rFonts w:hint="eastAsia" w:ascii="仿宋" w:hAnsi="仿宋" w:eastAsia="仿宋" w:cs="仿宋"/>
              <w:sz w:val="24"/>
              <w:szCs w:val="24"/>
            </w:rPr>
            <w:fldChar w:fldCharType="separate"/>
          </w:r>
          <w:r>
            <w:rPr>
              <w:rFonts w:hint="eastAsia" w:ascii="仿宋" w:hAnsi="仿宋" w:eastAsia="仿宋" w:cs="仿宋"/>
              <w:sz w:val="24"/>
              <w:szCs w:val="24"/>
            </w:rPr>
            <w:t>32</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4641D89C">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_Toc10773 </w:instrText>
          </w:r>
          <w:r>
            <w:rPr>
              <w:rFonts w:hint="eastAsia" w:ascii="仿宋" w:hAnsi="仿宋" w:eastAsia="仿宋" w:cs="仿宋"/>
              <w:sz w:val="24"/>
              <w:szCs w:val="24"/>
            </w:rPr>
            <w:fldChar w:fldCharType="separate"/>
          </w:r>
          <w:r>
            <w:rPr>
              <w:rFonts w:hint="eastAsia" w:ascii="仿宋" w:hAnsi="仿宋" w:eastAsia="仿宋" w:cs="仿宋"/>
              <w:bCs/>
              <w:kern w:val="0"/>
              <w:sz w:val="24"/>
              <w:szCs w:val="24"/>
              <w:lang w:val="en-US" w:eastAsia="zh-CN" w:bidi="ar"/>
            </w:rPr>
            <w:t>2.5.3安全教育培训</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_Toc10773 \h </w:instrText>
          </w:r>
          <w:r>
            <w:rPr>
              <w:rFonts w:hint="eastAsia" w:ascii="仿宋" w:hAnsi="仿宋" w:eastAsia="仿宋" w:cs="仿宋"/>
              <w:sz w:val="24"/>
              <w:szCs w:val="24"/>
            </w:rPr>
            <w:fldChar w:fldCharType="separate"/>
          </w:r>
          <w:r>
            <w:rPr>
              <w:rFonts w:hint="eastAsia" w:ascii="仿宋" w:hAnsi="仿宋" w:eastAsia="仿宋" w:cs="仿宋"/>
              <w:sz w:val="24"/>
              <w:szCs w:val="24"/>
            </w:rPr>
            <w:t>33</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42A4080C">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_Toc3900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2.5.4劳保用品发放</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_Toc3900 \h </w:instrText>
          </w:r>
          <w:r>
            <w:rPr>
              <w:rFonts w:hint="eastAsia" w:ascii="仿宋" w:hAnsi="仿宋" w:eastAsia="仿宋" w:cs="仿宋"/>
              <w:sz w:val="24"/>
              <w:szCs w:val="24"/>
            </w:rPr>
            <w:fldChar w:fldCharType="separate"/>
          </w:r>
          <w:r>
            <w:rPr>
              <w:rFonts w:hint="eastAsia" w:ascii="仿宋" w:hAnsi="仿宋" w:eastAsia="仿宋" w:cs="仿宋"/>
              <w:sz w:val="24"/>
              <w:szCs w:val="24"/>
            </w:rPr>
            <w:t>34</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2E1D1085">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_Toc29169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2.5.5保险缴纳情况</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_Toc29169 \h </w:instrText>
          </w:r>
          <w:r>
            <w:rPr>
              <w:rFonts w:hint="eastAsia" w:ascii="仿宋" w:hAnsi="仿宋" w:eastAsia="仿宋" w:cs="仿宋"/>
              <w:sz w:val="24"/>
              <w:szCs w:val="24"/>
            </w:rPr>
            <w:fldChar w:fldCharType="separate"/>
          </w:r>
          <w:r>
            <w:rPr>
              <w:rFonts w:hint="eastAsia" w:ascii="仿宋" w:hAnsi="仿宋" w:eastAsia="仿宋" w:cs="仿宋"/>
              <w:sz w:val="24"/>
              <w:szCs w:val="24"/>
            </w:rPr>
            <w:t>34</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2A28AD47">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_Toc6472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2.5.6事故预防与应急管理</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_Toc6472 \h </w:instrText>
          </w:r>
          <w:r>
            <w:rPr>
              <w:rFonts w:hint="eastAsia" w:ascii="仿宋" w:hAnsi="仿宋" w:eastAsia="仿宋" w:cs="仿宋"/>
              <w:sz w:val="24"/>
              <w:szCs w:val="24"/>
            </w:rPr>
            <w:fldChar w:fldCharType="separate"/>
          </w:r>
          <w:r>
            <w:rPr>
              <w:rFonts w:hint="eastAsia" w:ascii="仿宋" w:hAnsi="仿宋" w:eastAsia="仿宋" w:cs="仿宋"/>
              <w:sz w:val="24"/>
              <w:szCs w:val="24"/>
            </w:rPr>
            <w:t>34</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6CE27A5F">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_Toc25361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2.5.7劳动保护</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_Toc25361 \h </w:instrText>
          </w:r>
          <w:r>
            <w:rPr>
              <w:rFonts w:hint="eastAsia" w:ascii="仿宋" w:hAnsi="仿宋" w:eastAsia="仿宋" w:cs="仿宋"/>
              <w:sz w:val="24"/>
              <w:szCs w:val="24"/>
            </w:rPr>
            <w:fldChar w:fldCharType="separate"/>
          </w:r>
          <w:r>
            <w:rPr>
              <w:rFonts w:hint="eastAsia" w:ascii="仿宋" w:hAnsi="仿宋" w:eastAsia="仿宋" w:cs="仿宋"/>
              <w:sz w:val="24"/>
              <w:szCs w:val="24"/>
            </w:rPr>
            <w:t>36</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3D03940">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_Toc31673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2.5.8安全投入</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_Toc31673 \h </w:instrText>
          </w:r>
          <w:r>
            <w:rPr>
              <w:rFonts w:hint="eastAsia" w:ascii="仿宋" w:hAnsi="仿宋" w:eastAsia="仿宋" w:cs="仿宋"/>
              <w:sz w:val="24"/>
              <w:szCs w:val="24"/>
            </w:rPr>
            <w:fldChar w:fldCharType="separate"/>
          </w:r>
          <w:r>
            <w:rPr>
              <w:rFonts w:hint="eastAsia" w:ascii="仿宋" w:hAnsi="仿宋" w:eastAsia="仿宋" w:cs="仿宋"/>
              <w:sz w:val="24"/>
              <w:szCs w:val="24"/>
            </w:rPr>
            <w:t>36</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4E8C37D1">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_Toc28517 </w:instrText>
          </w:r>
          <w:r>
            <w:rPr>
              <w:rFonts w:hint="eastAsia" w:ascii="仿宋" w:hAnsi="仿宋" w:eastAsia="仿宋" w:cs="仿宋"/>
              <w:sz w:val="24"/>
              <w:szCs w:val="24"/>
            </w:rPr>
            <w:fldChar w:fldCharType="separate"/>
          </w:r>
          <w:r>
            <w:rPr>
              <w:rFonts w:hint="eastAsia" w:ascii="仿宋" w:hAnsi="仿宋" w:eastAsia="仿宋" w:cs="仿宋"/>
              <w:bCs/>
              <w:kern w:val="0"/>
              <w:sz w:val="24"/>
              <w:szCs w:val="24"/>
              <w:lang w:val="en-US" w:eastAsia="zh-CN" w:bidi="ar"/>
            </w:rPr>
            <w:t>2.6施工及监理概况</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_Toc28517 \h </w:instrText>
          </w:r>
          <w:r>
            <w:rPr>
              <w:rFonts w:hint="eastAsia" w:ascii="仿宋" w:hAnsi="仿宋" w:eastAsia="仿宋" w:cs="仿宋"/>
              <w:sz w:val="24"/>
              <w:szCs w:val="24"/>
            </w:rPr>
            <w:fldChar w:fldCharType="separate"/>
          </w:r>
          <w:r>
            <w:rPr>
              <w:rFonts w:hint="eastAsia" w:ascii="仿宋" w:hAnsi="仿宋" w:eastAsia="仿宋" w:cs="仿宋"/>
              <w:sz w:val="24"/>
              <w:szCs w:val="24"/>
            </w:rPr>
            <w:t>37</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1138F014">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_Toc15462 </w:instrText>
          </w:r>
          <w:r>
            <w:rPr>
              <w:rFonts w:hint="eastAsia" w:ascii="仿宋" w:hAnsi="仿宋" w:eastAsia="仿宋" w:cs="仿宋"/>
              <w:sz w:val="24"/>
              <w:szCs w:val="24"/>
            </w:rPr>
            <w:fldChar w:fldCharType="separate"/>
          </w:r>
          <w:r>
            <w:rPr>
              <w:rFonts w:hint="eastAsia" w:ascii="仿宋" w:hAnsi="仿宋" w:eastAsia="仿宋" w:cs="仿宋"/>
              <w:bCs/>
              <w:kern w:val="0"/>
              <w:sz w:val="24"/>
              <w:szCs w:val="24"/>
              <w:lang w:val="en-US" w:eastAsia="zh-CN" w:bidi="ar"/>
            </w:rPr>
            <w:t>2.7试运行概况</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_Toc15462 \h </w:instrText>
          </w:r>
          <w:r>
            <w:rPr>
              <w:rFonts w:hint="eastAsia" w:ascii="仿宋" w:hAnsi="仿宋" w:eastAsia="仿宋" w:cs="仿宋"/>
              <w:sz w:val="24"/>
              <w:szCs w:val="24"/>
            </w:rPr>
            <w:fldChar w:fldCharType="separate"/>
          </w:r>
          <w:r>
            <w:rPr>
              <w:rFonts w:hint="eastAsia" w:ascii="仿宋" w:hAnsi="仿宋" w:eastAsia="仿宋" w:cs="仿宋"/>
              <w:sz w:val="24"/>
              <w:szCs w:val="24"/>
            </w:rPr>
            <w:t>37</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41C1A63D">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_Toc31363 </w:instrText>
          </w:r>
          <w:r>
            <w:rPr>
              <w:rFonts w:hint="eastAsia" w:ascii="仿宋" w:hAnsi="仿宋" w:eastAsia="仿宋" w:cs="仿宋"/>
              <w:sz w:val="24"/>
              <w:szCs w:val="24"/>
            </w:rPr>
            <w:fldChar w:fldCharType="separate"/>
          </w:r>
          <w:r>
            <w:rPr>
              <w:rFonts w:hint="eastAsia" w:ascii="仿宋" w:hAnsi="仿宋" w:eastAsia="仿宋" w:cs="仿宋"/>
              <w:bCs/>
              <w:kern w:val="0"/>
              <w:sz w:val="24"/>
              <w:szCs w:val="24"/>
              <w:lang w:val="en-US" w:eastAsia="zh-CN" w:bidi="ar"/>
            </w:rPr>
            <w:t>2.8设计变更情况</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_Toc31363 \h </w:instrText>
          </w:r>
          <w:r>
            <w:rPr>
              <w:rFonts w:hint="eastAsia" w:ascii="仿宋" w:hAnsi="仿宋" w:eastAsia="仿宋" w:cs="仿宋"/>
              <w:sz w:val="24"/>
              <w:szCs w:val="24"/>
            </w:rPr>
            <w:fldChar w:fldCharType="separate"/>
          </w:r>
          <w:r>
            <w:rPr>
              <w:rFonts w:hint="eastAsia" w:ascii="仿宋" w:hAnsi="仿宋" w:eastAsia="仿宋" w:cs="仿宋"/>
              <w:sz w:val="24"/>
              <w:szCs w:val="24"/>
            </w:rPr>
            <w:t>38</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623810E1">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_Toc14653 </w:instrText>
          </w:r>
          <w:r>
            <w:rPr>
              <w:rFonts w:hint="eastAsia" w:ascii="仿宋" w:hAnsi="仿宋" w:eastAsia="仿宋" w:cs="仿宋"/>
              <w:sz w:val="24"/>
              <w:szCs w:val="24"/>
            </w:rPr>
            <w:fldChar w:fldCharType="separate"/>
          </w:r>
          <w:r>
            <w:rPr>
              <w:rFonts w:hint="eastAsia" w:ascii="仿宋" w:hAnsi="仿宋" w:eastAsia="仿宋" w:cs="仿宋"/>
              <w:bCs/>
              <w:kern w:val="0"/>
              <w:sz w:val="24"/>
              <w:szCs w:val="24"/>
              <w:lang w:val="en-US" w:eastAsia="zh-CN" w:bidi="ar"/>
            </w:rPr>
            <w:t>2.9综合分析结论</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_Toc14653 \h </w:instrText>
          </w:r>
          <w:r>
            <w:rPr>
              <w:rFonts w:hint="eastAsia" w:ascii="仿宋" w:hAnsi="仿宋" w:eastAsia="仿宋" w:cs="仿宋"/>
              <w:sz w:val="24"/>
              <w:szCs w:val="24"/>
            </w:rPr>
            <w:fldChar w:fldCharType="separate"/>
          </w:r>
          <w:r>
            <w:rPr>
              <w:rFonts w:hint="eastAsia" w:ascii="仿宋" w:hAnsi="仿宋" w:eastAsia="仿宋" w:cs="仿宋"/>
              <w:sz w:val="24"/>
              <w:szCs w:val="24"/>
            </w:rPr>
            <w:t>38</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04A0A12">
          <w:pPr>
            <w:pStyle w:val="16"/>
            <w:tabs>
              <w:tab w:val="right" w:leader="dot" w:pos="8902"/>
            </w:tabs>
            <w:rPr>
              <w:rFonts w:hint="eastAsia" w:ascii="仿宋" w:hAnsi="仿宋" w:eastAsia="仿宋" w:cs="仿宋"/>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_Toc6282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lang w:val="en-US" w:eastAsia="zh-CN"/>
            </w:rPr>
            <w:t>3 主要危险有害因素的辨识与分析</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_Toc6282 \h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39</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14:paraId="40846D86">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_Toc21540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3.1辨识与分析的目的</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_Toc21540 \h </w:instrText>
          </w:r>
          <w:r>
            <w:rPr>
              <w:rFonts w:hint="eastAsia" w:ascii="仿宋" w:hAnsi="仿宋" w:eastAsia="仿宋" w:cs="仿宋"/>
              <w:sz w:val="24"/>
              <w:szCs w:val="24"/>
            </w:rPr>
            <w:fldChar w:fldCharType="separate"/>
          </w:r>
          <w:r>
            <w:rPr>
              <w:rFonts w:hint="eastAsia" w:ascii="仿宋" w:hAnsi="仿宋" w:eastAsia="仿宋" w:cs="仿宋"/>
              <w:sz w:val="24"/>
              <w:szCs w:val="24"/>
            </w:rPr>
            <w:t>39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025B022">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_Toc20737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3.2</w:t>
          </w:r>
          <w:r>
            <w:rPr>
              <w:rFonts w:hint="eastAsia" w:ascii="仿宋" w:hAnsi="仿宋" w:eastAsia="仿宋" w:cs="仿宋"/>
              <w:sz w:val="24"/>
              <w:szCs w:val="24"/>
            </w:rPr>
            <w:t>辨识与分析的依据</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_Toc20737 \h </w:instrText>
          </w:r>
          <w:r>
            <w:rPr>
              <w:rFonts w:hint="eastAsia" w:ascii="仿宋" w:hAnsi="仿宋" w:eastAsia="仿宋" w:cs="仿宋"/>
              <w:sz w:val="24"/>
              <w:szCs w:val="24"/>
            </w:rPr>
            <w:fldChar w:fldCharType="separate"/>
          </w:r>
          <w:r>
            <w:rPr>
              <w:rFonts w:hint="eastAsia" w:ascii="仿宋" w:hAnsi="仿宋" w:eastAsia="仿宋" w:cs="仿宋"/>
              <w:sz w:val="24"/>
              <w:szCs w:val="24"/>
            </w:rPr>
            <w:t>39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263D2161">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_Toc22230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3.3主要物料特性及其危险性</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_Toc22230 \h </w:instrText>
          </w:r>
          <w:r>
            <w:rPr>
              <w:rFonts w:hint="eastAsia" w:ascii="仿宋" w:hAnsi="仿宋" w:eastAsia="仿宋" w:cs="仿宋"/>
              <w:sz w:val="24"/>
              <w:szCs w:val="24"/>
            </w:rPr>
            <w:fldChar w:fldCharType="separate"/>
          </w:r>
          <w:r>
            <w:rPr>
              <w:rFonts w:hint="eastAsia" w:ascii="仿宋" w:hAnsi="仿宋" w:eastAsia="仿宋" w:cs="仿宋"/>
              <w:sz w:val="24"/>
              <w:szCs w:val="24"/>
            </w:rPr>
            <w:t>40</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965D5FD">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_Toc28101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3.3.1绝缘油（变压器油）</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_Toc28101 \h </w:instrText>
          </w:r>
          <w:r>
            <w:rPr>
              <w:rFonts w:hint="eastAsia" w:ascii="仿宋" w:hAnsi="仿宋" w:eastAsia="仿宋" w:cs="仿宋"/>
              <w:sz w:val="24"/>
              <w:szCs w:val="24"/>
            </w:rPr>
            <w:fldChar w:fldCharType="separate"/>
          </w:r>
          <w:r>
            <w:rPr>
              <w:rFonts w:hint="eastAsia" w:ascii="仿宋" w:hAnsi="仿宋" w:eastAsia="仿宋" w:cs="仿宋"/>
              <w:sz w:val="24"/>
              <w:szCs w:val="24"/>
            </w:rPr>
            <w:t>40</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1FB3A5C0">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_Toc5795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3.3.2乙炔</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_Toc5795 \h </w:instrText>
          </w:r>
          <w:r>
            <w:rPr>
              <w:rFonts w:hint="eastAsia" w:ascii="仿宋" w:hAnsi="仿宋" w:eastAsia="仿宋" w:cs="仿宋"/>
              <w:sz w:val="24"/>
              <w:szCs w:val="24"/>
            </w:rPr>
            <w:fldChar w:fldCharType="separate"/>
          </w:r>
          <w:r>
            <w:rPr>
              <w:rFonts w:hint="eastAsia" w:ascii="仿宋" w:hAnsi="仿宋" w:eastAsia="仿宋" w:cs="仿宋"/>
              <w:sz w:val="24"/>
              <w:szCs w:val="24"/>
            </w:rPr>
            <w:t>42</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44D5DFA">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_Toc24126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3.3.3氧气</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_Toc24126 \h </w:instrText>
          </w:r>
          <w:r>
            <w:rPr>
              <w:rFonts w:hint="eastAsia" w:ascii="仿宋" w:hAnsi="仿宋" w:eastAsia="仿宋" w:cs="仿宋"/>
              <w:sz w:val="24"/>
              <w:szCs w:val="24"/>
            </w:rPr>
            <w:fldChar w:fldCharType="separate"/>
          </w:r>
          <w:r>
            <w:rPr>
              <w:rFonts w:hint="eastAsia" w:ascii="仿宋" w:hAnsi="仿宋" w:eastAsia="仿宋" w:cs="仿宋"/>
              <w:sz w:val="24"/>
              <w:szCs w:val="24"/>
            </w:rPr>
            <w:t>44</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2B811CAD">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_Toc24382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3.3.4六氟化硫危险特性及理化特性</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_Toc24382 \h </w:instrText>
          </w:r>
          <w:r>
            <w:rPr>
              <w:rFonts w:hint="eastAsia" w:ascii="仿宋" w:hAnsi="仿宋" w:eastAsia="仿宋" w:cs="仿宋"/>
              <w:sz w:val="24"/>
              <w:szCs w:val="24"/>
            </w:rPr>
            <w:fldChar w:fldCharType="separate"/>
          </w:r>
          <w:r>
            <w:rPr>
              <w:rFonts w:hint="eastAsia" w:ascii="仿宋" w:hAnsi="仿宋" w:eastAsia="仿宋" w:cs="仿宋"/>
              <w:sz w:val="24"/>
              <w:szCs w:val="24"/>
            </w:rPr>
            <w:t>45</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53BFFD9">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_Toc14713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3.4危险有害因素产生的原因</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_Toc14713 \h </w:instrText>
          </w:r>
          <w:r>
            <w:rPr>
              <w:rFonts w:hint="eastAsia" w:ascii="仿宋" w:hAnsi="仿宋" w:eastAsia="仿宋" w:cs="仿宋"/>
              <w:sz w:val="24"/>
              <w:szCs w:val="24"/>
            </w:rPr>
            <w:fldChar w:fldCharType="separate"/>
          </w:r>
          <w:r>
            <w:rPr>
              <w:rFonts w:hint="eastAsia" w:ascii="仿宋" w:hAnsi="仿宋" w:eastAsia="仿宋" w:cs="仿宋"/>
              <w:sz w:val="24"/>
              <w:szCs w:val="24"/>
            </w:rPr>
            <w:t>45</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361507C4">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_Toc9477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3.4.1运行失控与设备故障</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_Toc9477 \h </w:instrText>
          </w:r>
          <w:r>
            <w:rPr>
              <w:rFonts w:hint="eastAsia" w:ascii="仿宋" w:hAnsi="仿宋" w:eastAsia="仿宋" w:cs="仿宋"/>
              <w:sz w:val="24"/>
              <w:szCs w:val="24"/>
            </w:rPr>
            <w:fldChar w:fldCharType="separate"/>
          </w:r>
          <w:r>
            <w:rPr>
              <w:rFonts w:hint="eastAsia" w:ascii="仿宋" w:hAnsi="仿宋" w:eastAsia="仿宋" w:cs="仿宋"/>
              <w:sz w:val="24"/>
              <w:szCs w:val="24"/>
            </w:rPr>
            <w:t>45</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4E51DFD2">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_Toc32219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3.4.2</w:t>
          </w:r>
          <w:r>
            <w:rPr>
              <w:rFonts w:hint="eastAsia" w:ascii="仿宋" w:hAnsi="仿宋" w:eastAsia="仿宋" w:cs="仿宋"/>
              <w:bCs w:val="0"/>
              <w:sz w:val="24"/>
              <w:szCs w:val="24"/>
            </w:rPr>
            <w:t>人员失误</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_Toc32219 \h </w:instrText>
          </w:r>
          <w:r>
            <w:rPr>
              <w:rFonts w:hint="eastAsia" w:ascii="仿宋" w:hAnsi="仿宋" w:eastAsia="仿宋" w:cs="仿宋"/>
              <w:sz w:val="24"/>
              <w:szCs w:val="24"/>
            </w:rPr>
            <w:fldChar w:fldCharType="separate"/>
          </w:r>
          <w:r>
            <w:rPr>
              <w:rFonts w:hint="eastAsia" w:ascii="仿宋" w:hAnsi="仿宋" w:eastAsia="仿宋" w:cs="仿宋"/>
              <w:sz w:val="24"/>
              <w:szCs w:val="24"/>
            </w:rPr>
            <w:t>46</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39115563">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_Toc16989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3.4.3</w:t>
          </w:r>
          <w:r>
            <w:rPr>
              <w:rFonts w:hint="eastAsia" w:ascii="仿宋" w:hAnsi="仿宋" w:eastAsia="仿宋" w:cs="仿宋"/>
              <w:bCs w:val="0"/>
              <w:sz w:val="24"/>
              <w:szCs w:val="24"/>
            </w:rPr>
            <w:t>管理缺陷</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_Toc16989 \h </w:instrText>
          </w:r>
          <w:r>
            <w:rPr>
              <w:rFonts w:hint="eastAsia" w:ascii="仿宋" w:hAnsi="仿宋" w:eastAsia="仿宋" w:cs="仿宋"/>
              <w:sz w:val="24"/>
              <w:szCs w:val="24"/>
            </w:rPr>
            <w:fldChar w:fldCharType="separate"/>
          </w:r>
          <w:r>
            <w:rPr>
              <w:rFonts w:hint="eastAsia" w:ascii="仿宋" w:hAnsi="仿宋" w:eastAsia="仿宋" w:cs="仿宋"/>
              <w:sz w:val="24"/>
              <w:szCs w:val="24"/>
            </w:rPr>
            <w:t>46</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31EF814F">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_Toc25469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3.4.4</w:t>
          </w:r>
          <w:r>
            <w:rPr>
              <w:rFonts w:hint="eastAsia" w:ascii="仿宋" w:hAnsi="仿宋" w:eastAsia="仿宋" w:cs="仿宋"/>
              <w:bCs w:val="0"/>
              <w:sz w:val="24"/>
              <w:szCs w:val="24"/>
            </w:rPr>
            <w:t>环境原因</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_Toc25469 \h </w:instrText>
          </w:r>
          <w:r>
            <w:rPr>
              <w:rFonts w:hint="eastAsia" w:ascii="仿宋" w:hAnsi="仿宋" w:eastAsia="仿宋" w:cs="仿宋"/>
              <w:sz w:val="24"/>
              <w:szCs w:val="24"/>
            </w:rPr>
            <w:fldChar w:fldCharType="separate"/>
          </w:r>
          <w:r>
            <w:rPr>
              <w:rFonts w:hint="eastAsia" w:ascii="仿宋" w:hAnsi="仿宋" w:eastAsia="仿宋" w:cs="仿宋"/>
              <w:sz w:val="24"/>
              <w:szCs w:val="24"/>
            </w:rPr>
            <w:t>47</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330B3238">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_Toc24857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3.5</w:t>
          </w:r>
          <w:r>
            <w:rPr>
              <w:rFonts w:hint="eastAsia" w:ascii="仿宋" w:hAnsi="仿宋" w:eastAsia="仿宋" w:cs="仿宋"/>
              <w:sz w:val="24"/>
              <w:szCs w:val="24"/>
            </w:rPr>
            <w:t>总平面布置及周边环境危险有害因素辨识分析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_Toc24857 \h </w:instrText>
          </w:r>
          <w:r>
            <w:rPr>
              <w:rFonts w:hint="eastAsia" w:ascii="仿宋" w:hAnsi="仿宋" w:eastAsia="仿宋" w:cs="仿宋"/>
              <w:sz w:val="24"/>
              <w:szCs w:val="24"/>
            </w:rPr>
            <w:fldChar w:fldCharType="separate"/>
          </w:r>
          <w:r>
            <w:rPr>
              <w:rFonts w:hint="eastAsia" w:ascii="仿宋" w:hAnsi="仿宋" w:eastAsia="仿宋" w:cs="仿宋"/>
              <w:sz w:val="24"/>
              <w:szCs w:val="24"/>
            </w:rPr>
            <w:t>47</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A55621B">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_Toc32383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3.5.1</w:t>
          </w:r>
          <w:r>
            <w:rPr>
              <w:rFonts w:hint="eastAsia" w:ascii="仿宋" w:hAnsi="仿宋" w:eastAsia="仿宋" w:cs="仿宋"/>
              <w:bCs w:val="0"/>
              <w:sz w:val="24"/>
              <w:szCs w:val="24"/>
            </w:rPr>
            <w:t>周边环境对建设项目的影响</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_Toc32383 \h </w:instrText>
          </w:r>
          <w:r>
            <w:rPr>
              <w:rFonts w:hint="eastAsia" w:ascii="仿宋" w:hAnsi="仿宋" w:eastAsia="仿宋" w:cs="仿宋"/>
              <w:sz w:val="24"/>
              <w:szCs w:val="24"/>
            </w:rPr>
            <w:fldChar w:fldCharType="separate"/>
          </w:r>
          <w:r>
            <w:rPr>
              <w:rFonts w:hint="eastAsia" w:ascii="仿宋" w:hAnsi="仿宋" w:eastAsia="仿宋" w:cs="仿宋"/>
              <w:sz w:val="24"/>
              <w:szCs w:val="24"/>
            </w:rPr>
            <w:t>47</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B1E8A2E">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_Toc30734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3.5.2</w:t>
          </w:r>
          <w:r>
            <w:rPr>
              <w:rFonts w:hint="eastAsia" w:ascii="仿宋" w:hAnsi="仿宋" w:eastAsia="仿宋" w:cs="仿宋"/>
              <w:bCs w:val="0"/>
              <w:sz w:val="24"/>
              <w:szCs w:val="24"/>
            </w:rPr>
            <w:t>建设项目对周边环境的影响</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_Toc30734 \h </w:instrText>
          </w:r>
          <w:r>
            <w:rPr>
              <w:rFonts w:hint="eastAsia" w:ascii="仿宋" w:hAnsi="仿宋" w:eastAsia="仿宋" w:cs="仿宋"/>
              <w:sz w:val="24"/>
              <w:szCs w:val="24"/>
            </w:rPr>
            <w:fldChar w:fldCharType="separate"/>
          </w:r>
          <w:r>
            <w:rPr>
              <w:rFonts w:hint="eastAsia" w:ascii="仿宋" w:hAnsi="仿宋" w:eastAsia="仿宋" w:cs="仿宋"/>
              <w:sz w:val="24"/>
              <w:szCs w:val="24"/>
            </w:rPr>
            <w:t>48</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6BFC35B4">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_Toc6349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3.5.3总平面布置</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_Toc6349 \h </w:instrText>
          </w:r>
          <w:r>
            <w:rPr>
              <w:rFonts w:hint="eastAsia" w:ascii="仿宋" w:hAnsi="仿宋" w:eastAsia="仿宋" w:cs="仿宋"/>
              <w:sz w:val="24"/>
              <w:szCs w:val="24"/>
            </w:rPr>
            <w:fldChar w:fldCharType="separate"/>
          </w:r>
          <w:r>
            <w:rPr>
              <w:rFonts w:hint="eastAsia" w:ascii="仿宋" w:hAnsi="仿宋" w:eastAsia="仿宋" w:cs="仿宋"/>
              <w:sz w:val="24"/>
              <w:szCs w:val="24"/>
            </w:rPr>
            <w:t>48</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44FD1403">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_Toc17978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3.6</w:t>
          </w:r>
          <w:r>
            <w:rPr>
              <w:rFonts w:hint="eastAsia" w:ascii="仿宋" w:hAnsi="仿宋" w:eastAsia="仿宋" w:cs="仿宋"/>
              <w:sz w:val="24"/>
              <w:szCs w:val="24"/>
            </w:rPr>
            <w:t>主要建（构）筑物</w:t>
          </w:r>
          <w:r>
            <w:rPr>
              <w:rFonts w:hint="eastAsia" w:ascii="仿宋" w:hAnsi="仿宋" w:eastAsia="仿宋" w:cs="仿宋"/>
              <w:sz w:val="24"/>
              <w:szCs w:val="24"/>
              <w:lang w:eastAsia="zh-CN"/>
            </w:rPr>
            <w:t>危险有害因素</w:t>
          </w:r>
          <w:r>
            <w:rPr>
              <w:rFonts w:hint="eastAsia" w:ascii="仿宋" w:hAnsi="仿宋" w:eastAsia="仿宋" w:cs="仿宋"/>
              <w:sz w:val="24"/>
              <w:szCs w:val="24"/>
            </w:rPr>
            <w:t>辨识分析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_Toc17978 \h </w:instrText>
          </w:r>
          <w:r>
            <w:rPr>
              <w:rFonts w:hint="eastAsia" w:ascii="仿宋" w:hAnsi="仿宋" w:eastAsia="仿宋" w:cs="仿宋"/>
              <w:sz w:val="24"/>
              <w:szCs w:val="24"/>
            </w:rPr>
            <w:fldChar w:fldCharType="separate"/>
          </w:r>
          <w:r>
            <w:rPr>
              <w:rFonts w:hint="eastAsia" w:ascii="仿宋" w:hAnsi="仿宋" w:eastAsia="仿宋" w:cs="仿宋"/>
              <w:sz w:val="24"/>
              <w:szCs w:val="24"/>
            </w:rPr>
            <w:t>48</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24B477A">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_Toc10025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3.6.1光伏支架及基础危险有害因素分析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_Toc10025 \h </w:instrText>
          </w:r>
          <w:r>
            <w:rPr>
              <w:rFonts w:hint="eastAsia" w:ascii="仿宋" w:hAnsi="仿宋" w:eastAsia="仿宋" w:cs="仿宋"/>
              <w:sz w:val="24"/>
              <w:szCs w:val="24"/>
            </w:rPr>
            <w:fldChar w:fldCharType="separate"/>
          </w:r>
          <w:r>
            <w:rPr>
              <w:rFonts w:hint="eastAsia" w:ascii="仿宋" w:hAnsi="仿宋" w:eastAsia="仿宋" w:cs="仿宋"/>
              <w:sz w:val="24"/>
              <w:szCs w:val="24"/>
            </w:rPr>
            <w:t>48</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04ED2D09">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_Toc16422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3.6.2逆变配电箱和箱式升压变压器基础危险有害因素分析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_Toc16422 \h </w:instrText>
          </w:r>
          <w:r>
            <w:rPr>
              <w:rFonts w:hint="eastAsia" w:ascii="仿宋" w:hAnsi="仿宋" w:eastAsia="仿宋" w:cs="仿宋"/>
              <w:sz w:val="24"/>
              <w:szCs w:val="24"/>
            </w:rPr>
            <w:fldChar w:fldCharType="separate"/>
          </w:r>
          <w:r>
            <w:rPr>
              <w:rFonts w:hint="eastAsia" w:ascii="仿宋" w:hAnsi="仿宋" w:eastAsia="仿宋" w:cs="仿宋"/>
              <w:sz w:val="24"/>
              <w:szCs w:val="24"/>
            </w:rPr>
            <w:t>49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6872FF71">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_Toc7039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3.6.3电缆沟危险有害因素分析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_Toc7039 \h </w:instrText>
          </w:r>
          <w:r>
            <w:rPr>
              <w:rFonts w:hint="eastAsia" w:ascii="仿宋" w:hAnsi="仿宋" w:eastAsia="仿宋" w:cs="仿宋"/>
              <w:sz w:val="24"/>
              <w:szCs w:val="24"/>
            </w:rPr>
            <w:fldChar w:fldCharType="separate"/>
          </w:r>
          <w:r>
            <w:rPr>
              <w:rFonts w:hint="eastAsia" w:ascii="仿宋" w:hAnsi="仿宋" w:eastAsia="仿宋" w:cs="仿宋"/>
              <w:sz w:val="24"/>
              <w:szCs w:val="24"/>
            </w:rPr>
            <w:t>49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39876B87">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_Toc18804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3.6.4安全监测设施危险有害因素分析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_Toc18804 \h </w:instrText>
          </w:r>
          <w:r>
            <w:rPr>
              <w:rFonts w:hint="eastAsia" w:ascii="仿宋" w:hAnsi="仿宋" w:eastAsia="仿宋" w:cs="仿宋"/>
              <w:sz w:val="24"/>
              <w:szCs w:val="24"/>
            </w:rPr>
            <w:fldChar w:fldCharType="separate"/>
          </w:r>
          <w:r>
            <w:rPr>
              <w:rFonts w:hint="eastAsia" w:ascii="仿宋" w:hAnsi="仿宋" w:eastAsia="仿宋" w:cs="仿宋"/>
              <w:sz w:val="24"/>
              <w:szCs w:val="24"/>
            </w:rPr>
            <w:t>49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472A1D2F">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_Toc9925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3.6.5场内道路危险有害因素分析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_Toc9925 \h </w:instrText>
          </w:r>
          <w:r>
            <w:rPr>
              <w:rFonts w:hint="eastAsia" w:ascii="仿宋" w:hAnsi="仿宋" w:eastAsia="仿宋" w:cs="仿宋"/>
              <w:sz w:val="24"/>
              <w:szCs w:val="24"/>
            </w:rPr>
            <w:fldChar w:fldCharType="separate"/>
          </w:r>
          <w:r>
            <w:rPr>
              <w:rFonts w:hint="eastAsia" w:ascii="仿宋" w:hAnsi="仿宋" w:eastAsia="仿宋" w:cs="仿宋"/>
              <w:sz w:val="24"/>
              <w:szCs w:val="24"/>
            </w:rPr>
            <w:t>49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D197F94">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_Toc9139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3.7主要设备危险有害因素辨识与分析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_Toc9139 \h </w:instrText>
          </w:r>
          <w:r>
            <w:rPr>
              <w:rFonts w:hint="eastAsia" w:ascii="仿宋" w:hAnsi="仿宋" w:eastAsia="仿宋" w:cs="仿宋"/>
              <w:sz w:val="24"/>
              <w:szCs w:val="24"/>
            </w:rPr>
            <w:fldChar w:fldCharType="separate"/>
          </w:r>
          <w:r>
            <w:rPr>
              <w:rFonts w:hint="eastAsia" w:ascii="仿宋" w:hAnsi="仿宋" w:eastAsia="仿宋" w:cs="仿宋"/>
              <w:sz w:val="24"/>
              <w:szCs w:val="24"/>
            </w:rPr>
            <w:t>49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B432DCA">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_Toc20217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3.7.1光伏组件危险有害因素分析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_Toc20217 \h </w:instrText>
          </w:r>
          <w:r>
            <w:rPr>
              <w:rFonts w:hint="eastAsia" w:ascii="仿宋" w:hAnsi="仿宋" w:eastAsia="仿宋" w:cs="仿宋"/>
              <w:sz w:val="24"/>
              <w:szCs w:val="24"/>
            </w:rPr>
            <w:fldChar w:fldCharType="separate"/>
          </w:r>
          <w:r>
            <w:rPr>
              <w:rFonts w:hint="eastAsia" w:ascii="仿宋" w:hAnsi="仿宋" w:eastAsia="仿宋" w:cs="仿宋"/>
              <w:sz w:val="24"/>
              <w:szCs w:val="24"/>
            </w:rPr>
            <w:t>49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BA8D29D">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_Toc1257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3.7.2直流汇流箱危险有害因素分析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_Toc1257 \h </w:instrText>
          </w:r>
          <w:r>
            <w:rPr>
              <w:rFonts w:hint="eastAsia" w:ascii="仿宋" w:hAnsi="仿宋" w:eastAsia="仿宋" w:cs="仿宋"/>
              <w:sz w:val="24"/>
              <w:szCs w:val="24"/>
            </w:rPr>
            <w:fldChar w:fldCharType="separate"/>
          </w:r>
          <w:r>
            <w:rPr>
              <w:rFonts w:hint="eastAsia" w:ascii="仿宋" w:hAnsi="仿宋" w:eastAsia="仿宋" w:cs="仿宋"/>
              <w:sz w:val="24"/>
              <w:szCs w:val="24"/>
            </w:rPr>
            <w:t>50</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4A475113">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_Toc8702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3.7.3逆变器危险有害因素分析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_Toc8702 \h </w:instrText>
          </w:r>
          <w:r>
            <w:rPr>
              <w:rFonts w:hint="eastAsia" w:ascii="仿宋" w:hAnsi="仿宋" w:eastAsia="仿宋" w:cs="仿宋"/>
              <w:sz w:val="24"/>
              <w:szCs w:val="24"/>
            </w:rPr>
            <w:fldChar w:fldCharType="separate"/>
          </w:r>
          <w:r>
            <w:rPr>
              <w:rFonts w:hint="eastAsia" w:ascii="仿宋" w:hAnsi="仿宋" w:eastAsia="仿宋" w:cs="仿宋"/>
              <w:sz w:val="24"/>
              <w:szCs w:val="24"/>
            </w:rPr>
            <w:t>50</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0F72C2A1">
          <w:pPr>
            <w:pStyle w:val="13"/>
            <w:tabs>
              <w:tab w:val="right" w:leader="dot" w:pos="8902"/>
            </w:tabs>
            <w:rPr>
              <w:rFonts w:hint="eastAsia" w:ascii="仿宋" w:hAnsi="仿宋" w:eastAsia="仿宋" w:cs="仿宋"/>
              <w:sz w:val="24"/>
              <w:szCs w:val="24"/>
            </w:rPr>
            <w:sectPr>
              <w:footerReference r:id="rId8" w:type="default"/>
              <w:pgSz w:w="11906" w:h="16838"/>
              <w:pgMar w:top="1417" w:right="1417" w:bottom="1417" w:left="1587" w:header="851" w:footer="992" w:gutter="0"/>
              <w:pgNumType w:start="1"/>
              <w:cols w:space="425" w:num="1"/>
              <w:docGrid w:type="lines" w:linePitch="312" w:charSpace="0"/>
            </w:sectPr>
          </w:pPr>
        </w:p>
        <w:p w14:paraId="56466F33">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_Toc7041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3.7.4集电线路危险有害因素分析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_Toc7041 \h </w:instrText>
          </w:r>
          <w:r>
            <w:rPr>
              <w:rFonts w:hint="eastAsia" w:ascii="仿宋" w:hAnsi="仿宋" w:eastAsia="仿宋" w:cs="仿宋"/>
              <w:sz w:val="24"/>
              <w:szCs w:val="24"/>
            </w:rPr>
            <w:fldChar w:fldCharType="separate"/>
          </w:r>
          <w:r>
            <w:rPr>
              <w:rFonts w:hint="eastAsia" w:ascii="仿宋" w:hAnsi="仿宋" w:eastAsia="仿宋" w:cs="仿宋"/>
              <w:sz w:val="24"/>
              <w:szCs w:val="24"/>
            </w:rPr>
            <w:t>51</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005A205E">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_Toc21602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3.7.5油浸式变压器危险有害因素分析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_Toc21602 \h </w:instrText>
          </w:r>
          <w:r>
            <w:rPr>
              <w:rFonts w:hint="eastAsia" w:ascii="仿宋" w:hAnsi="仿宋" w:eastAsia="仿宋" w:cs="仿宋"/>
              <w:sz w:val="24"/>
              <w:szCs w:val="24"/>
            </w:rPr>
            <w:fldChar w:fldCharType="separate"/>
          </w:r>
          <w:r>
            <w:rPr>
              <w:rFonts w:hint="eastAsia" w:ascii="仿宋" w:hAnsi="仿宋" w:eastAsia="仿宋" w:cs="仿宋"/>
              <w:sz w:val="24"/>
              <w:szCs w:val="24"/>
            </w:rPr>
            <w:t>52</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84FE77B">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_Toc12915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3.7.6配电装置危险有害因素分析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_Toc12915 \h </w:instrText>
          </w:r>
          <w:r>
            <w:rPr>
              <w:rFonts w:hint="eastAsia" w:ascii="仿宋" w:hAnsi="仿宋" w:eastAsia="仿宋" w:cs="仿宋"/>
              <w:sz w:val="24"/>
              <w:szCs w:val="24"/>
            </w:rPr>
            <w:fldChar w:fldCharType="separate"/>
          </w:r>
          <w:r>
            <w:rPr>
              <w:rFonts w:hint="eastAsia" w:ascii="仿宋" w:hAnsi="仿宋" w:eastAsia="仿宋" w:cs="仿宋"/>
              <w:sz w:val="24"/>
              <w:szCs w:val="24"/>
            </w:rPr>
            <w:t>52</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4D078979">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_Toc21332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3.7.7油浸式变压器危险有害因素分析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_Toc21332 \h </w:instrText>
          </w:r>
          <w:r>
            <w:rPr>
              <w:rFonts w:hint="eastAsia" w:ascii="仿宋" w:hAnsi="仿宋" w:eastAsia="仿宋" w:cs="仿宋"/>
              <w:sz w:val="24"/>
              <w:szCs w:val="24"/>
            </w:rPr>
            <w:fldChar w:fldCharType="separate"/>
          </w:r>
          <w:r>
            <w:rPr>
              <w:rFonts w:hint="eastAsia" w:ascii="仿宋" w:hAnsi="仿宋" w:eastAsia="仿宋" w:cs="仿宋"/>
              <w:sz w:val="24"/>
              <w:szCs w:val="24"/>
            </w:rPr>
            <w:t>52</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E3950E4">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_Toc32739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3.7.8电气接地网危险有害因素分析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_Toc32739 \h </w:instrText>
          </w:r>
          <w:r>
            <w:rPr>
              <w:rFonts w:hint="eastAsia" w:ascii="仿宋" w:hAnsi="仿宋" w:eastAsia="仿宋" w:cs="仿宋"/>
              <w:sz w:val="24"/>
              <w:szCs w:val="24"/>
            </w:rPr>
            <w:fldChar w:fldCharType="separate"/>
          </w:r>
          <w:r>
            <w:rPr>
              <w:rFonts w:hint="eastAsia" w:ascii="仿宋" w:hAnsi="仿宋" w:eastAsia="仿宋" w:cs="仿宋"/>
              <w:sz w:val="24"/>
              <w:szCs w:val="24"/>
            </w:rPr>
            <w:t>53</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3E80E5EE">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_Toc19286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3.7.9电缆分接箱危险有害因素分析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_Toc19286 \h </w:instrText>
          </w:r>
          <w:r>
            <w:rPr>
              <w:rFonts w:hint="eastAsia" w:ascii="仿宋" w:hAnsi="仿宋" w:eastAsia="仿宋" w:cs="仿宋"/>
              <w:sz w:val="24"/>
              <w:szCs w:val="24"/>
            </w:rPr>
            <w:fldChar w:fldCharType="separate"/>
          </w:r>
          <w:r>
            <w:rPr>
              <w:rFonts w:hint="eastAsia" w:ascii="仿宋" w:hAnsi="仿宋" w:eastAsia="仿宋" w:cs="仿宋"/>
              <w:sz w:val="24"/>
              <w:szCs w:val="24"/>
            </w:rPr>
            <w:t>53</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252ADF9E">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_Toc14731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3.7.10安全标志缺陷危害性分析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_Toc14731 \h </w:instrText>
          </w:r>
          <w:r>
            <w:rPr>
              <w:rFonts w:hint="eastAsia" w:ascii="仿宋" w:hAnsi="仿宋" w:eastAsia="仿宋" w:cs="仿宋"/>
              <w:sz w:val="24"/>
              <w:szCs w:val="24"/>
            </w:rPr>
            <w:fldChar w:fldCharType="separate"/>
          </w:r>
          <w:r>
            <w:rPr>
              <w:rFonts w:hint="eastAsia" w:ascii="仿宋" w:hAnsi="仿宋" w:eastAsia="仿宋" w:cs="仿宋"/>
              <w:sz w:val="24"/>
              <w:szCs w:val="24"/>
            </w:rPr>
            <w:t>53</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6793BFB0">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_Toc29038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3.7.11并网安全性危险有害因素分析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_Toc29038 \h </w:instrText>
          </w:r>
          <w:r>
            <w:rPr>
              <w:rFonts w:hint="eastAsia" w:ascii="仿宋" w:hAnsi="仿宋" w:eastAsia="仿宋" w:cs="仿宋"/>
              <w:sz w:val="24"/>
              <w:szCs w:val="24"/>
            </w:rPr>
            <w:fldChar w:fldCharType="separate"/>
          </w:r>
          <w:r>
            <w:rPr>
              <w:rFonts w:hint="eastAsia" w:ascii="仿宋" w:hAnsi="仿宋" w:eastAsia="仿宋" w:cs="仿宋"/>
              <w:sz w:val="24"/>
              <w:szCs w:val="24"/>
            </w:rPr>
            <w:t>53</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00997B07">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_Toc9647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3.7.12安全工器具危险有害因素辨识与分析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_Toc9647 \h </w:instrText>
          </w:r>
          <w:r>
            <w:rPr>
              <w:rFonts w:hint="eastAsia" w:ascii="仿宋" w:hAnsi="仿宋" w:eastAsia="仿宋" w:cs="仿宋"/>
              <w:sz w:val="24"/>
              <w:szCs w:val="24"/>
            </w:rPr>
            <w:fldChar w:fldCharType="separate"/>
          </w:r>
          <w:r>
            <w:rPr>
              <w:rFonts w:hint="eastAsia" w:ascii="仿宋" w:hAnsi="仿宋" w:eastAsia="仿宋" w:cs="仿宋"/>
              <w:sz w:val="24"/>
              <w:szCs w:val="24"/>
            </w:rPr>
            <w:t>54</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12890A32">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_Toc2782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3.7.13孤岛运行保护危险有害因素分析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_Toc2782 \h </w:instrText>
          </w:r>
          <w:r>
            <w:rPr>
              <w:rFonts w:hint="eastAsia" w:ascii="仿宋" w:hAnsi="仿宋" w:eastAsia="仿宋" w:cs="仿宋"/>
              <w:sz w:val="24"/>
              <w:szCs w:val="24"/>
            </w:rPr>
            <w:fldChar w:fldCharType="separate"/>
          </w:r>
          <w:r>
            <w:rPr>
              <w:rFonts w:hint="eastAsia" w:ascii="仿宋" w:hAnsi="仿宋" w:eastAsia="仿宋" w:cs="仿宋"/>
              <w:sz w:val="24"/>
              <w:szCs w:val="24"/>
            </w:rPr>
            <w:t>54</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1CA3611">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_Toc21610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3.7.14热斑效应危险有害因素分析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_Toc21610 \h </w:instrText>
          </w:r>
          <w:r>
            <w:rPr>
              <w:rFonts w:hint="eastAsia" w:ascii="仿宋" w:hAnsi="仿宋" w:eastAsia="仿宋" w:cs="仿宋"/>
              <w:sz w:val="24"/>
              <w:szCs w:val="24"/>
            </w:rPr>
            <w:fldChar w:fldCharType="separate"/>
          </w:r>
          <w:r>
            <w:rPr>
              <w:rFonts w:hint="eastAsia" w:ascii="仿宋" w:hAnsi="仿宋" w:eastAsia="仿宋" w:cs="仿宋"/>
              <w:sz w:val="24"/>
              <w:szCs w:val="24"/>
            </w:rPr>
            <w:t>54</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1CB40BD8">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_Toc20401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3.7.15谐波效应危险有害因素分析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_Toc20401 \h </w:instrText>
          </w:r>
          <w:r>
            <w:rPr>
              <w:rFonts w:hint="eastAsia" w:ascii="仿宋" w:hAnsi="仿宋" w:eastAsia="仿宋" w:cs="仿宋"/>
              <w:sz w:val="24"/>
              <w:szCs w:val="24"/>
            </w:rPr>
            <w:fldChar w:fldCharType="separate"/>
          </w:r>
          <w:r>
            <w:rPr>
              <w:rFonts w:hint="eastAsia" w:ascii="仿宋" w:hAnsi="仿宋" w:eastAsia="仿宋" w:cs="仿宋"/>
              <w:sz w:val="24"/>
              <w:szCs w:val="24"/>
            </w:rPr>
            <w:t>55</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F9D8ECC">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_Toc19595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3.7.16全场失电危险有害因素分析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_Toc19595 \h </w:instrText>
          </w:r>
          <w:r>
            <w:rPr>
              <w:rFonts w:hint="eastAsia" w:ascii="仿宋" w:hAnsi="仿宋" w:eastAsia="仿宋" w:cs="仿宋"/>
              <w:sz w:val="24"/>
              <w:szCs w:val="24"/>
            </w:rPr>
            <w:fldChar w:fldCharType="separate"/>
          </w:r>
          <w:r>
            <w:rPr>
              <w:rFonts w:hint="eastAsia" w:ascii="仿宋" w:hAnsi="仿宋" w:eastAsia="仿宋" w:cs="仿宋"/>
              <w:sz w:val="24"/>
              <w:szCs w:val="24"/>
            </w:rPr>
            <w:t>55</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B6FA8CD">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_Toc26271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3.7.17带电作业危险有害因素分析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_Toc26271 \h </w:instrText>
          </w:r>
          <w:r>
            <w:rPr>
              <w:rFonts w:hint="eastAsia" w:ascii="仿宋" w:hAnsi="仿宋" w:eastAsia="仿宋" w:cs="仿宋"/>
              <w:sz w:val="24"/>
              <w:szCs w:val="24"/>
            </w:rPr>
            <w:fldChar w:fldCharType="separate"/>
          </w:r>
          <w:r>
            <w:rPr>
              <w:rFonts w:hint="eastAsia" w:ascii="仿宋" w:hAnsi="仿宋" w:eastAsia="仿宋" w:cs="仿宋"/>
              <w:sz w:val="24"/>
              <w:szCs w:val="24"/>
            </w:rPr>
            <w:t>56</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CAE1F61">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_Toc4205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3.7.18交叉作业危险有害因素分析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_Toc4205 \h </w:instrText>
          </w:r>
          <w:r>
            <w:rPr>
              <w:rFonts w:hint="eastAsia" w:ascii="仿宋" w:hAnsi="仿宋" w:eastAsia="仿宋" w:cs="仿宋"/>
              <w:sz w:val="24"/>
              <w:szCs w:val="24"/>
            </w:rPr>
            <w:fldChar w:fldCharType="separate"/>
          </w:r>
          <w:r>
            <w:rPr>
              <w:rFonts w:hint="eastAsia" w:ascii="仿宋" w:hAnsi="仿宋" w:eastAsia="仿宋" w:cs="仿宋"/>
              <w:sz w:val="24"/>
              <w:szCs w:val="24"/>
            </w:rPr>
            <w:t>56</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268B160">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_Toc27921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3.7.19</w:t>
          </w:r>
          <w:r>
            <w:rPr>
              <w:rFonts w:hint="eastAsia" w:ascii="仿宋" w:hAnsi="仿宋" w:eastAsia="仿宋" w:cs="仿宋"/>
              <w:bCs/>
              <w:kern w:val="2"/>
              <w:sz w:val="24"/>
              <w:szCs w:val="24"/>
              <w:highlight w:val="none"/>
              <w:lang w:val="en-US" w:eastAsia="zh-CN" w:bidi="ar-SA"/>
            </w:rPr>
            <w:t>六氟化硫泄漏</w:t>
          </w:r>
          <w:r>
            <w:rPr>
              <w:rFonts w:hint="eastAsia" w:ascii="仿宋" w:hAnsi="仿宋" w:eastAsia="仿宋" w:cs="仿宋"/>
              <w:bCs/>
              <w:sz w:val="24"/>
              <w:szCs w:val="24"/>
              <w:lang w:val="en-US" w:eastAsia="zh-CN"/>
            </w:rPr>
            <w:t>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_Toc27921 \h </w:instrText>
          </w:r>
          <w:r>
            <w:rPr>
              <w:rFonts w:hint="eastAsia" w:ascii="仿宋" w:hAnsi="仿宋" w:eastAsia="仿宋" w:cs="仿宋"/>
              <w:sz w:val="24"/>
              <w:szCs w:val="24"/>
            </w:rPr>
            <w:fldChar w:fldCharType="separate"/>
          </w:r>
          <w:r>
            <w:rPr>
              <w:rFonts w:hint="eastAsia" w:ascii="仿宋" w:hAnsi="仿宋" w:eastAsia="仿宋" w:cs="仿宋"/>
              <w:sz w:val="24"/>
              <w:szCs w:val="24"/>
            </w:rPr>
            <w:t>56</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1657EC89">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_Toc16999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3.7.20</w:t>
          </w:r>
          <w:r>
            <w:rPr>
              <w:rFonts w:hint="eastAsia" w:ascii="仿宋" w:hAnsi="仿宋" w:eastAsia="仿宋" w:cs="仿宋"/>
              <w:bCs/>
              <w:kern w:val="2"/>
              <w:sz w:val="24"/>
              <w:szCs w:val="24"/>
              <w:highlight w:val="none"/>
              <w:lang w:val="en-US" w:eastAsia="zh-CN" w:bidi="ar-SA"/>
            </w:rPr>
            <w:t>支架变形</w:t>
          </w:r>
          <w:r>
            <w:rPr>
              <w:rFonts w:hint="eastAsia" w:ascii="仿宋" w:hAnsi="仿宋" w:eastAsia="仿宋" w:cs="仿宋"/>
              <w:bCs/>
              <w:sz w:val="24"/>
              <w:szCs w:val="24"/>
              <w:lang w:val="en-US" w:eastAsia="zh-CN"/>
            </w:rPr>
            <w:t>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_Toc16999 \h </w:instrText>
          </w:r>
          <w:r>
            <w:rPr>
              <w:rFonts w:hint="eastAsia" w:ascii="仿宋" w:hAnsi="仿宋" w:eastAsia="仿宋" w:cs="仿宋"/>
              <w:sz w:val="24"/>
              <w:szCs w:val="24"/>
            </w:rPr>
            <w:fldChar w:fldCharType="separate"/>
          </w:r>
          <w:r>
            <w:rPr>
              <w:rFonts w:hint="eastAsia" w:ascii="仿宋" w:hAnsi="仿宋" w:eastAsia="仿宋" w:cs="仿宋"/>
              <w:sz w:val="24"/>
              <w:szCs w:val="24"/>
            </w:rPr>
            <w:t>57</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CF7691F">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_Toc21585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3.8</w:t>
          </w:r>
          <w:r>
            <w:rPr>
              <w:rFonts w:hint="eastAsia" w:ascii="仿宋" w:hAnsi="仿宋" w:eastAsia="仿宋" w:cs="仿宋"/>
              <w:sz w:val="24"/>
              <w:szCs w:val="24"/>
            </w:rPr>
            <w:t>生产运行、检修过程中的主要</w:t>
          </w:r>
          <w:r>
            <w:rPr>
              <w:rFonts w:hint="eastAsia" w:ascii="仿宋" w:hAnsi="仿宋" w:eastAsia="仿宋" w:cs="仿宋"/>
              <w:sz w:val="24"/>
              <w:szCs w:val="24"/>
              <w:lang w:eastAsia="zh-CN"/>
            </w:rPr>
            <w:t>危险有害因素</w:t>
          </w:r>
          <w:r>
            <w:rPr>
              <w:rFonts w:hint="eastAsia" w:ascii="仿宋" w:hAnsi="仿宋" w:eastAsia="仿宋" w:cs="仿宋"/>
              <w:sz w:val="24"/>
              <w:szCs w:val="24"/>
            </w:rPr>
            <w:t>辨识分析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_Toc21585 \h </w:instrText>
          </w:r>
          <w:r>
            <w:rPr>
              <w:rFonts w:hint="eastAsia" w:ascii="仿宋" w:hAnsi="仿宋" w:eastAsia="仿宋" w:cs="仿宋"/>
              <w:sz w:val="24"/>
              <w:szCs w:val="24"/>
            </w:rPr>
            <w:fldChar w:fldCharType="separate"/>
          </w:r>
          <w:r>
            <w:rPr>
              <w:rFonts w:hint="eastAsia" w:ascii="仿宋" w:hAnsi="仿宋" w:eastAsia="仿宋" w:cs="仿宋"/>
              <w:sz w:val="24"/>
              <w:szCs w:val="24"/>
            </w:rPr>
            <w:t>57</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9320E15">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_Toc11710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3.8.1</w:t>
          </w:r>
          <w:r>
            <w:rPr>
              <w:rFonts w:hint="eastAsia" w:ascii="仿宋" w:hAnsi="仿宋" w:eastAsia="仿宋" w:cs="仿宋"/>
              <w:bCs w:val="0"/>
              <w:sz w:val="24"/>
              <w:szCs w:val="24"/>
            </w:rPr>
            <w:t>火灾危险性分析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_Toc11710 \h </w:instrText>
          </w:r>
          <w:r>
            <w:rPr>
              <w:rFonts w:hint="eastAsia" w:ascii="仿宋" w:hAnsi="仿宋" w:eastAsia="仿宋" w:cs="仿宋"/>
              <w:sz w:val="24"/>
              <w:szCs w:val="24"/>
            </w:rPr>
            <w:fldChar w:fldCharType="separate"/>
          </w:r>
          <w:r>
            <w:rPr>
              <w:rFonts w:hint="eastAsia" w:ascii="仿宋" w:hAnsi="仿宋" w:eastAsia="仿宋" w:cs="仿宋"/>
              <w:sz w:val="24"/>
              <w:szCs w:val="24"/>
            </w:rPr>
            <w:t>57</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3B7E4667">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_Toc25895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3.8.2爆炸危险性分析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_Toc25895 \h </w:instrText>
          </w:r>
          <w:r>
            <w:rPr>
              <w:rFonts w:hint="eastAsia" w:ascii="仿宋" w:hAnsi="仿宋" w:eastAsia="仿宋" w:cs="仿宋"/>
              <w:sz w:val="24"/>
              <w:szCs w:val="24"/>
            </w:rPr>
            <w:fldChar w:fldCharType="separate"/>
          </w:r>
          <w:r>
            <w:rPr>
              <w:rFonts w:hint="eastAsia" w:ascii="仿宋" w:hAnsi="仿宋" w:eastAsia="仿宋" w:cs="仿宋"/>
              <w:sz w:val="24"/>
              <w:szCs w:val="24"/>
            </w:rPr>
            <w:t>59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06CD4A3E">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_Toc24651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3.8.3触电危险性分析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_Toc24651 \h </w:instrText>
          </w:r>
          <w:r>
            <w:rPr>
              <w:rFonts w:hint="eastAsia" w:ascii="仿宋" w:hAnsi="仿宋" w:eastAsia="仿宋" w:cs="仿宋"/>
              <w:sz w:val="24"/>
              <w:szCs w:val="24"/>
            </w:rPr>
            <w:fldChar w:fldCharType="separate"/>
          </w:r>
          <w:r>
            <w:rPr>
              <w:rFonts w:hint="eastAsia" w:ascii="仿宋" w:hAnsi="仿宋" w:eastAsia="仿宋" w:cs="仿宋"/>
              <w:sz w:val="24"/>
              <w:szCs w:val="24"/>
            </w:rPr>
            <w:t>60</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1E455CA">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_Toc1395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3.8.4机械伤害危险性分析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_Toc1395 \h </w:instrText>
          </w:r>
          <w:r>
            <w:rPr>
              <w:rFonts w:hint="eastAsia" w:ascii="仿宋" w:hAnsi="仿宋" w:eastAsia="仿宋" w:cs="仿宋"/>
              <w:sz w:val="24"/>
              <w:szCs w:val="24"/>
            </w:rPr>
            <w:fldChar w:fldCharType="separate"/>
          </w:r>
          <w:r>
            <w:rPr>
              <w:rFonts w:hint="eastAsia" w:ascii="仿宋" w:hAnsi="仿宋" w:eastAsia="仿宋" w:cs="仿宋"/>
              <w:sz w:val="24"/>
              <w:szCs w:val="24"/>
            </w:rPr>
            <w:t>60</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E6B1A8E">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_Toc8753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3.8.5高处坠落危险性分析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_Toc8753 \h </w:instrText>
          </w:r>
          <w:r>
            <w:rPr>
              <w:rFonts w:hint="eastAsia" w:ascii="仿宋" w:hAnsi="仿宋" w:eastAsia="仿宋" w:cs="仿宋"/>
              <w:sz w:val="24"/>
              <w:szCs w:val="24"/>
            </w:rPr>
            <w:fldChar w:fldCharType="separate"/>
          </w:r>
          <w:r>
            <w:rPr>
              <w:rFonts w:hint="eastAsia" w:ascii="仿宋" w:hAnsi="仿宋" w:eastAsia="仿宋" w:cs="仿宋"/>
              <w:sz w:val="24"/>
              <w:szCs w:val="24"/>
            </w:rPr>
            <w:t>61</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033E7165">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_Toc30596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3.8.6车辆伤害危险性分析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_Toc30596 \h </w:instrText>
          </w:r>
          <w:r>
            <w:rPr>
              <w:rFonts w:hint="eastAsia" w:ascii="仿宋" w:hAnsi="仿宋" w:eastAsia="仿宋" w:cs="仿宋"/>
              <w:sz w:val="24"/>
              <w:szCs w:val="24"/>
            </w:rPr>
            <w:fldChar w:fldCharType="separate"/>
          </w:r>
          <w:r>
            <w:rPr>
              <w:rFonts w:hint="eastAsia" w:ascii="仿宋" w:hAnsi="仿宋" w:eastAsia="仿宋" w:cs="仿宋"/>
              <w:sz w:val="24"/>
              <w:szCs w:val="24"/>
            </w:rPr>
            <w:t>61</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631A0B80">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_Toc17491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3.8.7</w:t>
          </w:r>
          <w:r>
            <w:rPr>
              <w:rFonts w:hint="eastAsia" w:ascii="仿宋" w:hAnsi="仿宋" w:eastAsia="仿宋" w:cs="仿宋"/>
              <w:bCs w:val="0"/>
              <w:sz w:val="24"/>
              <w:szCs w:val="24"/>
            </w:rPr>
            <w:t>边坡滑坡、坍塌</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_Toc17491 \h </w:instrText>
          </w:r>
          <w:r>
            <w:rPr>
              <w:rFonts w:hint="eastAsia" w:ascii="仿宋" w:hAnsi="仿宋" w:eastAsia="仿宋" w:cs="仿宋"/>
              <w:sz w:val="24"/>
              <w:szCs w:val="24"/>
            </w:rPr>
            <w:fldChar w:fldCharType="separate"/>
          </w:r>
          <w:r>
            <w:rPr>
              <w:rFonts w:hint="eastAsia" w:ascii="仿宋" w:hAnsi="仿宋" w:eastAsia="仿宋" w:cs="仿宋"/>
              <w:sz w:val="24"/>
              <w:szCs w:val="24"/>
            </w:rPr>
            <w:t>61</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00E2C1FC">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_Toc18749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3.8.8</w:t>
          </w:r>
          <w:r>
            <w:rPr>
              <w:rFonts w:hint="eastAsia" w:ascii="仿宋" w:hAnsi="仿宋" w:eastAsia="仿宋" w:cs="仿宋"/>
              <w:bCs w:val="0"/>
              <w:sz w:val="24"/>
              <w:szCs w:val="24"/>
              <w:lang w:val="en-US" w:eastAsia="zh-CN"/>
            </w:rPr>
            <w:t>过电压危险有害因素</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_Toc18749 \h </w:instrText>
          </w:r>
          <w:r>
            <w:rPr>
              <w:rFonts w:hint="eastAsia" w:ascii="仿宋" w:hAnsi="仿宋" w:eastAsia="仿宋" w:cs="仿宋"/>
              <w:sz w:val="24"/>
              <w:szCs w:val="24"/>
            </w:rPr>
            <w:fldChar w:fldCharType="separate"/>
          </w:r>
          <w:r>
            <w:rPr>
              <w:rFonts w:hint="eastAsia" w:ascii="仿宋" w:hAnsi="仿宋" w:eastAsia="仿宋" w:cs="仿宋"/>
              <w:sz w:val="24"/>
              <w:szCs w:val="24"/>
            </w:rPr>
            <w:t>62</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222EB6A">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_Toc17260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3.8.9</w:t>
          </w:r>
          <w:r>
            <w:rPr>
              <w:rFonts w:hint="eastAsia" w:ascii="仿宋" w:hAnsi="仿宋" w:eastAsia="仿宋" w:cs="仿宋"/>
              <w:bCs w:val="0"/>
              <w:sz w:val="24"/>
              <w:szCs w:val="24"/>
              <w:lang w:val="en-US" w:eastAsia="zh-CN"/>
            </w:rPr>
            <w:t>有限空间作业危险性分析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_Toc17260 \h </w:instrText>
          </w:r>
          <w:r>
            <w:rPr>
              <w:rFonts w:hint="eastAsia" w:ascii="仿宋" w:hAnsi="仿宋" w:eastAsia="仿宋" w:cs="仿宋"/>
              <w:sz w:val="24"/>
              <w:szCs w:val="24"/>
            </w:rPr>
            <w:fldChar w:fldCharType="separate"/>
          </w:r>
          <w:r>
            <w:rPr>
              <w:rFonts w:hint="eastAsia" w:ascii="仿宋" w:hAnsi="仿宋" w:eastAsia="仿宋" w:cs="仿宋"/>
              <w:sz w:val="24"/>
              <w:szCs w:val="24"/>
            </w:rPr>
            <w:t>62</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1CAC3C0C">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_Toc6470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3.8.10腐蚀</w:t>
          </w:r>
          <w:r>
            <w:rPr>
              <w:rFonts w:hint="eastAsia" w:ascii="仿宋" w:hAnsi="仿宋" w:eastAsia="仿宋" w:cs="仿宋"/>
              <w:bCs w:val="0"/>
              <w:sz w:val="24"/>
              <w:szCs w:val="24"/>
              <w:lang w:val="en-US" w:eastAsia="zh-CN"/>
            </w:rPr>
            <w:t>危险性分析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_Toc6470 \h </w:instrText>
          </w:r>
          <w:r>
            <w:rPr>
              <w:rFonts w:hint="eastAsia" w:ascii="仿宋" w:hAnsi="仿宋" w:eastAsia="仿宋" w:cs="仿宋"/>
              <w:sz w:val="24"/>
              <w:szCs w:val="24"/>
            </w:rPr>
            <w:fldChar w:fldCharType="separate"/>
          </w:r>
          <w:r>
            <w:rPr>
              <w:rFonts w:hint="eastAsia" w:ascii="仿宋" w:hAnsi="仿宋" w:eastAsia="仿宋" w:cs="仿宋"/>
              <w:sz w:val="24"/>
              <w:szCs w:val="24"/>
            </w:rPr>
            <w:t>62</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3B47F0FD">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_Toc27896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3.8.11光伏组件清洗</w:t>
          </w:r>
          <w:r>
            <w:rPr>
              <w:rFonts w:hint="eastAsia" w:ascii="仿宋" w:hAnsi="仿宋" w:eastAsia="仿宋" w:cs="仿宋"/>
              <w:bCs w:val="0"/>
              <w:sz w:val="24"/>
              <w:szCs w:val="24"/>
              <w:lang w:val="en-US" w:eastAsia="zh-CN"/>
            </w:rPr>
            <w:t>危险性分析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_Toc27896 \h </w:instrText>
          </w:r>
          <w:r>
            <w:rPr>
              <w:rFonts w:hint="eastAsia" w:ascii="仿宋" w:hAnsi="仿宋" w:eastAsia="仿宋" w:cs="仿宋"/>
              <w:sz w:val="24"/>
              <w:szCs w:val="24"/>
            </w:rPr>
            <w:fldChar w:fldCharType="separate"/>
          </w:r>
          <w:r>
            <w:rPr>
              <w:rFonts w:hint="eastAsia" w:ascii="仿宋" w:hAnsi="仿宋" w:eastAsia="仿宋" w:cs="仿宋"/>
              <w:sz w:val="24"/>
              <w:szCs w:val="24"/>
            </w:rPr>
            <w:t>62</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33DBC2E5">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_Toc19159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3.8.12消防系统</w:t>
          </w:r>
          <w:r>
            <w:rPr>
              <w:rFonts w:hint="eastAsia" w:ascii="仿宋" w:hAnsi="仿宋" w:eastAsia="仿宋" w:cs="仿宋"/>
              <w:bCs w:val="0"/>
              <w:sz w:val="24"/>
              <w:szCs w:val="24"/>
              <w:lang w:val="en-US" w:eastAsia="zh-CN"/>
            </w:rPr>
            <w:t>危险性分析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_Toc19159 \h </w:instrText>
          </w:r>
          <w:r>
            <w:rPr>
              <w:rFonts w:hint="eastAsia" w:ascii="仿宋" w:hAnsi="仿宋" w:eastAsia="仿宋" w:cs="仿宋"/>
              <w:sz w:val="24"/>
              <w:szCs w:val="24"/>
            </w:rPr>
            <w:fldChar w:fldCharType="separate"/>
          </w:r>
          <w:r>
            <w:rPr>
              <w:rFonts w:hint="eastAsia" w:ascii="仿宋" w:hAnsi="仿宋" w:eastAsia="仿宋" w:cs="仿宋"/>
              <w:sz w:val="24"/>
              <w:szCs w:val="24"/>
            </w:rPr>
            <w:t>63</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C0BCFDD">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_Toc23627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3.9</w:t>
          </w:r>
          <w:r>
            <w:rPr>
              <w:rFonts w:hint="eastAsia" w:ascii="仿宋" w:hAnsi="仿宋" w:eastAsia="仿宋" w:cs="仿宋"/>
              <w:bCs/>
              <w:sz w:val="24"/>
              <w:szCs w:val="24"/>
              <w:lang w:val="en-US" w:eastAsia="zh-CN"/>
            </w:rPr>
            <w:t>自然</w:t>
          </w:r>
          <w:r>
            <w:rPr>
              <w:rFonts w:hint="eastAsia" w:ascii="仿宋" w:hAnsi="仿宋" w:eastAsia="仿宋" w:cs="仿宋"/>
              <w:bCs/>
              <w:sz w:val="24"/>
              <w:szCs w:val="24"/>
            </w:rPr>
            <w:t>灾害天气</w:t>
          </w:r>
          <w:r>
            <w:rPr>
              <w:rFonts w:hint="eastAsia" w:ascii="仿宋" w:hAnsi="仿宋" w:eastAsia="仿宋" w:cs="仿宋"/>
              <w:bCs/>
              <w:sz w:val="24"/>
              <w:szCs w:val="24"/>
              <w:lang w:val="en-US" w:eastAsia="zh-CN"/>
            </w:rPr>
            <w:t>危险有害因素辨识与分析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_Toc23627 \h </w:instrText>
          </w:r>
          <w:r>
            <w:rPr>
              <w:rFonts w:hint="eastAsia" w:ascii="仿宋" w:hAnsi="仿宋" w:eastAsia="仿宋" w:cs="仿宋"/>
              <w:sz w:val="24"/>
              <w:szCs w:val="24"/>
            </w:rPr>
            <w:fldChar w:fldCharType="separate"/>
          </w:r>
          <w:r>
            <w:rPr>
              <w:rFonts w:hint="eastAsia" w:ascii="仿宋" w:hAnsi="仿宋" w:eastAsia="仿宋" w:cs="仿宋"/>
              <w:sz w:val="24"/>
              <w:szCs w:val="24"/>
            </w:rPr>
            <w:t>63</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63645E8B">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_Toc17641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3.9.1</w:t>
          </w:r>
          <w:r>
            <w:rPr>
              <w:rFonts w:hint="eastAsia" w:ascii="仿宋" w:hAnsi="仿宋" w:eastAsia="仿宋" w:cs="仿宋"/>
              <w:bCs/>
              <w:sz w:val="24"/>
              <w:szCs w:val="24"/>
              <w:lang w:val="en-US" w:eastAsia="zh-CN"/>
            </w:rPr>
            <w:t>大风危险有害因素分析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_Toc17641 \h </w:instrText>
          </w:r>
          <w:r>
            <w:rPr>
              <w:rFonts w:hint="eastAsia" w:ascii="仿宋" w:hAnsi="仿宋" w:eastAsia="仿宋" w:cs="仿宋"/>
              <w:sz w:val="24"/>
              <w:szCs w:val="24"/>
            </w:rPr>
            <w:fldChar w:fldCharType="separate"/>
          </w:r>
          <w:r>
            <w:rPr>
              <w:rFonts w:hint="eastAsia" w:ascii="仿宋" w:hAnsi="仿宋" w:eastAsia="仿宋" w:cs="仿宋"/>
              <w:sz w:val="24"/>
              <w:szCs w:val="24"/>
            </w:rPr>
            <w:t>63</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4EC6B929">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_Toc6544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3.9.2</w:t>
          </w:r>
          <w:r>
            <w:rPr>
              <w:rFonts w:hint="eastAsia" w:ascii="仿宋" w:hAnsi="仿宋" w:eastAsia="仿宋" w:cs="仿宋"/>
              <w:bCs/>
              <w:sz w:val="24"/>
              <w:szCs w:val="24"/>
              <w:lang w:val="en-US" w:eastAsia="zh-CN"/>
            </w:rPr>
            <w:t>极端气温危险有害因素分析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_Toc6544 \h </w:instrText>
          </w:r>
          <w:r>
            <w:rPr>
              <w:rFonts w:hint="eastAsia" w:ascii="仿宋" w:hAnsi="仿宋" w:eastAsia="仿宋" w:cs="仿宋"/>
              <w:sz w:val="24"/>
              <w:szCs w:val="24"/>
            </w:rPr>
            <w:fldChar w:fldCharType="separate"/>
          </w:r>
          <w:r>
            <w:rPr>
              <w:rFonts w:hint="eastAsia" w:ascii="仿宋" w:hAnsi="仿宋" w:eastAsia="仿宋" w:cs="仿宋"/>
              <w:sz w:val="24"/>
              <w:szCs w:val="24"/>
            </w:rPr>
            <w:t>63</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25D00CAE">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_Toc32712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3.9.3</w:t>
          </w:r>
          <w:r>
            <w:rPr>
              <w:rFonts w:hint="eastAsia" w:ascii="仿宋" w:hAnsi="仿宋" w:eastAsia="仿宋" w:cs="仿宋"/>
              <w:bCs/>
              <w:sz w:val="24"/>
              <w:szCs w:val="24"/>
              <w:lang w:val="en-US" w:eastAsia="zh-CN"/>
            </w:rPr>
            <w:t>冰雹和积雪危险有害因素分析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_Toc32712 \h </w:instrText>
          </w:r>
          <w:r>
            <w:rPr>
              <w:rFonts w:hint="eastAsia" w:ascii="仿宋" w:hAnsi="仿宋" w:eastAsia="仿宋" w:cs="仿宋"/>
              <w:sz w:val="24"/>
              <w:szCs w:val="24"/>
            </w:rPr>
            <w:fldChar w:fldCharType="separate"/>
          </w:r>
          <w:r>
            <w:rPr>
              <w:rFonts w:hint="eastAsia" w:ascii="仿宋" w:hAnsi="仿宋" w:eastAsia="仿宋" w:cs="仿宋"/>
              <w:sz w:val="24"/>
              <w:szCs w:val="24"/>
            </w:rPr>
            <w:t>63</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4BEFC4DA">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_Toc12675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3.9.4</w:t>
          </w:r>
          <w:r>
            <w:rPr>
              <w:rFonts w:hint="eastAsia" w:ascii="仿宋" w:hAnsi="仿宋" w:eastAsia="仿宋" w:cs="仿宋"/>
              <w:bCs/>
              <w:sz w:val="24"/>
              <w:szCs w:val="24"/>
              <w:lang w:val="en-US" w:eastAsia="zh-CN"/>
            </w:rPr>
            <w:t>暴雨危险有害因素分析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_Toc12675 \h </w:instrText>
          </w:r>
          <w:r>
            <w:rPr>
              <w:rFonts w:hint="eastAsia" w:ascii="仿宋" w:hAnsi="仿宋" w:eastAsia="仿宋" w:cs="仿宋"/>
              <w:sz w:val="24"/>
              <w:szCs w:val="24"/>
            </w:rPr>
            <w:fldChar w:fldCharType="separate"/>
          </w:r>
          <w:r>
            <w:rPr>
              <w:rFonts w:hint="eastAsia" w:ascii="仿宋" w:hAnsi="仿宋" w:eastAsia="仿宋" w:cs="仿宋"/>
              <w:sz w:val="24"/>
              <w:szCs w:val="24"/>
            </w:rPr>
            <w:t>63</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6A4B28F">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_Toc31839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3.9.5</w:t>
          </w:r>
          <w:r>
            <w:rPr>
              <w:rFonts w:hint="eastAsia" w:ascii="仿宋" w:hAnsi="仿宋" w:eastAsia="仿宋" w:cs="仿宋"/>
              <w:bCs/>
              <w:sz w:val="24"/>
              <w:szCs w:val="24"/>
              <w:lang w:val="en-US" w:eastAsia="zh-CN"/>
            </w:rPr>
            <w:t>雷暴危险有害因素分析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_Toc31839 \h </w:instrText>
          </w:r>
          <w:r>
            <w:rPr>
              <w:rFonts w:hint="eastAsia" w:ascii="仿宋" w:hAnsi="仿宋" w:eastAsia="仿宋" w:cs="仿宋"/>
              <w:sz w:val="24"/>
              <w:szCs w:val="24"/>
            </w:rPr>
            <w:fldChar w:fldCharType="separate"/>
          </w:r>
          <w:r>
            <w:rPr>
              <w:rFonts w:hint="eastAsia" w:ascii="仿宋" w:hAnsi="仿宋" w:eastAsia="仿宋" w:cs="仿宋"/>
              <w:sz w:val="24"/>
              <w:szCs w:val="24"/>
            </w:rPr>
            <w:t>64</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25F01831">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_Toc5144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3.10</w:t>
          </w:r>
          <w:r>
            <w:rPr>
              <w:rFonts w:hint="eastAsia" w:ascii="仿宋" w:hAnsi="仿宋" w:eastAsia="仿宋" w:cs="仿宋"/>
              <w:bCs/>
              <w:sz w:val="24"/>
              <w:szCs w:val="24"/>
              <w:lang w:val="en-US" w:eastAsia="zh-CN"/>
            </w:rPr>
            <w:t>作业场所有害因素与辨识</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_Toc5144 \h </w:instrText>
          </w:r>
          <w:r>
            <w:rPr>
              <w:rFonts w:hint="eastAsia" w:ascii="仿宋" w:hAnsi="仿宋" w:eastAsia="仿宋" w:cs="仿宋"/>
              <w:sz w:val="24"/>
              <w:szCs w:val="24"/>
            </w:rPr>
            <w:fldChar w:fldCharType="separate"/>
          </w:r>
          <w:r>
            <w:rPr>
              <w:rFonts w:hint="eastAsia" w:ascii="仿宋" w:hAnsi="仿宋" w:eastAsia="仿宋" w:cs="仿宋"/>
              <w:sz w:val="24"/>
              <w:szCs w:val="24"/>
            </w:rPr>
            <w:t>64</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05B66929">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_Toc23217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3.10.1噪声危害因素分析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_Toc23217 \h </w:instrText>
          </w:r>
          <w:r>
            <w:rPr>
              <w:rFonts w:hint="eastAsia" w:ascii="仿宋" w:hAnsi="仿宋" w:eastAsia="仿宋" w:cs="仿宋"/>
              <w:sz w:val="24"/>
              <w:szCs w:val="24"/>
            </w:rPr>
            <w:fldChar w:fldCharType="separate"/>
          </w:r>
          <w:r>
            <w:rPr>
              <w:rFonts w:hint="eastAsia" w:ascii="仿宋" w:hAnsi="仿宋" w:eastAsia="仿宋" w:cs="仿宋"/>
              <w:sz w:val="24"/>
              <w:szCs w:val="24"/>
            </w:rPr>
            <w:t>64</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864EFFC">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_Toc14725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3.10.2采光照明不良危害因素分析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_Toc14725 \h </w:instrText>
          </w:r>
          <w:r>
            <w:rPr>
              <w:rFonts w:hint="eastAsia" w:ascii="仿宋" w:hAnsi="仿宋" w:eastAsia="仿宋" w:cs="仿宋"/>
              <w:sz w:val="24"/>
              <w:szCs w:val="24"/>
            </w:rPr>
            <w:fldChar w:fldCharType="separate"/>
          </w:r>
          <w:r>
            <w:rPr>
              <w:rFonts w:hint="eastAsia" w:ascii="仿宋" w:hAnsi="仿宋" w:eastAsia="仿宋" w:cs="仿宋"/>
              <w:sz w:val="24"/>
              <w:szCs w:val="24"/>
            </w:rPr>
            <w:t>65</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02AED389">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_Toc12642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3.10.3</w:t>
          </w:r>
          <w:r>
            <w:rPr>
              <w:rFonts w:hint="eastAsia" w:ascii="仿宋" w:hAnsi="仿宋" w:eastAsia="仿宋" w:cs="仿宋"/>
              <w:bCs/>
              <w:sz w:val="24"/>
              <w:szCs w:val="24"/>
              <w:lang w:val="en-US" w:eastAsia="zh-CN"/>
            </w:rPr>
            <w:t>工频电场</w:t>
          </w:r>
          <w:r>
            <w:rPr>
              <w:rFonts w:hint="eastAsia" w:ascii="仿宋" w:hAnsi="仿宋" w:eastAsia="仿宋" w:cs="仿宋"/>
              <w:bCs/>
              <w:kern w:val="2"/>
              <w:sz w:val="24"/>
              <w:szCs w:val="24"/>
              <w:lang w:val="en-US" w:eastAsia="zh-CN" w:bidi="ar-SA"/>
            </w:rPr>
            <w:t>危害因素分析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_Toc12642 \h </w:instrText>
          </w:r>
          <w:r>
            <w:rPr>
              <w:rFonts w:hint="eastAsia" w:ascii="仿宋" w:hAnsi="仿宋" w:eastAsia="仿宋" w:cs="仿宋"/>
              <w:sz w:val="24"/>
              <w:szCs w:val="24"/>
            </w:rPr>
            <w:fldChar w:fldCharType="separate"/>
          </w:r>
          <w:r>
            <w:rPr>
              <w:rFonts w:hint="eastAsia" w:ascii="仿宋" w:hAnsi="仿宋" w:eastAsia="仿宋" w:cs="仿宋"/>
              <w:sz w:val="24"/>
              <w:szCs w:val="24"/>
            </w:rPr>
            <w:t>65</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63AFB338">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_Toc18482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3.11重大危险源辨识分析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_Toc18482 \h </w:instrText>
          </w:r>
          <w:r>
            <w:rPr>
              <w:rFonts w:hint="eastAsia" w:ascii="仿宋" w:hAnsi="仿宋" w:eastAsia="仿宋" w:cs="仿宋"/>
              <w:sz w:val="24"/>
              <w:szCs w:val="24"/>
            </w:rPr>
            <w:fldChar w:fldCharType="separate"/>
          </w:r>
          <w:r>
            <w:rPr>
              <w:rFonts w:hint="eastAsia" w:ascii="仿宋" w:hAnsi="仿宋" w:eastAsia="仿宋" w:cs="仿宋"/>
              <w:sz w:val="24"/>
              <w:szCs w:val="24"/>
            </w:rPr>
            <w:t>65</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0930671E">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_Toc5691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3.11.1重大危险源辨识依据</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_Toc5691 \h </w:instrText>
          </w:r>
          <w:r>
            <w:rPr>
              <w:rFonts w:hint="eastAsia" w:ascii="仿宋" w:hAnsi="仿宋" w:eastAsia="仿宋" w:cs="仿宋"/>
              <w:sz w:val="24"/>
              <w:szCs w:val="24"/>
            </w:rPr>
            <w:fldChar w:fldCharType="separate"/>
          </w:r>
          <w:r>
            <w:rPr>
              <w:rFonts w:hint="eastAsia" w:ascii="仿宋" w:hAnsi="仿宋" w:eastAsia="仿宋" w:cs="仿宋"/>
              <w:sz w:val="24"/>
              <w:szCs w:val="24"/>
            </w:rPr>
            <w:t>65</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A27EA6E">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_Toc2981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3.11.2本项目涉及的危险化学品及辨识结果</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_Toc2981 \h </w:instrText>
          </w:r>
          <w:r>
            <w:rPr>
              <w:rFonts w:hint="eastAsia" w:ascii="仿宋" w:hAnsi="仿宋" w:eastAsia="仿宋" w:cs="仿宋"/>
              <w:sz w:val="24"/>
              <w:szCs w:val="24"/>
            </w:rPr>
            <w:fldChar w:fldCharType="separate"/>
          </w:r>
          <w:r>
            <w:rPr>
              <w:rFonts w:hint="eastAsia" w:ascii="仿宋" w:hAnsi="仿宋" w:eastAsia="仿宋" w:cs="仿宋"/>
              <w:sz w:val="24"/>
              <w:szCs w:val="24"/>
            </w:rPr>
            <w:t>66</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F4B2FDA">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_Toc2057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3.11.3辨识结果</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_Toc2057 \h </w:instrText>
          </w:r>
          <w:r>
            <w:rPr>
              <w:rFonts w:hint="eastAsia" w:ascii="仿宋" w:hAnsi="仿宋" w:eastAsia="仿宋" w:cs="仿宋"/>
              <w:sz w:val="24"/>
              <w:szCs w:val="24"/>
            </w:rPr>
            <w:fldChar w:fldCharType="separate"/>
          </w:r>
          <w:r>
            <w:rPr>
              <w:rFonts w:hint="eastAsia" w:ascii="仿宋" w:hAnsi="仿宋" w:eastAsia="仿宋" w:cs="仿宋"/>
              <w:sz w:val="24"/>
              <w:szCs w:val="24"/>
            </w:rPr>
            <w:t>67</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888A1CD">
          <w:pPr>
            <w:pStyle w:val="13"/>
            <w:tabs>
              <w:tab w:val="right" w:leader="dot" w:pos="8902"/>
            </w:tabs>
            <w:rPr>
              <w:rFonts w:hint="eastAsia" w:ascii="仿宋" w:hAnsi="仿宋" w:eastAsia="仿宋" w:cs="仿宋"/>
              <w:sz w:val="24"/>
              <w:szCs w:val="24"/>
            </w:rPr>
            <w:sectPr>
              <w:footerReference r:id="rId9" w:type="default"/>
              <w:pgSz w:w="11906" w:h="16838"/>
              <w:pgMar w:top="1417" w:right="1417" w:bottom="1417" w:left="1587" w:header="851" w:footer="992" w:gutter="0"/>
              <w:pgNumType w:start="1"/>
              <w:cols w:space="425" w:num="1"/>
              <w:docGrid w:type="lines" w:linePitch="312" w:charSpace="0"/>
            </w:sectPr>
          </w:pPr>
        </w:p>
        <w:p w14:paraId="35792067">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_Toc19306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3.11.4</w:t>
          </w:r>
          <w:r>
            <w:rPr>
              <w:rFonts w:hint="eastAsia" w:ascii="仿宋" w:hAnsi="仿宋" w:eastAsia="仿宋" w:cs="仿宋"/>
              <w:bCs w:val="0"/>
              <w:sz w:val="24"/>
              <w:szCs w:val="24"/>
              <w:lang w:eastAsia="zh-CN"/>
            </w:rPr>
            <w:t>危险有害因素</w:t>
          </w:r>
          <w:r>
            <w:rPr>
              <w:rFonts w:hint="eastAsia" w:ascii="仿宋" w:hAnsi="仿宋" w:eastAsia="仿宋" w:cs="仿宋"/>
              <w:bCs w:val="0"/>
              <w:sz w:val="24"/>
              <w:szCs w:val="24"/>
            </w:rPr>
            <w:t>辨识与分析结果</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_Toc19306 \h </w:instrText>
          </w:r>
          <w:r>
            <w:rPr>
              <w:rFonts w:hint="eastAsia" w:ascii="仿宋" w:hAnsi="仿宋" w:eastAsia="仿宋" w:cs="仿宋"/>
              <w:sz w:val="24"/>
              <w:szCs w:val="24"/>
            </w:rPr>
            <w:fldChar w:fldCharType="separate"/>
          </w:r>
          <w:r>
            <w:rPr>
              <w:rFonts w:hint="eastAsia" w:ascii="仿宋" w:hAnsi="仿宋" w:eastAsia="仿宋" w:cs="仿宋"/>
              <w:sz w:val="24"/>
              <w:szCs w:val="24"/>
            </w:rPr>
            <w:t>67</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7D278FC">
          <w:pPr>
            <w:pStyle w:val="16"/>
            <w:tabs>
              <w:tab w:val="right" w:leader="dot" w:pos="8902"/>
            </w:tabs>
            <w:rPr>
              <w:rFonts w:hint="eastAsia"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_Toc11342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lang w:val="en-US" w:eastAsia="zh-CN"/>
            </w:rPr>
            <w:t xml:space="preserve">4 </w:t>
          </w:r>
          <w:r>
            <w:rPr>
              <w:rFonts w:hint="eastAsia" w:ascii="仿宋" w:hAnsi="仿宋" w:eastAsia="仿宋" w:cs="仿宋"/>
              <w:b/>
              <w:bCs/>
              <w:sz w:val="24"/>
              <w:szCs w:val="24"/>
            </w:rPr>
            <w:t>评价单元划分和评价方法选择</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_Toc11342 \h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68</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14:paraId="4BA2EE00">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_Toc19067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4.1</w:t>
          </w:r>
          <w:r>
            <w:rPr>
              <w:rFonts w:hint="eastAsia" w:ascii="仿宋" w:hAnsi="仿宋" w:eastAsia="仿宋" w:cs="仿宋"/>
              <w:sz w:val="24"/>
              <w:szCs w:val="24"/>
            </w:rPr>
            <w:t>评价单元划分</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_Toc19067 \h </w:instrText>
          </w:r>
          <w:r>
            <w:rPr>
              <w:rFonts w:hint="eastAsia" w:ascii="仿宋" w:hAnsi="仿宋" w:eastAsia="仿宋" w:cs="仿宋"/>
              <w:sz w:val="24"/>
              <w:szCs w:val="24"/>
            </w:rPr>
            <w:fldChar w:fldCharType="separate"/>
          </w:r>
          <w:r>
            <w:rPr>
              <w:rFonts w:hint="eastAsia" w:ascii="仿宋" w:hAnsi="仿宋" w:eastAsia="仿宋" w:cs="仿宋"/>
              <w:sz w:val="24"/>
              <w:szCs w:val="24"/>
            </w:rPr>
            <w:t>68</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36D3125F">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_Toc10137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4.1.1</w:t>
          </w:r>
          <w:r>
            <w:rPr>
              <w:rFonts w:hint="eastAsia" w:ascii="仿宋" w:hAnsi="仿宋" w:eastAsia="仿宋" w:cs="仿宋"/>
              <w:bCs w:val="0"/>
              <w:sz w:val="24"/>
              <w:szCs w:val="24"/>
            </w:rPr>
            <w:t>评价单元划分的原则</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_Toc10137 \h </w:instrText>
          </w:r>
          <w:r>
            <w:rPr>
              <w:rFonts w:hint="eastAsia" w:ascii="仿宋" w:hAnsi="仿宋" w:eastAsia="仿宋" w:cs="仿宋"/>
              <w:sz w:val="24"/>
              <w:szCs w:val="24"/>
            </w:rPr>
            <w:fldChar w:fldCharType="separate"/>
          </w:r>
          <w:r>
            <w:rPr>
              <w:rFonts w:hint="eastAsia" w:ascii="仿宋" w:hAnsi="仿宋" w:eastAsia="仿宋" w:cs="仿宋"/>
              <w:sz w:val="24"/>
              <w:szCs w:val="24"/>
            </w:rPr>
            <w:t>68</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41BF09F">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_Toc15037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4.1.2</w:t>
          </w:r>
          <w:r>
            <w:rPr>
              <w:rFonts w:hint="eastAsia" w:ascii="仿宋" w:hAnsi="仿宋" w:eastAsia="仿宋" w:cs="仿宋"/>
              <w:bCs w:val="0"/>
              <w:sz w:val="24"/>
              <w:szCs w:val="24"/>
            </w:rPr>
            <w:t>评价单元划分</w:t>
          </w:r>
          <w:r>
            <w:rPr>
              <w:rFonts w:hint="eastAsia" w:ascii="仿宋" w:hAnsi="仿宋" w:eastAsia="仿宋" w:cs="仿宋"/>
              <w:bCs w:val="0"/>
              <w:sz w:val="24"/>
              <w:szCs w:val="24"/>
              <w:lang w:val="en-US" w:eastAsia="zh-CN"/>
            </w:rPr>
            <w:t>方法</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_Toc15037 \h </w:instrText>
          </w:r>
          <w:r>
            <w:rPr>
              <w:rFonts w:hint="eastAsia" w:ascii="仿宋" w:hAnsi="仿宋" w:eastAsia="仿宋" w:cs="仿宋"/>
              <w:sz w:val="24"/>
              <w:szCs w:val="24"/>
            </w:rPr>
            <w:fldChar w:fldCharType="separate"/>
          </w:r>
          <w:r>
            <w:rPr>
              <w:rFonts w:hint="eastAsia" w:ascii="仿宋" w:hAnsi="仿宋" w:eastAsia="仿宋" w:cs="仿宋"/>
              <w:sz w:val="24"/>
              <w:szCs w:val="24"/>
            </w:rPr>
            <w:t>68</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A338F0F">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_Toc19844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4.1.3评价单元的划分</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_Toc19844 \h </w:instrText>
          </w:r>
          <w:r>
            <w:rPr>
              <w:rFonts w:hint="eastAsia" w:ascii="仿宋" w:hAnsi="仿宋" w:eastAsia="仿宋" w:cs="仿宋"/>
              <w:sz w:val="24"/>
              <w:szCs w:val="24"/>
            </w:rPr>
            <w:fldChar w:fldCharType="separate"/>
          </w:r>
          <w:r>
            <w:rPr>
              <w:rFonts w:hint="eastAsia" w:ascii="仿宋" w:hAnsi="仿宋" w:eastAsia="仿宋" w:cs="仿宋"/>
              <w:sz w:val="24"/>
              <w:szCs w:val="24"/>
            </w:rPr>
            <w:t>68</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0D14E530">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_Toc3465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4.2评价方法选择</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_Toc3465 \h </w:instrText>
          </w:r>
          <w:r>
            <w:rPr>
              <w:rFonts w:hint="eastAsia" w:ascii="仿宋" w:hAnsi="仿宋" w:eastAsia="仿宋" w:cs="仿宋"/>
              <w:sz w:val="24"/>
              <w:szCs w:val="24"/>
            </w:rPr>
            <w:fldChar w:fldCharType="separate"/>
          </w:r>
          <w:r>
            <w:rPr>
              <w:rFonts w:hint="eastAsia" w:ascii="仿宋" w:hAnsi="仿宋" w:eastAsia="仿宋" w:cs="仿宋"/>
              <w:sz w:val="24"/>
              <w:szCs w:val="24"/>
            </w:rPr>
            <w:t>69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1162021C">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_Toc3486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4.2.1评价方法的选择原则</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_Toc3486 \h </w:instrText>
          </w:r>
          <w:r>
            <w:rPr>
              <w:rFonts w:hint="eastAsia" w:ascii="仿宋" w:hAnsi="仿宋" w:eastAsia="仿宋" w:cs="仿宋"/>
              <w:sz w:val="24"/>
              <w:szCs w:val="24"/>
            </w:rPr>
            <w:fldChar w:fldCharType="separate"/>
          </w:r>
          <w:r>
            <w:rPr>
              <w:rFonts w:hint="eastAsia" w:ascii="仿宋" w:hAnsi="仿宋" w:eastAsia="仿宋" w:cs="仿宋"/>
              <w:sz w:val="24"/>
              <w:szCs w:val="24"/>
            </w:rPr>
            <w:t>69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1D6FC5DE">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_Toc4444 </w:instrText>
          </w:r>
          <w:r>
            <w:rPr>
              <w:rFonts w:hint="eastAsia" w:ascii="仿宋" w:hAnsi="仿宋" w:eastAsia="仿宋" w:cs="仿宋"/>
              <w:sz w:val="24"/>
              <w:szCs w:val="24"/>
            </w:rPr>
            <w:fldChar w:fldCharType="separate"/>
          </w:r>
          <w:r>
            <w:rPr>
              <w:rFonts w:hint="eastAsia" w:ascii="仿宋" w:hAnsi="仿宋" w:eastAsia="仿宋" w:cs="仿宋"/>
              <w:bCs/>
              <w:kern w:val="2"/>
              <w:sz w:val="24"/>
              <w:szCs w:val="24"/>
              <w:lang w:val="en-US" w:eastAsia="zh-CN" w:bidi="ar-SA"/>
            </w:rPr>
            <w:t>4.2.2安全检查表法</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_Toc4444 \h </w:instrText>
          </w:r>
          <w:r>
            <w:rPr>
              <w:rFonts w:hint="eastAsia" w:ascii="仿宋" w:hAnsi="仿宋" w:eastAsia="仿宋" w:cs="仿宋"/>
              <w:sz w:val="24"/>
              <w:szCs w:val="24"/>
            </w:rPr>
            <w:fldChar w:fldCharType="separate"/>
          </w:r>
          <w:r>
            <w:rPr>
              <w:rFonts w:hint="eastAsia" w:ascii="仿宋" w:hAnsi="仿宋" w:eastAsia="仿宋" w:cs="仿宋"/>
              <w:sz w:val="24"/>
              <w:szCs w:val="24"/>
            </w:rPr>
            <w:t>69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72E858A">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_Toc27869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4.3</w:t>
          </w:r>
          <w:r>
            <w:rPr>
              <w:rFonts w:hint="eastAsia" w:ascii="仿宋" w:hAnsi="仿宋" w:eastAsia="仿宋" w:cs="仿宋"/>
              <w:sz w:val="24"/>
              <w:szCs w:val="24"/>
            </w:rPr>
            <w:t>各单元采用的评价方法</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_Toc27869 \h </w:instrText>
          </w:r>
          <w:r>
            <w:rPr>
              <w:rFonts w:hint="eastAsia" w:ascii="仿宋" w:hAnsi="仿宋" w:eastAsia="仿宋" w:cs="仿宋"/>
              <w:sz w:val="24"/>
              <w:szCs w:val="24"/>
            </w:rPr>
            <w:fldChar w:fldCharType="separate"/>
          </w:r>
          <w:r>
            <w:rPr>
              <w:rFonts w:hint="eastAsia" w:ascii="仿宋" w:hAnsi="仿宋" w:eastAsia="仿宋" w:cs="仿宋"/>
              <w:sz w:val="24"/>
              <w:szCs w:val="24"/>
            </w:rPr>
            <w:t>70</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401F46D8">
          <w:pPr>
            <w:pStyle w:val="16"/>
            <w:tabs>
              <w:tab w:val="right" w:leader="dot" w:pos="8902"/>
            </w:tabs>
            <w:rPr>
              <w:rFonts w:hint="eastAsia" w:ascii="仿宋" w:hAnsi="仿宋" w:eastAsia="仿宋" w:cs="仿宋"/>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_Toc3615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lang w:val="en-US" w:eastAsia="zh-CN"/>
            </w:rPr>
            <w:t>5 符合性评价和危险危害程度评价单元</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_Toc3615 \h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71</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14:paraId="77629B87">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_Toc5947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5.1安全设施“三同时”程序单元</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_Toc5947 \h </w:instrText>
          </w:r>
          <w:r>
            <w:rPr>
              <w:rFonts w:hint="eastAsia" w:ascii="仿宋" w:hAnsi="仿宋" w:eastAsia="仿宋" w:cs="仿宋"/>
              <w:sz w:val="24"/>
              <w:szCs w:val="24"/>
            </w:rPr>
            <w:fldChar w:fldCharType="separate"/>
          </w:r>
          <w:r>
            <w:rPr>
              <w:rFonts w:hint="eastAsia" w:ascii="仿宋" w:hAnsi="仿宋" w:eastAsia="仿宋" w:cs="仿宋"/>
              <w:sz w:val="24"/>
              <w:szCs w:val="24"/>
            </w:rPr>
            <w:t>71</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3EAE93E2">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_Toc23725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5.1.1安全设施“三同时”程序符合性评价</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_Toc23725 \h </w:instrText>
          </w:r>
          <w:r>
            <w:rPr>
              <w:rFonts w:hint="eastAsia" w:ascii="仿宋" w:hAnsi="仿宋" w:eastAsia="仿宋" w:cs="仿宋"/>
              <w:sz w:val="24"/>
              <w:szCs w:val="24"/>
            </w:rPr>
            <w:fldChar w:fldCharType="separate"/>
          </w:r>
          <w:r>
            <w:rPr>
              <w:rFonts w:hint="eastAsia" w:ascii="仿宋" w:hAnsi="仿宋" w:eastAsia="仿宋" w:cs="仿宋"/>
              <w:sz w:val="24"/>
              <w:szCs w:val="24"/>
            </w:rPr>
            <w:t>71</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138D659">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_Toc13236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5.1.2单元小结</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_Toc13236 \h </w:instrText>
          </w:r>
          <w:r>
            <w:rPr>
              <w:rFonts w:hint="eastAsia" w:ascii="仿宋" w:hAnsi="仿宋" w:eastAsia="仿宋" w:cs="仿宋"/>
              <w:sz w:val="24"/>
              <w:szCs w:val="24"/>
            </w:rPr>
            <w:fldChar w:fldCharType="separate"/>
          </w:r>
          <w:r>
            <w:rPr>
              <w:rFonts w:hint="eastAsia" w:ascii="仿宋" w:hAnsi="仿宋" w:eastAsia="仿宋" w:cs="仿宋"/>
              <w:sz w:val="24"/>
              <w:szCs w:val="24"/>
            </w:rPr>
            <w:t>72</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D72881B">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_Toc7036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5.2总平面布置单元</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_Toc7036 \h </w:instrText>
          </w:r>
          <w:r>
            <w:rPr>
              <w:rFonts w:hint="eastAsia" w:ascii="仿宋" w:hAnsi="仿宋" w:eastAsia="仿宋" w:cs="仿宋"/>
              <w:sz w:val="24"/>
              <w:szCs w:val="24"/>
            </w:rPr>
            <w:fldChar w:fldCharType="separate"/>
          </w:r>
          <w:r>
            <w:rPr>
              <w:rFonts w:hint="eastAsia" w:ascii="仿宋" w:hAnsi="仿宋" w:eastAsia="仿宋" w:cs="仿宋"/>
              <w:sz w:val="24"/>
              <w:szCs w:val="24"/>
            </w:rPr>
            <w:t>72</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4958933A">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_Toc13503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5.2.1总平面布置安全检查表</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_Toc13503 \h </w:instrText>
          </w:r>
          <w:r>
            <w:rPr>
              <w:rFonts w:hint="eastAsia" w:ascii="仿宋" w:hAnsi="仿宋" w:eastAsia="仿宋" w:cs="仿宋"/>
              <w:sz w:val="24"/>
              <w:szCs w:val="24"/>
            </w:rPr>
            <w:fldChar w:fldCharType="separate"/>
          </w:r>
          <w:r>
            <w:rPr>
              <w:rFonts w:hint="eastAsia" w:ascii="仿宋" w:hAnsi="仿宋" w:eastAsia="仿宋" w:cs="仿宋"/>
              <w:sz w:val="24"/>
              <w:szCs w:val="24"/>
            </w:rPr>
            <w:t>72</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39150FDE">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_Toc29075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5.2.2道路运输符合性评价</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_Toc29075 \h </w:instrText>
          </w:r>
          <w:r>
            <w:rPr>
              <w:rFonts w:hint="eastAsia" w:ascii="仿宋" w:hAnsi="仿宋" w:eastAsia="仿宋" w:cs="仿宋"/>
              <w:sz w:val="24"/>
              <w:szCs w:val="24"/>
            </w:rPr>
            <w:fldChar w:fldCharType="separate"/>
          </w:r>
          <w:r>
            <w:rPr>
              <w:rFonts w:hint="eastAsia" w:ascii="仿宋" w:hAnsi="仿宋" w:eastAsia="仿宋" w:cs="仿宋"/>
              <w:sz w:val="24"/>
              <w:szCs w:val="24"/>
            </w:rPr>
            <w:t>75</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61D2D7A6">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_Toc6710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5.2.3单元小结</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_Toc6710 \h </w:instrText>
          </w:r>
          <w:r>
            <w:rPr>
              <w:rFonts w:hint="eastAsia" w:ascii="仿宋" w:hAnsi="仿宋" w:eastAsia="仿宋" w:cs="仿宋"/>
              <w:sz w:val="24"/>
              <w:szCs w:val="24"/>
            </w:rPr>
            <w:fldChar w:fldCharType="separate"/>
          </w:r>
          <w:r>
            <w:rPr>
              <w:rFonts w:hint="eastAsia" w:ascii="仿宋" w:hAnsi="仿宋" w:eastAsia="仿宋" w:cs="仿宋"/>
              <w:sz w:val="24"/>
              <w:szCs w:val="24"/>
            </w:rPr>
            <w:t>76</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797F693">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_Toc31608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5.3主要建（构）筑物等单元</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_Toc31608 \h </w:instrText>
          </w:r>
          <w:r>
            <w:rPr>
              <w:rFonts w:hint="eastAsia" w:ascii="仿宋" w:hAnsi="仿宋" w:eastAsia="仿宋" w:cs="仿宋"/>
              <w:sz w:val="24"/>
              <w:szCs w:val="24"/>
            </w:rPr>
            <w:fldChar w:fldCharType="separate"/>
          </w:r>
          <w:r>
            <w:rPr>
              <w:rFonts w:hint="eastAsia" w:ascii="仿宋" w:hAnsi="仿宋" w:eastAsia="仿宋" w:cs="仿宋"/>
              <w:sz w:val="24"/>
              <w:szCs w:val="24"/>
            </w:rPr>
            <w:t>76</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61C041E0">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_Toc1775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5.3.1建（构）筑物安全检查表</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_Toc1775 \h </w:instrText>
          </w:r>
          <w:r>
            <w:rPr>
              <w:rFonts w:hint="eastAsia" w:ascii="仿宋" w:hAnsi="仿宋" w:eastAsia="仿宋" w:cs="仿宋"/>
              <w:sz w:val="24"/>
              <w:szCs w:val="24"/>
            </w:rPr>
            <w:fldChar w:fldCharType="separate"/>
          </w:r>
          <w:r>
            <w:rPr>
              <w:rFonts w:hint="eastAsia" w:ascii="仿宋" w:hAnsi="仿宋" w:eastAsia="仿宋" w:cs="仿宋"/>
              <w:sz w:val="24"/>
              <w:szCs w:val="24"/>
            </w:rPr>
            <w:t>76</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4CBBFB87">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_Toc24193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5.3.2单元小结</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_Toc24193 \h </w:instrText>
          </w:r>
          <w:r>
            <w:rPr>
              <w:rFonts w:hint="eastAsia" w:ascii="仿宋" w:hAnsi="仿宋" w:eastAsia="仿宋" w:cs="仿宋"/>
              <w:sz w:val="24"/>
              <w:szCs w:val="24"/>
            </w:rPr>
            <w:fldChar w:fldCharType="separate"/>
          </w:r>
          <w:r>
            <w:rPr>
              <w:rFonts w:hint="eastAsia" w:ascii="仿宋" w:hAnsi="仿宋" w:eastAsia="仿宋" w:cs="仿宋"/>
              <w:sz w:val="24"/>
              <w:szCs w:val="24"/>
            </w:rPr>
            <w:t>79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3DA66C8">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_Toc4828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5.4光伏发电设备及其系统单元</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_Toc4828 \h </w:instrText>
          </w:r>
          <w:r>
            <w:rPr>
              <w:rFonts w:hint="eastAsia" w:ascii="仿宋" w:hAnsi="仿宋" w:eastAsia="仿宋" w:cs="仿宋"/>
              <w:sz w:val="24"/>
              <w:szCs w:val="24"/>
            </w:rPr>
            <w:fldChar w:fldCharType="separate"/>
          </w:r>
          <w:r>
            <w:rPr>
              <w:rFonts w:hint="eastAsia" w:ascii="仿宋" w:hAnsi="仿宋" w:eastAsia="仿宋" w:cs="仿宋"/>
              <w:sz w:val="24"/>
              <w:szCs w:val="24"/>
            </w:rPr>
            <w:t>79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1144C151">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_Toc2508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5.4.1光伏发电设备及其系统安全检查表</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_Toc2508 \h </w:instrText>
          </w:r>
          <w:r>
            <w:rPr>
              <w:rFonts w:hint="eastAsia" w:ascii="仿宋" w:hAnsi="仿宋" w:eastAsia="仿宋" w:cs="仿宋"/>
              <w:sz w:val="24"/>
              <w:szCs w:val="24"/>
            </w:rPr>
            <w:fldChar w:fldCharType="separate"/>
          </w:r>
          <w:r>
            <w:rPr>
              <w:rFonts w:hint="eastAsia" w:ascii="仿宋" w:hAnsi="仿宋" w:eastAsia="仿宋" w:cs="仿宋"/>
              <w:sz w:val="24"/>
              <w:szCs w:val="24"/>
            </w:rPr>
            <w:t>79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2A6119E7">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_Toc22887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5.4.2单元小结</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_Toc22887 \h </w:instrText>
          </w:r>
          <w:r>
            <w:rPr>
              <w:rFonts w:hint="eastAsia" w:ascii="仿宋" w:hAnsi="仿宋" w:eastAsia="仿宋" w:cs="仿宋"/>
              <w:sz w:val="24"/>
              <w:szCs w:val="24"/>
            </w:rPr>
            <w:fldChar w:fldCharType="separate"/>
          </w:r>
          <w:r>
            <w:rPr>
              <w:rFonts w:hint="eastAsia" w:ascii="仿宋" w:hAnsi="仿宋" w:eastAsia="仿宋" w:cs="仿宋"/>
              <w:sz w:val="24"/>
              <w:szCs w:val="24"/>
            </w:rPr>
            <w:t>83</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D995421">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_Toc15363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5.5安全设施设备验收单元</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_Toc15363 \h </w:instrText>
          </w:r>
          <w:r>
            <w:rPr>
              <w:rFonts w:hint="eastAsia" w:ascii="仿宋" w:hAnsi="仿宋" w:eastAsia="仿宋" w:cs="仿宋"/>
              <w:sz w:val="24"/>
              <w:szCs w:val="24"/>
            </w:rPr>
            <w:fldChar w:fldCharType="separate"/>
          </w:r>
          <w:r>
            <w:rPr>
              <w:rFonts w:hint="eastAsia" w:ascii="仿宋" w:hAnsi="仿宋" w:eastAsia="仿宋" w:cs="仿宋"/>
              <w:sz w:val="24"/>
              <w:szCs w:val="24"/>
            </w:rPr>
            <w:t>83</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4E098634">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_Toc5081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5.5.1防火及防爆设施子单元</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_Toc5081 \h </w:instrText>
          </w:r>
          <w:r>
            <w:rPr>
              <w:rFonts w:hint="eastAsia" w:ascii="仿宋" w:hAnsi="仿宋" w:eastAsia="仿宋" w:cs="仿宋"/>
              <w:sz w:val="24"/>
              <w:szCs w:val="24"/>
            </w:rPr>
            <w:fldChar w:fldCharType="separate"/>
          </w:r>
          <w:r>
            <w:rPr>
              <w:rFonts w:hint="eastAsia" w:ascii="仿宋" w:hAnsi="仿宋" w:eastAsia="仿宋" w:cs="仿宋"/>
              <w:sz w:val="24"/>
              <w:szCs w:val="24"/>
            </w:rPr>
            <w:t>83</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47141642">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_Toc29061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5.5.2</w:t>
          </w:r>
          <w:r>
            <w:rPr>
              <w:rFonts w:hint="eastAsia" w:ascii="仿宋" w:hAnsi="仿宋" w:eastAsia="仿宋" w:cs="仿宋"/>
              <w:bCs w:val="0"/>
              <w:sz w:val="24"/>
              <w:szCs w:val="24"/>
            </w:rPr>
            <w:t>防雷、接地装置子单元</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_Toc29061 \h </w:instrText>
          </w:r>
          <w:r>
            <w:rPr>
              <w:rFonts w:hint="eastAsia" w:ascii="仿宋" w:hAnsi="仿宋" w:eastAsia="仿宋" w:cs="仿宋"/>
              <w:sz w:val="24"/>
              <w:szCs w:val="24"/>
            </w:rPr>
            <w:fldChar w:fldCharType="separate"/>
          </w:r>
          <w:r>
            <w:rPr>
              <w:rFonts w:hint="eastAsia" w:ascii="仿宋" w:hAnsi="仿宋" w:eastAsia="仿宋" w:cs="仿宋"/>
              <w:sz w:val="24"/>
              <w:szCs w:val="24"/>
            </w:rPr>
            <w:t>85</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0491C17">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_Toc13764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5.5.3</w:t>
          </w:r>
          <w:r>
            <w:rPr>
              <w:rFonts w:hint="eastAsia" w:ascii="仿宋" w:hAnsi="仿宋" w:eastAsia="仿宋" w:cs="仿宋"/>
              <w:bCs w:val="0"/>
              <w:sz w:val="24"/>
              <w:szCs w:val="24"/>
            </w:rPr>
            <w:t>安全工器具及个体防护子单元</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_Toc13764 \h </w:instrText>
          </w:r>
          <w:r>
            <w:rPr>
              <w:rFonts w:hint="eastAsia" w:ascii="仿宋" w:hAnsi="仿宋" w:eastAsia="仿宋" w:cs="仿宋"/>
              <w:sz w:val="24"/>
              <w:szCs w:val="24"/>
            </w:rPr>
            <w:fldChar w:fldCharType="separate"/>
          </w:r>
          <w:r>
            <w:rPr>
              <w:rFonts w:hint="eastAsia" w:ascii="仿宋" w:hAnsi="仿宋" w:eastAsia="仿宋" w:cs="仿宋"/>
              <w:sz w:val="24"/>
              <w:szCs w:val="24"/>
            </w:rPr>
            <w:t>87</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55C4367">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_Toc27291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5.5.4</w:t>
          </w:r>
          <w:r>
            <w:rPr>
              <w:rFonts w:hint="eastAsia" w:ascii="仿宋" w:hAnsi="仿宋" w:eastAsia="仿宋" w:cs="仿宋"/>
              <w:bCs w:val="0"/>
              <w:sz w:val="24"/>
              <w:szCs w:val="24"/>
            </w:rPr>
            <w:t>单元小结</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_Toc27291 \h </w:instrText>
          </w:r>
          <w:r>
            <w:rPr>
              <w:rFonts w:hint="eastAsia" w:ascii="仿宋" w:hAnsi="仿宋" w:eastAsia="仿宋" w:cs="仿宋"/>
              <w:sz w:val="24"/>
              <w:szCs w:val="24"/>
            </w:rPr>
            <w:fldChar w:fldCharType="separate"/>
          </w:r>
          <w:r>
            <w:rPr>
              <w:rFonts w:hint="eastAsia" w:ascii="仿宋" w:hAnsi="仿宋" w:eastAsia="仿宋" w:cs="仿宋"/>
              <w:sz w:val="24"/>
              <w:szCs w:val="24"/>
            </w:rPr>
            <w:t>88</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39B06A6D">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_Toc7277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5.6</w:t>
          </w:r>
          <w:r>
            <w:rPr>
              <w:rFonts w:hint="eastAsia" w:ascii="仿宋" w:hAnsi="仿宋" w:eastAsia="仿宋" w:cs="仿宋"/>
              <w:sz w:val="24"/>
              <w:szCs w:val="24"/>
            </w:rPr>
            <w:t>公用工程</w:t>
          </w:r>
          <w:r>
            <w:rPr>
              <w:rFonts w:hint="eastAsia" w:ascii="仿宋" w:hAnsi="仿宋" w:eastAsia="仿宋" w:cs="仿宋"/>
              <w:sz w:val="24"/>
              <w:szCs w:val="24"/>
              <w:lang w:val="en-US" w:eastAsia="zh-CN"/>
            </w:rPr>
            <w:t>及辅助设施</w:t>
          </w:r>
          <w:r>
            <w:rPr>
              <w:rFonts w:hint="eastAsia" w:ascii="仿宋" w:hAnsi="仿宋" w:eastAsia="仿宋" w:cs="仿宋"/>
              <w:sz w:val="24"/>
              <w:szCs w:val="24"/>
            </w:rPr>
            <w:t>评价单元</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_Toc7277 \h </w:instrText>
          </w:r>
          <w:r>
            <w:rPr>
              <w:rFonts w:hint="eastAsia" w:ascii="仿宋" w:hAnsi="仿宋" w:eastAsia="仿宋" w:cs="仿宋"/>
              <w:sz w:val="24"/>
              <w:szCs w:val="24"/>
            </w:rPr>
            <w:fldChar w:fldCharType="separate"/>
          </w:r>
          <w:r>
            <w:rPr>
              <w:rFonts w:hint="eastAsia" w:ascii="仿宋" w:hAnsi="仿宋" w:eastAsia="仿宋" w:cs="仿宋"/>
              <w:sz w:val="24"/>
              <w:szCs w:val="24"/>
            </w:rPr>
            <w:t>88</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65D65346">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_Toc15459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5.6.1</w:t>
          </w:r>
          <w:r>
            <w:rPr>
              <w:rFonts w:hint="eastAsia" w:ascii="仿宋" w:hAnsi="仿宋" w:eastAsia="仿宋" w:cs="仿宋"/>
              <w:bCs w:val="0"/>
              <w:sz w:val="24"/>
              <w:szCs w:val="24"/>
            </w:rPr>
            <w:t>消防系统子单元</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_Toc15459 \h </w:instrText>
          </w:r>
          <w:r>
            <w:rPr>
              <w:rFonts w:hint="eastAsia" w:ascii="仿宋" w:hAnsi="仿宋" w:eastAsia="仿宋" w:cs="仿宋"/>
              <w:sz w:val="24"/>
              <w:szCs w:val="24"/>
            </w:rPr>
            <w:fldChar w:fldCharType="separate"/>
          </w:r>
          <w:r>
            <w:rPr>
              <w:rFonts w:hint="eastAsia" w:ascii="仿宋" w:hAnsi="仿宋" w:eastAsia="仿宋" w:cs="仿宋"/>
              <w:sz w:val="24"/>
              <w:szCs w:val="24"/>
            </w:rPr>
            <w:t>88</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0085F4B4">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_Toc2286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5.6.2</w:t>
          </w:r>
          <w:r>
            <w:rPr>
              <w:rFonts w:hint="eastAsia" w:ascii="仿宋" w:hAnsi="仿宋" w:eastAsia="仿宋" w:cs="仿宋"/>
              <w:bCs w:val="0"/>
              <w:sz w:val="24"/>
              <w:szCs w:val="24"/>
            </w:rPr>
            <w:t>给排水系统子单元</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_Toc2286 \h </w:instrText>
          </w:r>
          <w:r>
            <w:rPr>
              <w:rFonts w:hint="eastAsia" w:ascii="仿宋" w:hAnsi="仿宋" w:eastAsia="仿宋" w:cs="仿宋"/>
              <w:sz w:val="24"/>
              <w:szCs w:val="24"/>
            </w:rPr>
            <w:fldChar w:fldCharType="separate"/>
          </w:r>
          <w:r>
            <w:rPr>
              <w:rFonts w:hint="eastAsia" w:ascii="仿宋" w:hAnsi="仿宋" w:eastAsia="仿宋" w:cs="仿宋"/>
              <w:sz w:val="24"/>
              <w:szCs w:val="24"/>
            </w:rPr>
            <w:t>90</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407C3F04">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_Toc30709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5.6.3通讯</w:t>
          </w:r>
          <w:r>
            <w:rPr>
              <w:rFonts w:hint="eastAsia" w:ascii="仿宋" w:hAnsi="仿宋" w:eastAsia="仿宋" w:cs="仿宋"/>
              <w:bCs w:val="0"/>
              <w:sz w:val="24"/>
              <w:szCs w:val="24"/>
            </w:rPr>
            <w:t>系统子单元</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_Toc30709 \h </w:instrText>
          </w:r>
          <w:r>
            <w:rPr>
              <w:rFonts w:hint="eastAsia" w:ascii="仿宋" w:hAnsi="仿宋" w:eastAsia="仿宋" w:cs="仿宋"/>
              <w:sz w:val="24"/>
              <w:szCs w:val="24"/>
            </w:rPr>
            <w:fldChar w:fldCharType="separate"/>
          </w:r>
          <w:r>
            <w:rPr>
              <w:rFonts w:hint="eastAsia" w:ascii="仿宋" w:hAnsi="仿宋" w:eastAsia="仿宋" w:cs="仿宋"/>
              <w:sz w:val="24"/>
              <w:szCs w:val="24"/>
            </w:rPr>
            <w:t>91</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28C96E54">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_Toc24347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5.6.4视频安防</w:t>
          </w:r>
          <w:r>
            <w:rPr>
              <w:rFonts w:hint="eastAsia" w:ascii="仿宋" w:hAnsi="仿宋" w:eastAsia="仿宋" w:cs="仿宋"/>
              <w:bCs w:val="0"/>
              <w:sz w:val="24"/>
              <w:szCs w:val="24"/>
            </w:rPr>
            <w:t>系统子单元</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_Toc24347 \h </w:instrText>
          </w:r>
          <w:r>
            <w:rPr>
              <w:rFonts w:hint="eastAsia" w:ascii="仿宋" w:hAnsi="仿宋" w:eastAsia="仿宋" w:cs="仿宋"/>
              <w:sz w:val="24"/>
              <w:szCs w:val="24"/>
            </w:rPr>
            <w:fldChar w:fldCharType="separate"/>
          </w:r>
          <w:r>
            <w:rPr>
              <w:rFonts w:hint="eastAsia" w:ascii="仿宋" w:hAnsi="仿宋" w:eastAsia="仿宋" w:cs="仿宋"/>
              <w:sz w:val="24"/>
              <w:szCs w:val="24"/>
            </w:rPr>
            <w:t>91</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5D0F768C">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_Toc13927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5.7</w:t>
          </w:r>
          <w:r>
            <w:rPr>
              <w:rFonts w:hint="eastAsia" w:ascii="仿宋" w:hAnsi="仿宋" w:eastAsia="仿宋" w:cs="仿宋"/>
              <w:sz w:val="24"/>
              <w:szCs w:val="24"/>
            </w:rPr>
            <w:t>重大</w:t>
          </w:r>
          <w:r>
            <w:rPr>
              <w:rFonts w:hint="eastAsia" w:ascii="仿宋" w:hAnsi="仿宋" w:eastAsia="仿宋" w:cs="仿宋"/>
              <w:sz w:val="24"/>
              <w:szCs w:val="24"/>
              <w:lang w:val="en-US" w:eastAsia="zh-CN"/>
            </w:rPr>
            <w:t>电力</w:t>
          </w:r>
          <w:r>
            <w:rPr>
              <w:rFonts w:hint="eastAsia" w:ascii="仿宋" w:hAnsi="仿宋" w:eastAsia="仿宋" w:cs="仿宋"/>
              <w:sz w:val="24"/>
              <w:szCs w:val="24"/>
            </w:rPr>
            <w:t>安全事故隐患判定单元</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_Toc13927 \h </w:instrText>
          </w:r>
          <w:r>
            <w:rPr>
              <w:rFonts w:hint="eastAsia" w:ascii="仿宋" w:hAnsi="仿宋" w:eastAsia="仿宋" w:cs="仿宋"/>
              <w:sz w:val="24"/>
              <w:szCs w:val="24"/>
            </w:rPr>
            <w:fldChar w:fldCharType="separate"/>
          </w:r>
          <w:r>
            <w:rPr>
              <w:rFonts w:hint="eastAsia" w:ascii="仿宋" w:hAnsi="仿宋" w:eastAsia="仿宋" w:cs="仿宋"/>
              <w:sz w:val="24"/>
              <w:szCs w:val="24"/>
            </w:rPr>
            <w:t>93</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0B00D41D">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_Toc19964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5.8</w:t>
          </w:r>
          <w:r>
            <w:rPr>
              <w:rFonts w:hint="eastAsia" w:ascii="仿宋" w:hAnsi="仿宋" w:eastAsia="仿宋" w:cs="仿宋"/>
              <w:sz w:val="24"/>
              <w:szCs w:val="24"/>
            </w:rPr>
            <w:t>安全管理单元</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_Toc19964 \h </w:instrText>
          </w:r>
          <w:r>
            <w:rPr>
              <w:rFonts w:hint="eastAsia" w:ascii="仿宋" w:hAnsi="仿宋" w:eastAsia="仿宋" w:cs="仿宋"/>
              <w:sz w:val="24"/>
              <w:szCs w:val="24"/>
            </w:rPr>
            <w:fldChar w:fldCharType="separate"/>
          </w:r>
          <w:r>
            <w:rPr>
              <w:rFonts w:hint="eastAsia" w:ascii="仿宋" w:hAnsi="仿宋" w:eastAsia="仿宋" w:cs="仿宋"/>
              <w:sz w:val="24"/>
              <w:szCs w:val="24"/>
            </w:rPr>
            <w:t>93</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16E06EAA">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_Toc9154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5.8.1</w:t>
          </w:r>
          <w:r>
            <w:rPr>
              <w:rFonts w:hint="eastAsia" w:ascii="仿宋" w:hAnsi="仿宋" w:eastAsia="仿宋" w:cs="仿宋"/>
              <w:bCs w:val="0"/>
              <w:sz w:val="24"/>
              <w:szCs w:val="24"/>
            </w:rPr>
            <w:t>安全生产管理检查表</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_Toc9154 \h </w:instrText>
          </w:r>
          <w:r>
            <w:rPr>
              <w:rFonts w:hint="eastAsia" w:ascii="仿宋" w:hAnsi="仿宋" w:eastAsia="仿宋" w:cs="仿宋"/>
              <w:sz w:val="24"/>
              <w:szCs w:val="24"/>
            </w:rPr>
            <w:fldChar w:fldCharType="separate"/>
          </w:r>
          <w:r>
            <w:rPr>
              <w:rFonts w:hint="eastAsia" w:ascii="仿宋" w:hAnsi="仿宋" w:eastAsia="仿宋" w:cs="仿宋"/>
              <w:sz w:val="24"/>
              <w:szCs w:val="24"/>
            </w:rPr>
            <w:t>93</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ACDA973">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_Toc11788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5.8.2</w:t>
          </w:r>
          <w:r>
            <w:rPr>
              <w:rFonts w:hint="eastAsia" w:ascii="仿宋" w:hAnsi="仿宋" w:eastAsia="仿宋" w:cs="仿宋"/>
              <w:bCs w:val="0"/>
              <w:sz w:val="24"/>
              <w:szCs w:val="24"/>
            </w:rPr>
            <w:t>安全标志安全检查表</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_Toc11788 \h </w:instrText>
          </w:r>
          <w:r>
            <w:rPr>
              <w:rFonts w:hint="eastAsia" w:ascii="仿宋" w:hAnsi="仿宋" w:eastAsia="仿宋" w:cs="仿宋"/>
              <w:sz w:val="24"/>
              <w:szCs w:val="24"/>
            </w:rPr>
            <w:fldChar w:fldCharType="separate"/>
          </w:r>
          <w:r>
            <w:rPr>
              <w:rFonts w:hint="eastAsia" w:ascii="仿宋" w:hAnsi="仿宋" w:eastAsia="仿宋" w:cs="仿宋"/>
              <w:sz w:val="24"/>
              <w:szCs w:val="24"/>
            </w:rPr>
            <w:t>97</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658E3467">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_Toc2249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5.8.3</w:t>
          </w:r>
          <w:r>
            <w:rPr>
              <w:rFonts w:hint="eastAsia" w:ascii="仿宋" w:hAnsi="仿宋" w:eastAsia="仿宋" w:cs="仿宋"/>
              <w:bCs w:val="0"/>
              <w:sz w:val="24"/>
              <w:szCs w:val="24"/>
            </w:rPr>
            <w:t>单元小结</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_Toc2249 \h </w:instrText>
          </w:r>
          <w:r>
            <w:rPr>
              <w:rFonts w:hint="eastAsia" w:ascii="仿宋" w:hAnsi="仿宋" w:eastAsia="仿宋" w:cs="仿宋"/>
              <w:sz w:val="24"/>
              <w:szCs w:val="24"/>
            </w:rPr>
            <w:fldChar w:fldCharType="separate"/>
          </w:r>
          <w:r>
            <w:rPr>
              <w:rFonts w:hint="eastAsia" w:ascii="仿宋" w:hAnsi="仿宋" w:eastAsia="仿宋" w:cs="仿宋"/>
              <w:sz w:val="24"/>
              <w:szCs w:val="24"/>
            </w:rPr>
            <w:t>98</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233A43D4">
          <w:pPr>
            <w:pStyle w:val="16"/>
            <w:tabs>
              <w:tab w:val="right" w:leader="dot" w:pos="8902"/>
            </w:tabs>
            <w:rPr>
              <w:rFonts w:hint="eastAsia" w:ascii="仿宋" w:hAnsi="仿宋" w:eastAsia="仿宋" w:cs="仿宋"/>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_Toc30321 </w:instrText>
          </w:r>
          <w:r>
            <w:rPr>
              <w:rFonts w:hint="eastAsia" w:ascii="仿宋" w:hAnsi="仿宋" w:eastAsia="仿宋" w:cs="仿宋"/>
              <w:b/>
              <w:bCs/>
              <w:sz w:val="24"/>
              <w:szCs w:val="24"/>
            </w:rPr>
            <w:fldChar w:fldCharType="separate"/>
          </w:r>
          <w:r>
            <w:rPr>
              <w:rFonts w:hint="eastAsia" w:ascii="仿宋" w:hAnsi="仿宋" w:eastAsia="仿宋" w:cs="仿宋"/>
              <w:b/>
              <w:bCs/>
              <w:kern w:val="2"/>
              <w:sz w:val="24"/>
              <w:szCs w:val="24"/>
              <w:lang w:val="en-US" w:eastAsia="zh-CN" w:bidi="ar-SA"/>
            </w:rPr>
            <w:t xml:space="preserve">6 </w:t>
          </w:r>
          <w:r>
            <w:rPr>
              <w:rFonts w:hint="eastAsia" w:ascii="仿宋" w:hAnsi="仿宋" w:eastAsia="仿宋" w:cs="仿宋"/>
              <w:b/>
              <w:bCs/>
              <w:sz w:val="24"/>
              <w:szCs w:val="24"/>
              <w:lang w:val="en-US" w:eastAsia="zh-CN"/>
            </w:rPr>
            <w:t>安全对策措施及建议</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_Toc30321 \h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99</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14:paraId="6E886032">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_Toc13260 </w:instrText>
          </w:r>
          <w:r>
            <w:rPr>
              <w:rFonts w:hint="eastAsia" w:ascii="仿宋" w:hAnsi="仿宋" w:eastAsia="仿宋" w:cs="仿宋"/>
              <w:sz w:val="24"/>
              <w:szCs w:val="24"/>
            </w:rPr>
            <w:fldChar w:fldCharType="separate"/>
          </w:r>
          <w:r>
            <w:rPr>
              <w:rFonts w:hint="eastAsia" w:ascii="仿宋" w:hAnsi="仿宋" w:eastAsia="仿宋" w:cs="仿宋"/>
              <w:bCs w:val="0"/>
              <w:sz w:val="24"/>
              <w:szCs w:val="24"/>
              <w:highlight w:val="none"/>
              <w:lang w:val="en-US" w:eastAsia="zh-CN"/>
            </w:rPr>
            <w:t>6.1企业整改完成落实情况</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_Toc13260 \h </w:instrText>
          </w:r>
          <w:r>
            <w:rPr>
              <w:rFonts w:hint="eastAsia" w:ascii="仿宋" w:hAnsi="仿宋" w:eastAsia="仿宋" w:cs="仿宋"/>
              <w:sz w:val="24"/>
              <w:szCs w:val="24"/>
            </w:rPr>
            <w:fldChar w:fldCharType="separate"/>
          </w:r>
          <w:r>
            <w:rPr>
              <w:rFonts w:hint="eastAsia" w:ascii="仿宋" w:hAnsi="仿宋" w:eastAsia="仿宋" w:cs="仿宋"/>
              <w:sz w:val="24"/>
              <w:szCs w:val="24"/>
            </w:rPr>
            <w:t>99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2F71AD0D">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_Toc10486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6.2安全对策措施建议的依据、原则</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_Toc10486 \h </w:instrText>
          </w:r>
          <w:r>
            <w:rPr>
              <w:rFonts w:hint="eastAsia" w:ascii="仿宋" w:hAnsi="仿宋" w:eastAsia="仿宋" w:cs="仿宋"/>
              <w:sz w:val="24"/>
              <w:szCs w:val="24"/>
            </w:rPr>
            <w:fldChar w:fldCharType="separate"/>
          </w:r>
          <w:r>
            <w:rPr>
              <w:rFonts w:hint="eastAsia" w:ascii="仿宋" w:hAnsi="仿宋" w:eastAsia="仿宋" w:cs="仿宋"/>
              <w:sz w:val="24"/>
              <w:szCs w:val="24"/>
            </w:rPr>
            <w:t>99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0750023B">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_Toc16700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6.2.1</w:t>
          </w:r>
          <w:r>
            <w:rPr>
              <w:rFonts w:hint="eastAsia" w:ascii="仿宋" w:hAnsi="仿宋" w:eastAsia="仿宋" w:cs="仿宋"/>
              <w:bCs w:val="0"/>
              <w:sz w:val="24"/>
              <w:szCs w:val="24"/>
            </w:rPr>
            <w:t>安全对策措施建议的基本要求</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_Toc16700 \h </w:instrText>
          </w:r>
          <w:r>
            <w:rPr>
              <w:rFonts w:hint="eastAsia" w:ascii="仿宋" w:hAnsi="仿宋" w:eastAsia="仿宋" w:cs="仿宋"/>
              <w:sz w:val="24"/>
              <w:szCs w:val="24"/>
            </w:rPr>
            <w:fldChar w:fldCharType="separate"/>
          </w:r>
          <w:r>
            <w:rPr>
              <w:rFonts w:hint="eastAsia" w:ascii="仿宋" w:hAnsi="仿宋" w:eastAsia="仿宋" w:cs="仿宋"/>
              <w:sz w:val="24"/>
              <w:szCs w:val="24"/>
            </w:rPr>
            <w:t>99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23255493">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_Toc21194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6.2.2</w:t>
          </w:r>
          <w:r>
            <w:rPr>
              <w:rFonts w:hint="eastAsia" w:ascii="仿宋" w:hAnsi="仿宋" w:eastAsia="仿宋" w:cs="仿宋"/>
              <w:bCs w:val="0"/>
              <w:sz w:val="24"/>
              <w:szCs w:val="24"/>
            </w:rPr>
            <w:t>制定安全对策措施建议的原则</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_Toc21194 \h </w:instrText>
          </w:r>
          <w:r>
            <w:rPr>
              <w:rFonts w:hint="eastAsia" w:ascii="仿宋" w:hAnsi="仿宋" w:eastAsia="仿宋" w:cs="仿宋"/>
              <w:sz w:val="24"/>
              <w:szCs w:val="24"/>
            </w:rPr>
            <w:fldChar w:fldCharType="separate"/>
          </w:r>
          <w:r>
            <w:rPr>
              <w:rFonts w:hint="eastAsia" w:ascii="仿宋" w:hAnsi="仿宋" w:eastAsia="仿宋" w:cs="仿宋"/>
              <w:sz w:val="24"/>
              <w:szCs w:val="24"/>
            </w:rPr>
            <w:t>99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65A9A090">
          <w:pPr>
            <w:pStyle w:val="18"/>
            <w:tabs>
              <w:tab w:val="right" w:leader="dot" w:pos="8902"/>
            </w:tabs>
            <w:rPr>
              <w:rFonts w:hint="eastAsia" w:ascii="仿宋" w:hAnsi="仿宋" w:eastAsia="仿宋" w:cs="仿宋"/>
              <w:sz w:val="24"/>
              <w:szCs w:val="24"/>
            </w:rPr>
            <w:sectPr>
              <w:footerReference r:id="rId10" w:type="default"/>
              <w:pgSz w:w="11906" w:h="16838"/>
              <w:pgMar w:top="1417" w:right="1417" w:bottom="1417" w:left="1587" w:header="851" w:footer="992" w:gutter="0"/>
              <w:pgNumType w:start="1"/>
              <w:cols w:space="425" w:num="1"/>
              <w:docGrid w:type="lines" w:linePitch="312" w:charSpace="0"/>
            </w:sectPr>
          </w:pPr>
        </w:p>
        <w:p w14:paraId="2175AF6D">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_Toc2540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6.3</w:t>
          </w:r>
          <w:r>
            <w:rPr>
              <w:rFonts w:hint="eastAsia" w:ascii="仿宋" w:hAnsi="仿宋" w:eastAsia="仿宋" w:cs="仿宋"/>
              <w:sz w:val="24"/>
              <w:szCs w:val="24"/>
            </w:rPr>
            <w:t>安全对策措施建议</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_Toc2540 \h </w:instrText>
          </w:r>
          <w:r>
            <w:rPr>
              <w:rFonts w:hint="eastAsia" w:ascii="仿宋" w:hAnsi="仿宋" w:eastAsia="仿宋" w:cs="仿宋"/>
              <w:sz w:val="24"/>
              <w:szCs w:val="24"/>
            </w:rPr>
            <w:fldChar w:fldCharType="separate"/>
          </w:r>
          <w:r>
            <w:rPr>
              <w:rFonts w:hint="eastAsia" w:ascii="仿宋" w:hAnsi="仿宋" w:eastAsia="仿宋" w:cs="仿宋"/>
              <w:sz w:val="24"/>
              <w:szCs w:val="24"/>
            </w:rPr>
            <w:t>99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60B2EDCF">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_Toc28760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6.3.1</w:t>
          </w:r>
          <w:r>
            <w:rPr>
              <w:rFonts w:hint="eastAsia" w:ascii="仿宋" w:hAnsi="仿宋" w:eastAsia="仿宋" w:cs="仿宋"/>
              <w:bCs w:val="0"/>
              <w:sz w:val="24"/>
              <w:szCs w:val="24"/>
            </w:rPr>
            <w:t>安全技术对策措施</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_Toc28760 \h </w:instrText>
          </w:r>
          <w:r>
            <w:rPr>
              <w:rFonts w:hint="eastAsia" w:ascii="仿宋" w:hAnsi="仿宋" w:eastAsia="仿宋" w:cs="仿宋"/>
              <w:sz w:val="24"/>
              <w:szCs w:val="24"/>
            </w:rPr>
            <w:fldChar w:fldCharType="separate"/>
          </w:r>
          <w:r>
            <w:rPr>
              <w:rFonts w:hint="eastAsia" w:ascii="仿宋" w:hAnsi="仿宋" w:eastAsia="仿宋" w:cs="仿宋"/>
              <w:sz w:val="24"/>
              <w:szCs w:val="24"/>
            </w:rPr>
            <w:t>99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64D16B2">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_Toc27661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6.3.2</w:t>
          </w:r>
          <w:r>
            <w:rPr>
              <w:rFonts w:hint="eastAsia" w:ascii="仿宋" w:hAnsi="仿宋" w:eastAsia="仿宋" w:cs="仿宋"/>
              <w:bCs w:val="0"/>
              <w:sz w:val="24"/>
              <w:szCs w:val="24"/>
            </w:rPr>
            <w:t>安全管理对策措施</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_Toc27661 \h </w:instrText>
          </w:r>
          <w:r>
            <w:rPr>
              <w:rFonts w:hint="eastAsia" w:ascii="仿宋" w:hAnsi="仿宋" w:eastAsia="仿宋" w:cs="仿宋"/>
              <w:sz w:val="24"/>
              <w:szCs w:val="24"/>
            </w:rPr>
            <w:fldChar w:fldCharType="separate"/>
          </w:r>
          <w:r>
            <w:rPr>
              <w:rFonts w:hint="eastAsia" w:ascii="仿宋" w:hAnsi="仿宋" w:eastAsia="仿宋" w:cs="仿宋"/>
              <w:sz w:val="24"/>
              <w:szCs w:val="24"/>
            </w:rPr>
            <w:t>100</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6A509382">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_Toc13489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6.3.3</w:t>
          </w:r>
          <w:r>
            <w:rPr>
              <w:rFonts w:hint="eastAsia" w:ascii="仿宋" w:hAnsi="仿宋" w:eastAsia="仿宋" w:cs="仿宋"/>
              <w:bCs w:val="0"/>
              <w:sz w:val="24"/>
              <w:szCs w:val="24"/>
            </w:rPr>
            <w:t>其它对策措施建议</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_Toc13489 \h </w:instrText>
          </w:r>
          <w:r>
            <w:rPr>
              <w:rFonts w:hint="eastAsia" w:ascii="仿宋" w:hAnsi="仿宋" w:eastAsia="仿宋" w:cs="仿宋"/>
              <w:sz w:val="24"/>
              <w:szCs w:val="24"/>
            </w:rPr>
            <w:fldChar w:fldCharType="separate"/>
          </w:r>
          <w:r>
            <w:rPr>
              <w:rFonts w:hint="eastAsia" w:ascii="仿宋" w:hAnsi="仿宋" w:eastAsia="仿宋" w:cs="仿宋"/>
              <w:sz w:val="24"/>
              <w:szCs w:val="24"/>
            </w:rPr>
            <w:t>101</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1D026F0">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_Toc3442 </w:instrText>
          </w:r>
          <w:r>
            <w:rPr>
              <w:rFonts w:hint="eastAsia" w:ascii="仿宋" w:hAnsi="仿宋" w:eastAsia="仿宋" w:cs="仿宋"/>
              <w:sz w:val="24"/>
              <w:szCs w:val="24"/>
            </w:rPr>
            <w:fldChar w:fldCharType="separate"/>
          </w:r>
          <w:r>
            <w:rPr>
              <w:rFonts w:hint="eastAsia" w:ascii="仿宋" w:hAnsi="仿宋" w:eastAsia="仿宋" w:cs="仿宋"/>
              <w:bCs/>
              <w:sz w:val="24"/>
              <w:szCs w:val="24"/>
              <w:highlight w:val="none"/>
              <w:lang w:val="en-US" w:eastAsia="zh-CN"/>
            </w:rPr>
            <w:t>6.4</w:t>
          </w:r>
          <w:r>
            <w:rPr>
              <w:rFonts w:hint="eastAsia" w:ascii="仿宋" w:hAnsi="仿宋" w:eastAsia="仿宋" w:cs="仿宋"/>
              <w:bCs/>
              <w:sz w:val="24"/>
              <w:szCs w:val="24"/>
              <w:highlight w:val="none"/>
            </w:rPr>
            <w:t>《安全设施设计》中安全对策措施落实情况检查</w:t>
          </w:r>
          <w:r>
            <w:rPr>
              <w:rFonts w:hint="eastAsia" w:ascii="仿宋" w:hAnsi="仿宋" w:eastAsia="仿宋" w:cs="仿宋"/>
              <w:bCs/>
              <w:sz w:val="24"/>
              <w:szCs w:val="24"/>
              <w:highlight w:val="none"/>
              <w:lang w:val="en-US" w:eastAsia="zh-CN"/>
            </w:rPr>
            <w:t>和</w:t>
          </w:r>
          <w:r>
            <w:rPr>
              <w:rFonts w:hint="eastAsia" w:ascii="仿宋" w:hAnsi="仿宋" w:eastAsia="仿宋" w:cs="仿宋"/>
              <w:bCs/>
              <w:sz w:val="24"/>
              <w:szCs w:val="24"/>
              <w:highlight w:val="none"/>
            </w:rPr>
            <w:t>评价</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_Toc3442 \h </w:instrText>
          </w:r>
          <w:r>
            <w:rPr>
              <w:rFonts w:hint="eastAsia" w:ascii="仿宋" w:hAnsi="仿宋" w:eastAsia="仿宋" w:cs="仿宋"/>
              <w:sz w:val="24"/>
              <w:szCs w:val="24"/>
            </w:rPr>
            <w:fldChar w:fldCharType="separate"/>
          </w:r>
          <w:r>
            <w:rPr>
              <w:rFonts w:hint="eastAsia" w:ascii="仿宋" w:hAnsi="仿宋" w:eastAsia="仿宋" w:cs="仿宋"/>
              <w:sz w:val="24"/>
              <w:szCs w:val="24"/>
            </w:rPr>
            <w:t>101</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11063FD6">
          <w:pPr>
            <w:pStyle w:val="16"/>
            <w:tabs>
              <w:tab w:val="right" w:leader="dot" w:pos="8902"/>
            </w:tabs>
            <w:rPr>
              <w:rFonts w:hint="eastAsia" w:ascii="仿宋" w:hAnsi="仿宋" w:eastAsia="仿宋" w:cs="仿宋"/>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_Toc31062 </w:instrText>
          </w:r>
          <w:r>
            <w:rPr>
              <w:rFonts w:hint="eastAsia" w:ascii="仿宋" w:hAnsi="仿宋" w:eastAsia="仿宋" w:cs="仿宋"/>
              <w:b/>
              <w:bCs/>
              <w:sz w:val="24"/>
              <w:szCs w:val="24"/>
            </w:rPr>
            <w:fldChar w:fldCharType="separate"/>
          </w:r>
          <w:r>
            <w:rPr>
              <w:rFonts w:hint="eastAsia" w:ascii="仿宋" w:hAnsi="仿宋" w:eastAsia="仿宋" w:cs="仿宋"/>
              <w:b/>
              <w:bCs/>
              <w:kern w:val="2"/>
              <w:sz w:val="24"/>
              <w:szCs w:val="24"/>
              <w:lang w:val="en-US" w:eastAsia="zh-CN" w:bidi="ar-SA"/>
            </w:rPr>
            <w:t>7 安全验收</w:t>
          </w:r>
          <w:r>
            <w:rPr>
              <w:rFonts w:hint="eastAsia" w:ascii="仿宋" w:hAnsi="仿宋" w:eastAsia="仿宋" w:cs="仿宋"/>
              <w:b/>
              <w:bCs/>
              <w:sz w:val="24"/>
              <w:szCs w:val="24"/>
              <w:lang w:val="en-US" w:eastAsia="zh-CN"/>
            </w:rPr>
            <w:t>评价结论</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_Toc31062 \h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103</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14:paraId="52D336BC">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_Toc26789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7.1</w:t>
          </w:r>
          <w:r>
            <w:rPr>
              <w:rFonts w:hint="eastAsia" w:ascii="仿宋" w:hAnsi="仿宋" w:eastAsia="仿宋" w:cs="仿宋"/>
              <w:sz w:val="24"/>
              <w:szCs w:val="24"/>
            </w:rPr>
            <w:t>工程运行中存在的主要危险、有害因素</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_Toc26789 \h </w:instrText>
          </w:r>
          <w:r>
            <w:rPr>
              <w:rFonts w:hint="eastAsia" w:ascii="仿宋" w:hAnsi="仿宋" w:eastAsia="仿宋" w:cs="仿宋"/>
              <w:sz w:val="24"/>
              <w:szCs w:val="24"/>
            </w:rPr>
            <w:fldChar w:fldCharType="separate"/>
          </w:r>
          <w:r>
            <w:rPr>
              <w:rFonts w:hint="eastAsia" w:ascii="仿宋" w:hAnsi="仿宋" w:eastAsia="仿宋" w:cs="仿宋"/>
              <w:sz w:val="24"/>
              <w:szCs w:val="24"/>
            </w:rPr>
            <w:t>103</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11A20019">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_Toc371 </w:instrText>
          </w:r>
          <w:r>
            <w:rPr>
              <w:rFonts w:hint="eastAsia" w:ascii="仿宋" w:hAnsi="仿宋" w:eastAsia="仿宋" w:cs="仿宋"/>
              <w:sz w:val="24"/>
              <w:szCs w:val="24"/>
            </w:rPr>
            <w:fldChar w:fldCharType="separate"/>
          </w:r>
          <w:r>
            <w:rPr>
              <w:rFonts w:hint="eastAsia" w:ascii="仿宋" w:hAnsi="仿宋" w:eastAsia="仿宋" w:cs="仿宋"/>
              <w:bCs w:val="0"/>
              <w:sz w:val="24"/>
              <w:szCs w:val="24"/>
              <w:lang w:val="en-US" w:eastAsia="zh-CN"/>
            </w:rPr>
            <w:t>7.1.1</w:t>
          </w:r>
          <w:r>
            <w:rPr>
              <w:rFonts w:hint="eastAsia" w:ascii="仿宋" w:hAnsi="仿宋" w:eastAsia="仿宋" w:cs="仿宋"/>
              <w:bCs w:val="0"/>
              <w:sz w:val="24"/>
              <w:szCs w:val="24"/>
            </w:rPr>
            <w:t>项目存在的危险、有害因素种类及危害后果</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_Toc371 \h </w:instrText>
          </w:r>
          <w:r>
            <w:rPr>
              <w:rFonts w:hint="eastAsia" w:ascii="仿宋" w:hAnsi="仿宋" w:eastAsia="仿宋" w:cs="仿宋"/>
              <w:sz w:val="24"/>
              <w:szCs w:val="24"/>
            </w:rPr>
            <w:fldChar w:fldCharType="separate"/>
          </w:r>
          <w:r>
            <w:rPr>
              <w:rFonts w:hint="eastAsia" w:ascii="仿宋" w:hAnsi="仿宋" w:eastAsia="仿宋" w:cs="仿宋"/>
              <w:sz w:val="24"/>
              <w:szCs w:val="24"/>
            </w:rPr>
            <w:t>103</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32417011">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_Toc17350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7.1.2</w:t>
          </w:r>
          <w:r>
            <w:rPr>
              <w:rFonts w:hint="eastAsia" w:ascii="仿宋" w:hAnsi="仿宋" w:eastAsia="仿宋" w:cs="仿宋"/>
              <w:sz w:val="24"/>
              <w:szCs w:val="24"/>
            </w:rPr>
            <w:t>项目应重点防范的重大事故</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_Toc17350 \h </w:instrText>
          </w:r>
          <w:r>
            <w:rPr>
              <w:rFonts w:hint="eastAsia" w:ascii="仿宋" w:hAnsi="仿宋" w:eastAsia="仿宋" w:cs="仿宋"/>
              <w:sz w:val="24"/>
              <w:szCs w:val="24"/>
            </w:rPr>
            <w:fldChar w:fldCharType="separate"/>
          </w:r>
          <w:r>
            <w:rPr>
              <w:rFonts w:hint="eastAsia" w:ascii="仿宋" w:hAnsi="仿宋" w:eastAsia="仿宋" w:cs="仿宋"/>
              <w:sz w:val="24"/>
              <w:szCs w:val="24"/>
            </w:rPr>
            <w:t>103</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3822B0CF">
          <w:pPr>
            <w:pStyle w:val="13"/>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_Toc21444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7.1.3</w:t>
          </w:r>
          <w:r>
            <w:rPr>
              <w:rFonts w:hint="eastAsia" w:ascii="仿宋" w:hAnsi="仿宋" w:eastAsia="仿宋" w:cs="仿宋"/>
              <w:sz w:val="24"/>
              <w:szCs w:val="24"/>
            </w:rPr>
            <w:t>重要的安全对策措施</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_Toc21444 \h </w:instrText>
          </w:r>
          <w:r>
            <w:rPr>
              <w:rFonts w:hint="eastAsia" w:ascii="仿宋" w:hAnsi="仿宋" w:eastAsia="仿宋" w:cs="仿宋"/>
              <w:sz w:val="24"/>
              <w:szCs w:val="24"/>
            </w:rPr>
            <w:fldChar w:fldCharType="separate"/>
          </w:r>
          <w:r>
            <w:rPr>
              <w:rFonts w:hint="eastAsia" w:ascii="仿宋" w:hAnsi="仿宋" w:eastAsia="仿宋" w:cs="仿宋"/>
              <w:sz w:val="24"/>
              <w:szCs w:val="24"/>
            </w:rPr>
            <w:t>103</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44C1CBC7">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_Toc26453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7.2</w:t>
          </w:r>
          <w:r>
            <w:rPr>
              <w:rFonts w:hint="eastAsia" w:ascii="仿宋" w:hAnsi="仿宋" w:eastAsia="仿宋" w:cs="仿宋"/>
              <w:sz w:val="24"/>
              <w:szCs w:val="24"/>
            </w:rPr>
            <w:t>符合性评价的综合</w:t>
          </w:r>
          <w:r>
            <w:rPr>
              <w:rFonts w:hint="eastAsia" w:ascii="仿宋" w:hAnsi="仿宋" w:eastAsia="仿宋" w:cs="仿宋"/>
              <w:sz w:val="24"/>
              <w:szCs w:val="24"/>
              <w:lang w:val="en-US" w:eastAsia="zh-CN"/>
            </w:rPr>
            <w:t>结果</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_Toc26453 \h </w:instrText>
          </w:r>
          <w:r>
            <w:rPr>
              <w:rFonts w:hint="eastAsia" w:ascii="仿宋" w:hAnsi="仿宋" w:eastAsia="仿宋" w:cs="仿宋"/>
              <w:sz w:val="24"/>
              <w:szCs w:val="24"/>
            </w:rPr>
            <w:fldChar w:fldCharType="separate"/>
          </w:r>
          <w:r>
            <w:rPr>
              <w:rFonts w:hint="eastAsia" w:ascii="仿宋" w:hAnsi="仿宋" w:eastAsia="仿宋" w:cs="仿宋"/>
              <w:sz w:val="24"/>
              <w:szCs w:val="24"/>
            </w:rPr>
            <w:t>104</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10162490">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_Toc18612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7.3</w:t>
          </w:r>
          <w:r>
            <w:rPr>
              <w:rFonts w:hint="eastAsia" w:ascii="仿宋" w:hAnsi="仿宋" w:eastAsia="仿宋" w:cs="仿宋"/>
              <w:sz w:val="24"/>
              <w:szCs w:val="24"/>
            </w:rPr>
            <w:t>评价结论</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_Toc18612 \h </w:instrText>
          </w:r>
          <w:r>
            <w:rPr>
              <w:rFonts w:hint="eastAsia" w:ascii="仿宋" w:hAnsi="仿宋" w:eastAsia="仿宋" w:cs="仿宋"/>
              <w:sz w:val="24"/>
              <w:szCs w:val="24"/>
            </w:rPr>
            <w:fldChar w:fldCharType="separate"/>
          </w:r>
          <w:r>
            <w:rPr>
              <w:rFonts w:hint="eastAsia" w:ascii="仿宋" w:hAnsi="仿宋" w:eastAsia="仿宋" w:cs="仿宋"/>
              <w:sz w:val="24"/>
              <w:szCs w:val="24"/>
            </w:rPr>
            <w:t>105</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6277641F">
          <w:pPr>
            <w:pStyle w:val="16"/>
            <w:tabs>
              <w:tab w:val="right" w:leader="dot" w:pos="8902"/>
            </w:tabs>
            <w:rPr>
              <w:rFonts w:hint="eastAsia"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_Toc23632 </w:instrText>
          </w:r>
          <w:r>
            <w:rPr>
              <w:rFonts w:hint="eastAsia" w:ascii="仿宋" w:hAnsi="仿宋" w:eastAsia="仿宋" w:cs="仿宋"/>
              <w:b/>
              <w:bCs/>
              <w:sz w:val="24"/>
              <w:szCs w:val="24"/>
            </w:rPr>
            <w:fldChar w:fldCharType="separate"/>
          </w:r>
          <w:r>
            <w:rPr>
              <w:rFonts w:hint="eastAsia" w:ascii="仿宋" w:hAnsi="仿宋" w:eastAsia="仿宋" w:cs="仿宋"/>
              <w:b/>
              <w:bCs/>
              <w:kern w:val="2"/>
              <w:sz w:val="24"/>
              <w:szCs w:val="24"/>
              <w:lang w:val="en-US" w:eastAsia="zh-CN" w:bidi="ar-SA"/>
            </w:rPr>
            <w:t xml:space="preserve">8 </w:t>
          </w:r>
          <w:r>
            <w:rPr>
              <w:rFonts w:hint="eastAsia" w:ascii="仿宋" w:hAnsi="仿宋" w:eastAsia="仿宋" w:cs="仿宋"/>
              <w:b/>
              <w:bCs/>
              <w:sz w:val="24"/>
              <w:szCs w:val="24"/>
              <w:lang w:val="en-US" w:eastAsia="zh-CN"/>
            </w:rPr>
            <w:t>与建设单位交换意见情况</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_Toc23632 \h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107</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14:paraId="0CA6199A">
          <w:pPr>
            <w:pStyle w:val="16"/>
            <w:tabs>
              <w:tab w:val="right" w:leader="dot" w:pos="8902"/>
            </w:tabs>
            <w:rPr>
              <w:rFonts w:hint="eastAsia" w:ascii="仿宋" w:hAnsi="仿宋" w:eastAsia="仿宋" w:cs="仿宋"/>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HYPERLINK \l _Toc5761 </w:instrText>
          </w:r>
          <w:r>
            <w:rPr>
              <w:rFonts w:hint="eastAsia" w:ascii="仿宋" w:hAnsi="仿宋" w:eastAsia="仿宋" w:cs="仿宋"/>
              <w:b/>
              <w:bCs/>
              <w:sz w:val="24"/>
              <w:szCs w:val="24"/>
            </w:rPr>
            <w:fldChar w:fldCharType="separate"/>
          </w:r>
          <w:r>
            <w:rPr>
              <w:rFonts w:hint="eastAsia" w:ascii="仿宋" w:hAnsi="仿宋" w:eastAsia="仿宋" w:cs="仿宋"/>
              <w:b/>
              <w:bCs/>
              <w:kern w:val="2"/>
              <w:sz w:val="24"/>
              <w:szCs w:val="24"/>
              <w:lang w:val="en-US" w:eastAsia="zh-CN" w:bidi="ar-SA"/>
            </w:rPr>
            <w:t xml:space="preserve">9 </w:t>
          </w:r>
          <w:r>
            <w:rPr>
              <w:rFonts w:hint="eastAsia" w:ascii="仿宋" w:hAnsi="仿宋" w:eastAsia="仿宋" w:cs="仿宋"/>
              <w:b/>
              <w:bCs/>
              <w:sz w:val="24"/>
              <w:szCs w:val="24"/>
              <w:lang w:val="en-US" w:eastAsia="zh-CN"/>
            </w:rPr>
            <w:t>附件附图</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_Toc5761 \h </w:instrText>
          </w:r>
          <w:r>
            <w:rPr>
              <w:rFonts w:hint="eastAsia" w:ascii="仿宋" w:hAnsi="仿宋" w:eastAsia="仿宋" w:cs="仿宋"/>
              <w:b/>
              <w:bCs/>
              <w:sz w:val="24"/>
              <w:szCs w:val="24"/>
            </w:rPr>
            <w:fldChar w:fldCharType="separate"/>
          </w:r>
          <w:r>
            <w:rPr>
              <w:rFonts w:hint="eastAsia" w:ascii="仿宋" w:hAnsi="仿宋" w:eastAsia="仿宋" w:cs="仿宋"/>
              <w:b/>
              <w:bCs/>
              <w:sz w:val="24"/>
              <w:szCs w:val="24"/>
            </w:rPr>
            <w:t>108</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14:paraId="317AF006">
          <w:pPr>
            <w:pStyle w:val="18"/>
            <w:tabs>
              <w:tab w:val="right" w:leader="dot" w:pos="8902"/>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_Toc29779 </w:instrText>
          </w:r>
          <w:r>
            <w:rPr>
              <w:rFonts w:hint="eastAsia" w:ascii="仿宋" w:hAnsi="仿宋" w:eastAsia="仿宋" w:cs="仿宋"/>
              <w:sz w:val="24"/>
              <w:szCs w:val="24"/>
            </w:rPr>
            <w:fldChar w:fldCharType="separate"/>
          </w:r>
          <w:r>
            <w:rPr>
              <w:rFonts w:hint="eastAsia" w:ascii="仿宋" w:hAnsi="仿宋" w:eastAsia="仿宋" w:cs="仿宋"/>
              <w:bCs/>
              <w:sz w:val="24"/>
              <w:szCs w:val="24"/>
              <w:lang w:val="en-US" w:eastAsia="zh-CN"/>
            </w:rPr>
            <w:t>9.1附件</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_Toc29779 \h </w:instrText>
          </w:r>
          <w:r>
            <w:rPr>
              <w:rFonts w:hint="eastAsia" w:ascii="仿宋" w:hAnsi="仿宋" w:eastAsia="仿宋" w:cs="仿宋"/>
              <w:sz w:val="24"/>
              <w:szCs w:val="24"/>
            </w:rPr>
            <w:fldChar w:fldCharType="separate"/>
          </w:r>
          <w:r>
            <w:rPr>
              <w:rFonts w:hint="eastAsia" w:ascii="仿宋" w:hAnsi="仿宋" w:eastAsia="仿宋" w:cs="仿宋"/>
              <w:sz w:val="24"/>
              <w:szCs w:val="24"/>
            </w:rPr>
            <w:t>108</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1DD020AD">
          <w:pPr>
            <w:pStyle w:val="18"/>
            <w:tabs>
              <w:tab w:val="right" w:leader="dot" w:pos="8902"/>
            </w:tabs>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_Toc13154 </w:instrText>
          </w:r>
          <w:r>
            <w:rPr>
              <w:rFonts w:hint="eastAsia" w:ascii="仿宋" w:hAnsi="仿宋" w:eastAsia="仿宋" w:cs="仿宋"/>
              <w:sz w:val="24"/>
              <w:szCs w:val="24"/>
            </w:rPr>
            <w:fldChar w:fldCharType="separate"/>
          </w:r>
          <w:r>
            <w:rPr>
              <w:rFonts w:hint="eastAsia" w:ascii="仿宋" w:hAnsi="仿宋" w:eastAsia="仿宋" w:cs="仿宋"/>
              <w:sz w:val="24"/>
              <w:szCs w:val="24"/>
              <w:lang w:val="en-US" w:eastAsia="zh-CN"/>
            </w:rPr>
            <w:t>9.2附图</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_Toc13154 \h </w:instrText>
          </w:r>
          <w:r>
            <w:rPr>
              <w:rFonts w:hint="eastAsia" w:ascii="仿宋" w:hAnsi="仿宋" w:eastAsia="仿宋" w:cs="仿宋"/>
              <w:sz w:val="24"/>
              <w:szCs w:val="24"/>
            </w:rPr>
            <w:fldChar w:fldCharType="separate"/>
          </w:r>
          <w:r>
            <w:rPr>
              <w:rFonts w:hint="eastAsia" w:ascii="仿宋" w:hAnsi="仿宋" w:eastAsia="仿宋" w:cs="仿宋"/>
              <w:sz w:val="24"/>
              <w:szCs w:val="24"/>
            </w:rPr>
            <w:t>109</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14:paraId="70CC13AF">
          <w:pPr>
            <w:keepNext w:val="0"/>
            <w:keepLines w:val="0"/>
            <w:pageBreakBefore w:val="0"/>
            <w:kinsoku/>
            <w:wordWrap/>
            <w:overflowPunct/>
            <w:topLinePunct w:val="0"/>
            <w:autoSpaceDE/>
            <w:autoSpaceDN/>
            <w:bidi w:val="0"/>
            <w:adjustRightInd/>
            <w:snapToGrid/>
            <w:spacing w:line="480" w:lineRule="exact"/>
            <w:textAlignment w:val="auto"/>
            <w:rPr>
              <w:rFonts w:ascii="宋体" w:hAnsi="宋体" w:eastAsia="宋体" w:cs="Times New Roman"/>
              <w:kern w:val="2"/>
              <w:sz w:val="21"/>
              <w:szCs w:val="24"/>
              <w:lang w:val="en-US" w:eastAsia="zh-CN" w:bidi="ar-SA"/>
            </w:rPr>
          </w:pPr>
          <w:r>
            <w:fldChar w:fldCharType="end"/>
          </w:r>
        </w:p>
      </w:sdtContent>
    </w:sdt>
    <w:p w14:paraId="7CF67E7A">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Times New Roman"/>
          <w:kern w:val="2"/>
          <w:sz w:val="21"/>
          <w:szCs w:val="24"/>
          <w:lang w:val="en-US" w:eastAsia="zh-CN" w:bidi="ar-SA"/>
        </w:rPr>
        <w:sectPr>
          <w:footerReference r:id="rId11" w:type="default"/>
          <w:pgSz w:w="11906" w:h="16838"/>
          <w:pgMar w:top="1417" w:right="1417" w:bottom="1417" w:left="1587" w:header="851" w:footer="992" w:gutter="0"/>
          <w:pgNumType w:start="1"/>
          <w:cols w:space="425" w:num="1"/>
          <w:docGrid w:type="lines" w:linePitch="312" w:charSpace="0"/>
        </w:sectPr>
      </w:pPr>
    </w:p>
    <w:p w14:paraId="352B55F1">
      <w:pPr>
        <w:pStyle w:val="2"/>
        <w:pageBreakBefore w:val="0"/>
        <w:kinsoku/>
        <w:wordWrap/>
        <w:overflowPunct/>
        <w:autoSpaceDE/>
        <w:autoSpaceDN/>
        <w:bidi w:val="0"/>
        <w:spacing w:beforeLines="0" w:afterLines="0" w:line="420" w:lineRule="exact"/>
        <w:jc w:val="center"/>
        <w:textAlignment w:val="auto"/>
        <w:outlineLvl w:val="0"/>
        <w:rPr>
          <w:rFonts w:hint="eastAsia" w:ascii="宋体" w:hAnsi="宋体" w:eastAsia="宋体" w:cs="宋体"/>
          <w:b/>
          <w:bCs/>
        </w:rPr>
      </w:pPr>
      <w:bookmarkStart w:id="4" w:name="_Toc13248"/>
      <w:bookmarkStart w:id="5" w:name="_Toc20325"/>
      <w:r>
        <w:rPr>
          <w:rFonts w:hint="eastAsia" w:ascii="宋体" w:hAnsi="宋体" w:eastAsia="宋体" w:cs="宋体"/>
          <w:b/>
          <w:bCs/>
          <w:lang w:val="en-US" w:eastAsia="zh-CN"/>
        </w:rPr>
        <w:t>1 编制说明</w:t>
      </w:r>
      <w:bookmarkEnd w:id="4"/>
      <w:bookmarkEnd w:id="5"/>
    </w:p>
    <w:p w14:paraId="2BAD3DCA">
      <w:pPr>
        <w:pStyle w:val="3"/>
        <w:pageBreakBefore w:val="0"/>
        <w:kinsoku/>
        <w:wordWrap/>
        <w:overflowPunct/>
        <w:autoSpaceDE/>
        <w:autoSpaceDN/>
        <w:bidi w:val="0"/>
        <w:spacing w:line="420" w:lineRule="exact"/>
        <w:textAlignment w:val="auto"/>
        <w:outlineLvl w:val="1"/>
        <w:rPr>
          <w:rFonts w:hint="eastAsia" w:ascii="宋体" w:hAnsi="宋体" w:eastAsia="宋体" w:cs="宋体"/>
          <w:b/>
          <w:bCs/>
          <w:color w:val="000000"/>
        </w:rPr>
      </w:pPr>
      <w:bookmarkStart w:id="6" w:name="_Toc332357203"/>
      <w:bookmarkStart w:id="7" w:name="_Toc332786032"/>
      <w:bookmarkStart w:id="8" w:name="_Toc384121529"/>
      <w:bookmarkStart w:id="9" w:name="_Toc13651"/>
      <w:bookmarkStart w:id="10" w:name="_Toc15088"/>
      <w:bookmarkStart w:id="11" w:name="_Toc15163"/>
      <w:bookmarkStart w:id="12" w:name="_Toc20507"/>
      <w:bookmarkStart w:id="13" w:name="_Toc18682"/>
      <w:bookmarkStart w:id="14" w:name="_Toc454614232"/>
      <w:bookmarkStart w:id="15" w:name="_Toc25140"/>
      <w:bookmarkStart w:id="16" w:name="_Toc13983"/>
      <w:bookmarkStart w:id="17" w:name="_Toc1655837"/>
      <w:r>
        <w:rPr>
          <w:rFonts w:hint="eastAsia" w:ascii="宋体" w:hAnsi="宋体" w:eastAsia="宋体" w:cs="宋体"/>
          <w:b/>
          <w:bCs/>
          <w:color w:val="000000"/>
          <w:lang w:val="en-US" w:eastAsia="zh-CN"/>
        </w:rPr>
        <w:t>1.1</w:t>
      </w:r>
      <w:r>
        <w:rPr>
          <w:rFonts w:hint="eastAsia" w:ascii="宋体" w:hAnsi="宋体" w:eastAsia="宋体" w:cs="宋体"/>
          <w:b/>
          <w:bCs/>
          <w:color w:val="000000"/>
        </w:rPr>
        <w:t>评价</w:t>
      </w:r>
      <w:bookmarkEnd w:id="6"/>
      <w:bookmarkEnd w:id="7"/>
      <w:bookmarkEnd w:id="8"/>
      <w:r>
        <w:rPr>
          <w:rFonts w:hint="eastAsia" w:ascii="宋体" w:hAnsi="宋体" w:eastAsia="宋体" w:cs="宋体"/>
          <w:b/>
          <w:bCs/>
          <w:color w:val="000000"/>
        </w:rPr>
        <w:t>对象和范围</w:t>
      </w:r>
      <w:bookmarkEnd w:id="9"/>
      <w:bookmarkEnd w:id="10"/>
      <w:bookmarkEnd w:id="11"/>
      <w:bookmarkEnd w:id="12"/>
      <w:bookmarkEnd w:id="13"/>
      <w:bookmarkEnd w:id="14"/>
      <w:bookmarkEnd w:id="15"/>
      <w:bookmarkEnd w:id="16"/>
      <w:bookmarkEnd w:id="17"/>
    </w:p>
    <w:p w14:paraId="56C22536">
      <w:pPr>
        <w:pStyle w:val="4"/>
        <w:pageBreakBefore w:val="0"/>
        <w:kinsoku/>
        <w:wordWrap/>
        <w:overflowPunct/>
        <w:autoSpaceDE/>
        <w:autoSpaceDN/>
        <w:bidi w:val="0"/>
        <w:spacing w:line="420" w:lineRule="exact"/>
        <w:textAlignment w:val="auto"/>
        <w:outlineLvl w:val="2"/>
        <w:rPr>
          <w:rFonts w:hint="eastAsia" w:ascii="宋体" w:hAnsi="宋体" w:eastAsia="宋体" w:cs="宋体"/>
          <w:b/>
          <w:bCs/>
        </w:rPr>
      </w:pPr>
      <w:bookmarkStart w:id="18" w:name="_Toc454614233"/>
      <w:bookmarkStart w:id="19" w:name="_Toc19110"/>
      <w:bookmarkStart w:id="20" w:name="_Toc9000"/>
      <w:bookmarkStart w:id="21" w:name="_Toc14335"/>
      <w:bookmarkStart w:id="22" w:name="_Toc1655838"/>
      <w:bookmarkStart w:id="23" w:name="_Toc6793"/>
      <w:bookmarkStart w:id="24" w:name="_Toc17212"/>
      <w:r>
        <w:rPr>
          <w:rFonts w:hint="eastAsia" w:ascii="宋体" w:hAnsi="宋体" w:eastAsia="宋体" w:cs="宋体"/>
          <w:b/>
          <w:bCs/>
          <w:lang w:val="en-US" w:eastAsia="zh-CN"/>
        </w:rPr>
        <w:t>1.1.1</w:t>
      </w:r>
      <w:r>
        <w:rPr>
          <w:rFonts w:hint="eastAsia" w:ascii="宋体" w:hAnsi="宋体" w:eastAsia="宋体" w:cs="宋体"/>
          <w:b/>
          <w:bCs/>
        </w:rPr>
        <w:t>评价对象</w:t>
      </w:r>
      <w:bookmarkEnd w:id="18"/>
      <w:bookmarkEnd w:id="19"/>
      <w:bookmarkEnd w:id="20"/>
      <w:bookmarkEnd w:id="21"/>
      <w:bookmarkEnd w:id="22"/>
      <w:bookmarkEnd w:id="23"/>
      <w:bookmarkEnd w:id="24"/>
    </w:p>
    <w:p w14:paraId="5F47820A">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bookmarkStart w:id="25" w:name="_Toc454614234"/>
      <w:bookmarkStart w:id="26" w:name="_Toc11414"/>
      <w:r>
        <w:rPr>
          <w:rFonts w:hint="eastAsia" w:ascii="宋体" w:hAnsi="宋体" w:eastAsia="宋体" w:cs="Times New Roman"/>
          <w:kern w:val="2"/>
          <w:sz w:val="28"/>
          <w:szCs w:val="28"/>
          <w:lang w:val="zh-CN" w:eastAsia="zh-CN" w:bidi="ar-SA"/>
        </w:rPr>
        <w:t>本次验收评价对象为华能澜沧江（</w:t>
      </w:r>
      <w:r>
        <w:rPr>
          <w:rFonts w:hint="eastAsia" w:ascii="宋体" w:hAnsi="宋体" w:cs="Times New Roman"/>
          <w:kern w:val="2"/>
          <w:sz w:val="28"/>
          <w:szCs w:val="28"/>
          <w:lang w:val="en-US" w:eastAsia="zh-CN" w:bidi="ar-SA"/>
        </w:rPr>
        <w:t>景洪</w:t>
      </w:r>
      <w:r>
        <w:rPr>
          <w:rFonts w:hint="eastAsia" w:ascii="宋体" w:hAnsi="宋体" w:eastAsia="宋体" w:cs="Times New Roman"/>
          <w:kern w:val="2"/>
          <w:sz w:val="28"/>
          <w:szCs w:val="28"/>
          <w:lang w:val="zh-CN" w:eastAsia="zh-CN" w:bidi="ar-SA"/>
        </w:rPr>
        <w:t>）新能源有限公司</w:t>
      </w:r>
      <w:r>
        <w:rPr>
          <w:rFonts w:hint="eastAsia" w:ascii="宋体" w:hAnsi="宋体" w:eastAsia="宋体" w:cs="宋体"/>
          <w:color w:val="000000"/>
          <w:kern w:val="0"/>
          <w:sz w:val="28"/>
          <w:szCs w:val="28"/>
          <w:lang w:val="en-US" w:eastAsia="zh-CN" w:bidi="ar"/>
        </w:rPr>
        <w:t>景讷乡大寨村云盘光伏</w:t>
      </w:r>
      <w:r>
        <w:rPr>
          <w:rFonts w:hint="eastAsia" w:ascii="宋体" w:hAnsi="宋体" w:eastAsia="宋体" w:cs="宋体"/>
          <w:color w:val="000000" w:themeColor="text1"/>
          <w:sz w:val="28"/>
          <w:szCs w:val="28"/>
          <w:lang w:eastAsia="zh-CN"/>
          <w14:textFill>
            <w14:solidFill>
              <w14:schemeClr w14:val="tx1"/>
            </w14:solidFill>
          </w14:textFill>
        </w:rPr>
        <w:t>电站</w:t>
      </w:r>
      <w:r>
        <w:rPr>
          <w:rFonts w:hint="eastAsia" w:ascii="宋体" w:hAnsi="宋体" w:cs="宋体"/>
          <w:color w:val="000000" w:themeColor="text1"/>
          <w:sz w:val="28"/>
          <w:szCs w:val="28"/>
          <w:lang w:val="en-US" w:eastAsia="zh-CN"/>
          <w14:textFill>
            <w14:solidFill>
              <w14:schemeClr w14:val="tx1"/>
            </w14:solidFill>
          </w14:textFill>
        </w:rPr>
        <w:t>项</w:t>
      </w:r>
      <w:r>
        <w:rPr>
          <w:rFonts w:hint="eastAsia" w:ascii="宋体" w:hAnsi="宋体" w:eastAsia="宋体" w:cs="Times New Roman"/>
          <w:kern w:val="2"/>
          <w:sz w:val="28"/>
          <w:szCs w:val="28"/>
          <w:lang w:val="en-US" w:eastAsia="zh-CN" w:bidi="ar-SA"/>
        </w:rPr>
        <w:t>目</w:t>
      </w:r>
      <w:r>
        <w:rPr>
          <w:rFonts w:hint="eastAsia" w:ascii="宋体" w:hAnsi="宋体" w:eastAsia="宋体" w:cs="宋体"/>
          <w:sz w:val="28"/>
          <w:szCs w:val="28"/>
          <w:lang w:val="zh-CN" w:eastAsia="zh-CN"/>
        </w:rPr>
        <w:t>总平面布置、生产系统、配套的公辅工程</w:t>
      </w:r>
      <w:r>
        <w:rPr>
          <w:rFonts w:hint="eastAsia" w:ascii="宋体" w:hAnsi="宋体" w:eastAsia="宋体" w:cs="Times New Roman"/>
          <w:kern w:val="2"/>
          <w:sz w:val="28"/>
          <w:szCs w:val="28"/>
          <w:lang w:val="zh-CN" w:eastAsia="zh-CN" w:bidi="ar-SA"/>
        </w:rPr>
        <w:t>设施。</w:t>
      </w:r>
    </w:p>
    <w:p w14:paraId="22B0B34C">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lang w:val="en-US" w:eastAsia="zh-CN"/>
        </w:rPr>
      </w:pPr>
      <w:bookmarkStart w:id="27" w:name="_Toc1655839"/>
      <w:bookmarkStart w:id="28" w:name="_Toc7761"/>
      <w:bookmarkStart w:id="29" w:name="_Toc6628"/>
      <w:bookmarkStart w:id="30" w:name="_Toc31302"/>
      <w:bookmarkStart w:id="31" w:name="_Toc19202"/>
      <w:r>
        <w:rPr>
          <w:rFonts w:hint="eastAsia" w:ascii="宋体" w:hAnsi="宋体" w:eastAsia="宋体" w:cs="宋体"/>
          <w:b/>
          <w:bCs/>
          <w:lang w:val="en-US" w:eastAsia="zh-CN"/>
        </w:rPr>
        <w:t>1.1.2评价</w:t>
      </w:r>
      <w:bookmarkEnd w:id="25"/>
      <w:bookmarkEnd w:id="26"/>
      <w:bookmarkEnd w:id="27"/>
      <w:bookmarkEnd w:id="28"/>
      <w:bookmarkEnd w:id="29"/>
      <w:bookmarkEnd w:id="30"/>
      <w:r>
        <w:rPr>
          <w:rFonts w:hint="eastAsia" w:ascii="宋体" w:hAnsi="宋体" w:eastAsia="宋体" w:cs="宋体"/>
          <w:b/>
          <w:bCs/>
          <w:lang w:val="en-US" w:eastAsia="zh-CN"/>
        </w:rPr>
        <w:t>目的</w:t>
      </w:r>
      <w:bookmarkEnd w:id="31"/>
    </w:p>
    <w:p w14:paraId="7CF7D9A4">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sz w:val="28"/>
          <w:szCs w:val="28"/>
          <w:lang w:val="zh-CN" w:eastAsia="zh-CN"/>
        </w:rPr>
      </w:pPr>
      <w:r>
        <w:rPr>
          <w:rFonts w:hint="eastAsia"/>
          <w:sz w:val="28"/>
          <w:szCs w:val="28"/>
          <w:lang w:val="zh-CN" w:eastAsia="zh-CN"/>
        </w:rPr>
        <w:t>为落实“安全第一，预防为主、综合治理”的方针，确保建设工程项目中的安全技术措施和设施与主体工程同时设计、同时施工、同时投入生产使用。从安全的角度检查“三同时”过程的完整性及安全设施落实情况。</w:t>
      </w:r>
    </w:p>
    <w:p w14:paraId="3AFC7F95">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sz w:val="28"/>
          <w:szCs w:val="28"/>
          <w:lang w:val="zh-CN" w:eastAsia="zh-CN"/>
        </w:rPr>
      </w:pPr>
      <w:r>
        <w:rPr>
          <w:rFonts w:hint="eastAsia"/>
          <w:sz w:val="28"/>
          <w:szCs w:val="28"/>
          <w:lang w:val="zh-CN" w:eastAsia="zh-CN"/>
        </w:rPr>
        <w:t>针对评价出的问题，给出实施的紧迫程度，并提出对应的安全对策建议措施；为存在问题整改提供依据，为安全投入与资金使用提供参考。</w:t>
      </w:r>
    </w:p>
    <w:p w14:paraId="32652C84">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sz w:val="28"/>
          <w:szCs w:val="28"/>
          <w:lang w:val="zh-CN" w:eastAsia="zh-CN"/>
        </w:rPr>
      </w:pPr>
      <w:r>
        <w:rPr>
          <w:rFonts w:hint="eastAsia"/>
          <w:sz w:val="28"/>
          <w:szCs w:val="28"/>
          <w:lang w:val="zh-CN" w:eastAsia="zh-CN"/>
        </w:rPr>
        <w:t>通过本次评价，促进该项目的安全管理，发现和整改事故隐患，提高该公司生产的本质安全度。</w:t>
      </w:r>
    </w:p>
    <w:p w14:paraId="39F06E37">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lang w:val="en-US" w:eastAsia="zh-CN"/>
        </w:rPr>
      </w:pPr>
      <w:r>
        <w:rPr>
          <w:rFonts w:hint="eastAsia"/>
          <w:sz w:val="28"/>
          <w:szCs w:val="28"/>
          <w:lang w:val="zh-CN" w:eastAsia="zh-CN"/>
        </w:rPr>
        <w:t>为</w:t>
      </w:r>
      <w:r>
        <w:rPr>
          <w:rFonts w:hint="eastAsia" w:ascii="宋体" w:hAnsi="宋体" w:eastAsia="宋体" w:cs="Times New Roman"/>
          <w:kern w:val="2"/>
          <w:sz w:val="28"/>
          <w:szCs w:val="28"/>
          <w:lang w:val="zh-CN" w:eastAsia="zh-CN" w:bidi="ar-SA"/>
        </w:rPr>
        <w:t>华能澜沧江（</w:t>
      </w:r>
      <w:r>
        <w:rPr>
          <w:rFonts w:hint="eastAsia" w:ascii="宋体" w:hAnsi="宋体" w:cs="Times New Roman"/>
          <w:kern w:val="2"/>
          <w:sz w:val="28"/>
          <w:szCs w:val="28"/>
          <w:lang w:val="en-US" w:eastAsia="zh-CN" w:bidi="ar-SA"/>
        </w:rPr>
        <w:t>景洪</w:t>
      </w:r>
      <w:r>
        <w:rPr>
          <w:rFonts w:hint="eastAsia" w:ascii="宋体" w:hAnsi="宋体" w:eastAsia="宋体" w:cs="Times New Roman"/>
          <w:kern w:val="2"/>
          <w:sz w:val="28"/>
          <w:szCs w:val="28"/>
          <w:lang w:val="zh-CN" w:eastAsia="zh-CN" w:bidi="ar-SA"/>
        </w:rPr>
        <w:t>）新能源有限公司</w:t>
      </w:r>
      <w:r>
        <w:rPr>
          <w:rFonts w:hint="eastAsia" w:ascii="宋体" w:hAnsi="宋体" w:cs="Times New Roman"/>
          <w:kern w:val="2"/>
          <w:sz w:val="28"/>
          <w:szCs w:val="28"/>
          <w:lang w:val="en-US" w:eastAsia="zh-CN" w:bidi="ar-SA"/>
        </w:rPr>
        <w:t>景洪市</w:t>
      </w:r>
      <w:r>
        <w:rPr>
          <w:rFonts w:hint="eastAsia" w:ascii="宋体" w:hAnsi="宋体" w:eastAsia="宋体" w:cs="宋体"/>
          <w:color w:val="000000"/>
          <w:kern w:val="0"/>
          <w:sz w:val="28"/>
          <w:szCs w:val="28"/>
          <w:lang w:val="en-US" w:eastAsia="zh-CN" w:bidi="ar"/>
        </w:rPr>
        <w:t>景讷乡大寨村云盘光伏</w:t>
      </w:r>
      <w:r>
        <w:rPr>
          <w:rFonts w:hint="eastAsia" w:ascii="宋体" w:hAnsi="宋体" w:eastAsia="宋体" w:cs="宋体"/>
          <w:color w:val="000000" w:themeColor="text1"/>
          <w:sz w:val="28"/>
          <w:szCs w:val="28"/>
          <w:lang w:eastAsia="zh-CN"/>
          <w14:textFill>
            <w14:solidFill>
              <w14:schemeClr w14:val="tx1"/>
            </w14:solidFill>
          </w14:textFill>
        </w:rPr>
        <w:t>电站</w:t>
      </w:r>
      <w:r>
        <w:rPr>
          <w:rFonts w:hint="eastAsia" w:ascii="宋体" w:hAnsi="宋体" w:cs="宋体"/>
          <w:color w:val="000000" w:themeColor="text1"/>
          <w:sz w:val="28"/>
          <w:szCs w:val="28"/>
          <w:lang w:val="en-US" w:eastAsia="zh-CN"/>
          <w14:textFill>
            <w14:solidFill>
              <w14:schemeClr w14:val="tx1"/>
            </w14:solidFill>
          </w14:textFill>
        </w:rPr>
        <w:t>项目</w:t>
      </w:r>
      <w:r>
        <w:rPr>
          <w:rFonts w:hint="eastAsia"/>
          <w:sz w:val="28"/>
          <w:szCs w:val="28"/>
          <w:lang w:val="zh-CN" w:eastAsia="zh-CN"/>
        </w:rPr>
        <w:t>安全</w:t>
      </w:r>
      <w:r>
        <w:rPr>
          <w:rFonts w:hint="eastAsia"/>
          <w:sz w:val="28"/>
          <w:szCs w:val="28"/>
          <w:lang w:val="en-US" w:eastAsia="zh-CN"/>
        </w:rPr>
        <w:t>设施竣工</w:t>
      </w:r>
      <w:r>
        <w:rPr>
          <w:rFonts w:hint="eastAsia"/>
          <w:sz w:val="28"/>
          <w:szCs w:val="28"/>
          <w:lang w:val="zh-CN" w:eastAsia="zh-CN"/>
        </w:rPr>
        <w:t>验收，提出消除、预防或降低工程危险性、提高工程安全运行等级的安全对策措施，为装置的生产运行以及日常管理提供依据，并为政府各级主管部门实行安全监察提供依据</w:t>
      </w:r>
    </w:p>
    <w:p w14:paraId="513B6285">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lang w:val="en-US" w:eastAsia="zh-CN"/>
        </w:rPr>
      </w:pPr>
      <w:bookmarkStart w:id="32" w:name="_Toc22071"/>
      <w:bookmarkStart w:id="33" w:name="_Toc12077"/>
      <w:bookmarkStart w:id="34" w:name="_Toc9853"/>
      <w:bookmarkStart w:id="35" w:name="_Toc20162"/>
      <w:r>
        <w:rPr>
          <w:rFonts w:hint="eastAsia" w:ascii="宋体" w:hAnsi="宋体" w:eastAsia="宋体" w:cs="宋体"/>
          <w:b/>
          <w:bCs/>
          <w:lang w:val="en-US" w:eastAsia="zh-CN"/>
        </w:rPr>
        <w:t>1.1.3评价</w:t>
      </w:r>
      <w:bookmarkEnd w:id="32"/>
      <w:bookmarkEnd w:id="33"/>
      <w:bookmarkEnd w:id="34"/>
      <w:r>
        <w:rPr>
          <w:rFonts w:hint="eastAsia" w:ascii="宋体" w:hAnsi="宋体" w:eastAsia="宋体" w:cs="宋体"/>
          <w:b/>
          <w:bCs/>
          <w:lang w:val="en-US" w:eastAsia="zh-CN"/>
        </w:rPr>
        <w:t>范围</w:t>
      </w:r>
      <w:bookmarkEnd w:id="35"/>
    </w:p>
    <w:p w14:paraId="3807ADE7">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sz w:val="28"/>
          <w:szCs w:val="28"/>
          <w:lang w:val="zh-CN" w:eastAsia="zh-CN"/>
        </w:rPr>
      </w:pPr>
      <w:r>
        <w:rPr>
          <w:rFonts w:hint="eastAsia"/>
          <w:sz w:val="28"/>
          <w:szCs w:val="28"/>
          <w:lang w:val="en-US" w:eastAsia="zh-CN"/>
        </w:rPr>
        <w:t>华能澜沧江（景洪）新能源有限公司的</w:t>
      </w:r>
      <w:r>
        <w:rPr>
          <w:rFonts w:hint="eastAsia" w:ascii="宋体" w:hAnsi="宋体" w:eastAsia="宋体" w:cs="宋体"/>
          <w:color w:val="000000"/>
          <w:kern w:val="0"/>
          <w:sz w:val="28"/>
          <w:szCs w:val="28"/>
          <w:lang w:val="en-US" w:eastAsia="zh-CN" w:bidi="ar"/>
        </w:rPr>
        <w:t>景讷乡大寨村云盘光伏</w:t>
      </w:r>
      <w:r>
        <w:rPr>
          <w:rFonts w:hint="eastAsia" w:ascii="宋体" w:hAnsi="宋体" w:eastAsia="宋体" w:cs="宋体"/>
          <w:color w:val="000000" w:themeColor="text1"/>
          <w:sz w:val="28"/>
          <w:szCs w:val="28"/>
          <w:lang w:eastAsia="zh-CN"/>
          <w14:textFill>
            <w14:solidFill>
              <w14:schemeClr w14:val="tx1"/>
            </w14:solidFill>
          </w14:textFill>
        </w:rPr>
        <w:t>电站</w:t>
      </w:r>
      <w:r>
        <w:rPr>
          <w:rFonts w:hint="eastAsia"/>
          <w:sz w:val="28"/>
          <w:szCs w:val="28"/>
          <w:lang w:val="en-US" w:eastAsia="zh-CN"/>
        </w:rPr>
        <w:t>项目的周边环境、总平面布置、生产工艺装置、设备设施、公用工程及辅助设施及安全管理等。对其所涉及的危险、有害因素进行辨识，并对危险、有害因素进行定性、定量评价；对项目是否满足安全生产法律法规、标准、规章、规范的要求，进行符合性检查。</w:t>
      </w:r>
    </w:p>
    <w:p w14:paraId="45D8F2DD">
      <w:pPr>
        <w:pStyle w:val="3"/>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lang w:val="en-US" w:eastAsia="zh-CN"/>
        </w:rPr>
      </w:pPr>
      <w:bookmarkStart w:id="36" w:name="_Toc407974005"/>
      <w:bookmarkStart w:id="37" w:name="_Toc516044440"/>
      <w:bookmarkStart w:id="38" w:name="_Toc26548"/>
      <w:bookmarkStart w:id="39" w:name="_Toc28791"/>
      <w:bookmarkStart w:id="40" w:name="_Toc29029"/>
      <w:bookmarkStart w:id="41" w:name="_Toc17161"/>
      <w:bookmarkStart w:id="42" w:name="_Toc24438"/>
      <w:bookmarkStart w:id="43" w:name="_Toc10619"/>
      <w:bookmarkStart w:id="44" w:name="_Toc870"/>
      <w:bookmarkStart w:id="45" w:name="_Toc32217"/>
      <w:r>
        <w:rPr>
          <w:rFonts w:hint="eastAsia" w:ascii="宋体" w:hAnsi="宋体" w:eastAsia="宋体" w:cs="宋体"/>
          <w:b/>
          <w:bCs/>
          <w:color w:val="000000"/>
          <w:lang w:val="en-US" w:eastAsia="zh-CN"/>
        </w:rPr>
        <w:t>1.2评价依据</w:t>
      </w:r>
      <w:bookmarkEnd w:id="36"/>
      <w:bookmarkEnd w:id="37"/>
      <w:bookmarkEnd w:id="38"/>
      <w:bookmarkEnd w:id="39"/>
      <w:bookmarkEnd w:id="40"/>
      <w:bookmarkEnd w:id="41"/>
      <w:bookmarkEnd w:id="42"/>
    </w:p>
    <w:p w14:paraId="77345D18">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lang w:val="en-US" w:eastAsia="zh-CN"/>
        </w:rPr>
      </w:pPr>
      <w:bookmarkStart w:id="46" w:name="_Toc208"/>
      <w:bookmarkStart w:id="47" w:name="_Toc90195204"/>
      <w:bookmarkStart w:id="48" w:name="_Toc407974006"/>
      <w:bookmarkStart w:id="49" w:name="_Toc516044441"/>
      <w:bookmarkStart w:id="50" w:name="_Toc19358"/>
      <w:bookmarkStart w:id="51" w:name="_Toc21259"/>
      <w:bookmarkStart w:id="52" w:name="_Toc89501967"/>
      <w:bookmarkStart w:id="53" w:name="_Toc92099057"/>
      <w:bookmarkStart w:id="54" w:name="_Toc228793637"/>
      <w:bookmarkStart w:id="55" w:name="_Toc93115251"/>
      <w:bookmarkStart w:id="56" w:name="_Toc21326"/>
      <w:bookmarkStart w:id="57" w:name="_Toc24451"/>
      <w:r>
        <w:rPr>
          <w:rFonts w:hint="eastAsia" w:ascii="宋体" w:hAnsi="宋体" w:eastAsia="宋体" w:cs="宋体"/>
          <w:b/>
          <w:bCs/>
          <w:lang w:val="en-US" w:eastAsia="zh-CN"/>
        </w:rPr>
        <w:t>1.2.1法律、法规</w:t>
      </w:r>
      <w:bookmarkEnd w:id="46"/>
      <w:bookmarkEnd w:id="47"/>
      <w:bookmarkEnd w:id="48"/>
      <w:bookmarkEnd w:id="49"/>
      <w:bookmarkEnd w:id="50"/>
      <w:bookmarkEnd w:id="51"/>
      <w:bookmarkEnd w:id="52"/>
      <w:bookmarkEnd w:id="53"/>
      <w:bookmarkEnd w:id="54"/>
      <w:bookmarkEnd w:id="55"/>
      <w:bookmarkEnd w:id="56"/>
      <w:bookmarkEnd w:id="57"/>
    </w:p>
    <w:p w14:paraId="181E4E61">
      <w:pPr>
        <w:keepNext w:val="0"/>
        <w:keepLines w:val="0"/>
        <w:pageBreakBefore w:val="0"/>
        <w:widowControl w:val="0"/>
        <w:numPr>
          <w:ilvl w:val="0"/>
          <w:numId w:val="2"/>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bookmarkStart w:id="58" w:name="_Toc335926127"/>
      <w:bookmarkStart w:id="59" w:name="_Toc369097748"/>
      <w:bookmarkStart w:id="60" w:name="_Toc376246553"/>
      <w:bookmarkStart w:id="61" w:name="_Toc531271026"/>
      <w:bookmarkStart w:id="62" w:name="_Toc477116083"/>
      <w:bookmarkStart w:id="63" w:name="_Toc407974007"/>
      <w:bookmarkStart w:id="64" w:name="_Toc184958719"/>
      <w:bookmarkStart w:id="65" w:name="_Toc516044442"/>
      <w:bookmarkStart w:id="66" w:name="_Toc228793638"/>
      <w:r>
        <w:rPr>
          <w:rFonts w:hint="eastAsia" w:ascii="宋体" w:hAnsi="宋体" w:eastAsia="宋体" w:cs="宋体"/>
          <w:color w:val="000000" w:themeColor="text1"/>
          <w:sz w:val="28"/>
          <w:szCs w:val="28"/>
          <w14:textFill>
            <w14:solidFill>
              <w14:schemeClr w14:val="tx1"/>
            </w14:solidFill>
          </w14:textFill>
        </w:rPr>
        <w:t>《中华人民共和国安全生产法》（中华人民共和国主席令〔20</w:t>
      </w:r>
      <w:r>
        <w:rPr>
          <w:rFonts w:hint="eastAsia" w:ascii="宋体" w:hAnsi="宋体" w:eastAsia="宋体" w:cs="宋体"/>
          <w:color w:val="000000" w:themeColor="text1"/>
          <w:sz w:val="28"/>
          <w:szCs w:val="28"/>
          <w:lang w:val="en-US" w:eastAsia="zh-CN"/>
          <w14:textFill>
            <w14:solidFill>
              <w14:schemeClr w14:val="tx1"/>
            </w14:solidFill>
          </w14:textFill>
        </w:rPr>
        <w:t>21</w:t>
      </w:r>
      <w:r>
        <w:rPr>
          <w:rFonts w:hint="eastAsia" w:ascii="宋体" w:hAnsi="宋体" w:eastAsia="宋体" w:cs="宋体"/>
          <w:color w:val="000000" w:themeColor="text1"/>
          <w:sz w:val="28"/>
          <w:szCs w:val="28"/>
          <w14:textFill>
            <w14:solidFill>
              <w14:schemeClr w14:val="tx1"/>
            </w14:solidFill>
          </w14:textFill>
        </w:rPr>
        <w:t>〕第</w:t>
      </w:r>
      <w:r>
        <w:rPr>
          <w:rFonts w:hint="eastAsia" w:ascii="宋体" w:hAnsi="宋体" w:eastAsia="宋体" w:cs="宋体"/>
          <w:color w:val="000000" w:themeColor="text1"/>
          <w:sz w:val="28"/>
          <w:szCs w:val="28"/>
          <w:lang w:val="en-US" w:eastAsia="zh-CN"/>
          <w14:textFill>
            <w14:solidFill>
              <w14:schemeClr w14:val="tx1"/>
            </w14:solidFill>
          </w14:textFill>
        </w:rPr>
        <w:t>88</w:t>
      </w:r>
      <w:r>
        <w:rPr>
          <w:rFonts w:hint="eastAsia" w:ascii="宋体" w:hAnsi="宋体" w:eastAsia="宋体" w:cs="宋体"/>
          <w:color w:val="000000" w:themeColor="text1"/>
          <w:sz w:val="28"/>
          <w:szCs w:val="28"/>
          <w14:textFill>
            <w14:solidFill>
              <w14:schemeClr w14:val="tx1"/>
            </w14:solidFill>
          </w14:textFill>
        </w:rPr>
        <w:t>号，2021年</w:t>
      </w: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29</w:t>
      </w:r>
      <w:r>
        <w:rPr>
          <w:rFonts w:hint="eastAsia" w:ascii="宋体" w:hAnsi="宋体" w:eastAsia="宋体" w:cs="宋体"/>
          <w:color w:val="000000" w:themeColor="text1"/>
          <w:sz w:val="28"/>
          <w:szCs w:val="28"/>
          <w14:textFill>
            <w14:solidFill>
              <w14:schemeClr w14:val="tx1"/>
            </w14:solidFill>
          </w14:textFill>
        </w:rPr>
        <w:t>日起施行）；</w:t>
      </w:r>
    </w:p>
    <w:p w14:paraId="0A30D4F2">
      <w:pPr>
        <w:keepNext w:val="0"/>
        <w:keepLines w:val="0"/>
        <w:pageBreakBefore w:val="0"/>
        <w:widowControl w:val="0"/>
        <w:numPr>
          <w:ilvl w:val="0"/>
          <w:numId w:val="2"/>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《中华人民共和国消防法》中华人民共和国主席令〔20</w:t>
      </w:r>
      <w:r>
        <w:rPr>
          <w:rFonts w:hint="eastAsia" w:ascii="宋体" w:hAnsi="宋体" w:eastAsia="宋体" w:cs="宋体"/>
          <w:color w:val="000000" w:themeColor="text1"/>
          <w:sz w:val="28"/>
          <w:szCs w:val="28"/>
          <w:lang w:val="en-US" w:eastAsia="zh-CN"/>
          <w14:textFill>
            <w14:solidFill>
              <w14:schemeClr w14:val="tx1"/>
            </w14:solidFill>
          </w14:textFill>
        </w:rPr>
        <w:t>21</w:t>
      </w:r>
      <w:r>
        <w:rPr>
          <w:rFonts w:hint="eastAsia" w:ascii="宋体" w:hAnsi="宋体" w:eastAsia="宋体" w:cs="宋体"/>
          <w:color w:val="000000" w:themeColor="text1"/>
          <w:sz w:val="28"/>
          <w:szCs w:val="28"/>
          <w14:textFill>
            <w14:solidFill>
              <w14:schemeClr w14:val="tx1"/>
            </w14:solidFill>
          </w14:textFill>
        </w:rPr>
        <w:t>〕第</w:t>
      </w:r>
      <w:r>
        <w:rPr>
          <w:rFonts w:hint="eastAsia" w:ascii="宋体" w:hAnsi="宋体" w:eastAsia="宋体" w:cs="宋体"/>
          <w:color w:val="000000" w:themeColor="text1"/>
          <w:sz w:val="28"/>
          <w:szCs w:val="28"/>
          <w:lang w:val="en-US" w:eastAsia="zh-CN"/>
          <w14:textFill>
            <w14:solidFill>
              <w14:schemeClr w14:val="tx1"/>
            </w14:solidFill>
          </w14:textFill>
        </w:rPr>
        <w:t>81</w:t>
      </w:r>
      <w:r>
        <w:rPr>
          <w:rFonts w:hint="eastAsia" w:ascii="宋体" w:hAnsi="宋体" w:eastAsia="宋体" w:cs="宋体"/>
          <w:color w:val="000000" w:themeColor="text1"/>
          <w:sz w:val="28"/>
          <w:szCs w:val="28"/>
          <w14:textFill>
            <w14:solidFill>
              <w14:schemeClr w14:val="tx1"/>
            </w14:solidFill>
          </w14:textFill>
        </w:rPr>
        <w:t>号</w:t>
      </w:r>
      <w:r>
        <w:rPr>
          <w:rFonts w:hint="eastAsia" w:ascii="宋体" w:hAnsi="宋体" w:eastAsia="宋体" w:cs="宋体"/>
          <w:color w:val="000000" w:themeColor="text1"/>
          <w:sz w:val="28"/>
          <w:szCs w:val="28"/>
          <w:lang w:eastAsia="zh-CN"/>
          <w14:textFill>
            <w14:solidFill>
              <w14:schemeClr w14:val="tx1"/>
            </w14:solidFill>
          </w14:textFill>
        </w:rPr>
        <w:t>修改</w:t>
      </w:r>
      <w:r>
        <w:rPr>
          <w:rFonts w:hint="eastAsia" w:ascii="宋体" w:hAnsi="宋体" w:eastAsia="宋体" w:cs="宋体"/>
          <w:color w:val="000000" w:themeColor="text1"/>
          <w:sz w:val="28"/>
          <w:szCs w:val="28"/>
          <w14:textFill>
            <w14:solidFill>
              <w14:schemeClr w14:val="tx1"/>
            </w14:solidFill>
          </w14:textFill>
        </w:rPr>
        <w:t>，2021年9月1日起施行）；</w:t>
      </w:r>
    </w:p>
    <w:p w14:paraId="76B42AAF">
      <w:pPr>
        <w:keepNext w:val="0"/>
        <w:keepLines w:val="0"/>
        <w:pageBreakBefore w:val="0"/>
        <w:widowControl w:val="0"/>
        <w:numPr>
          <w:ilvl w:val="0"/>
          <w:numId w:val="2"/>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《中华人民共和国劳动法》（中华人民共和国主席令〔20</w:t>
      </w:r>
      <w:r>
        <w:rPr>
          <w:rFonts w:hint="eastAsia" w:ascii="宋体" w:hAnsi="宋体" w:eastAsia="宋体" w:cs="宋体"/>
          <w:color w:val="000000" w:themeColor="text1"/>
          <w:sz w:val="28"/>
          <w:szCs w:val="28"/>
          <w:lang w:val="en-US" w:eastAsia="zh-CN"/>
          <w14:textFill>
            <w14:solidFill>
              <w14:schemeClr w14:val="tx1"/>
            </w14:solidFill>
          </w14:textFill>
        </w:rPr>
        <w:t>18</w:t>
      </w:r>
      <w:r>
        <w:rPr>
          <w:rFonts w:hint="eastAsia" w:ascii="宋体" w:hAnsi="宋体" w:eastAsia="宋体" w:cs="宋体"/>
          <w:color w:val="000000" w:themeColor="text1"/>
          <w:sz w:val="28"/>
          <w:szCs w:val="28"/>
          <w14:textFill>
            <w14:solidFill>
              <w14:schemeClr w14:val="tx1"/>
            </w14:solidFill>
          </w14:textFill>
        </w:rPr>
        <w:t>〕第28号修改，2018年12月29日</w:t>
      </w:r>
      <w:r>
        <w:rPr>
          <w:rFonts w:hint="eastAsia" w:ascii="宋体" w:hAnsi="宋体" w:eastAsia="宋体" w:cs="宋体"/>
          <w:color w:val="000000" w:themeColor="text1"/>
          <w:sz w:val="28"/>
          <w:szCs w:val="28"/>
          <w:lang w:eastAsia="zh-CN"/>
          <w14:textFill>
            <w14:solidFill>
              <w14:schemeClr w14:val="tx1"/>
            </w14:solidFill>
          </w14:textFill>
        </w:rPr>
        <w:t>起施行</w:t>
      </w:r>
      <w:r>
        <w:rPr>
          <w:rFonts w:hint="eastAsia" w:ascii="宋体" w:hAnsi="宋体" w:eastAsia="宋体" w:cs="宋体"/>
          <w:color w:val="000000" w:themeColor="text1"/>
          <w:sz w:val="28"/>
          <w:szCs w:val="28"/>
          <w14:textFill>
            <w14:solidFill>
              <w14:schemeClr w14:val="tx1"/>
            </w14:solidFill>
          </w14:textFill>
        </w:rPr>
        <w:t>）；</w:t>
      </w:r>
    </w:p>
    <w:p w14:paraId="6C207C55">
      <w:pPr>
        <w:keepNext w:val="0"/>
        <w:keepLines w:val="0"/>
        <w:pageBreakBefore w:val="0"/>
        <w:widowControl w:val="0"/>
        <w:numPr>
          <w:ilvl w:val="0"/>
          <w:numId w:val="2"/>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《中华人民共和国职业病防治法》（中华人民共和国主席令〔20</w:t>
      </w:r>
      <w:r>
        <w:rPr>
          <w:rFonts w:hint="eastAsia" w:ascii="宋体" w:hAnsi="宋体" w:eastAsia="宋体" w:cs="宋体"/>
          <w:color w:val="000000" w:themeColor="text1"/>
          <w:sz w:val="28"/>
          <w:szCs w:val="28"/>
          <w:lang w:val="en-US" w:eastAsia="zh-CN"/>
          <w14:textFill>
            <w14:solidFill>
              <w14:schemeClr w14:val="tx1"/>
            </w14:solidFill>
          </w14:textFill>
        </w:rPr>
        <w:t>18</w:t>
      </w:r>
      <w:r>
        <w:rPr>
          <w:rFonts w:hint="eastAsia" w:ascii="宋体" w:hAnsi="宋体" w:eastAsia="宋体" w:cs="宋体"/>
          <w:color w:val="000000" w:themeColor="text1"/>
          <w:sz w:val="28"/>
          <w:szCs w:val="28"/>
          <w14:textFill>
            <w14:solidFill>
              <w14:schemeClr w14:val="tx1"/>
            </w14:solidFill>
          </w14:textFill>
        </w:rPr>
        <w:t>〕第2</w:t>
      </w: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14:textFill>
            <w14:solidFill>
              <w14:schemeClr w14:val="tx1"/>
            </w14:solidFill>
          </w14:textFill>
        </w:rPr>
        <w:t>号修改，201</w:t>
      </w:r>
      <w:r>
        <w:rPr>
          <w:rFonts w:hint="eastAsia" w:ascii="宋体" w:hAnsi="宋体" w:eastAsia="宋体" w:cs="宋体"/>
          <w:color w:val="000000" w:themeColor="text1"/>
          <w:sz w:val="28"/>
          <w:szCs w:val="28"/>
          <w:lang w:val="en-US" w:eastAsia="zh-CN"/>
          <w14:textFill>
            <w14:solidFill>
              <w14:schemeClr w14:val="tx1"/>
            </w14:solidFill>
          </w14:textFill>
        </w:rPr>
        <w:t>8</w:t>
      </w:r>
      <w:r>
        <w:rPr>
          <w:rFonts w:hint="eastAsia" w:ascii="宋体" w:hAnsi="宋体" w:eastAsia="宋体" w:cs="宋体"/>
          <w:color w:val="000000" w:themeColor="text1"/>
          <w:sz w:val="28"/>
          <w:szCs w:val="28"/>
          <w14:textFill>
            <w14:solidFill>
              <w14:schemeClr w14:val="tx1"/>
            </w14:solidFill>
          </w14:textFill>
        </w:rPr>
        <w:t>年</w:t>
      </w:r>
      <w:r>
        <w:rPr>
          <w:rFonts w:hint="eastAsia" w:ascii="宋体" w:hAnsi="宋体" w:eastAsia="宋体" w:cs="宋体"/>
          <w:color w:val="000000" w:themeColor="text1"/>
          <w:sz w:val="28"/>
          <w:szCs w:val="28"/>
          <w:lang w:val="en-US" w:eastAsia="zh-CN"/>
          <w14:textFill>
            <w14:solidFill>
              <w14:schemeClr w14:val="tx1"/>
            </w14:solidFill>
          </w14:textFill>
        </w:rPr>
        <w:t>12</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29</w:t>
      </w:r>
      <w:r>
        <w:rPr>
          <w:rFonts w:hint="eastAsia" w:ascii="宋体" w:hAnsi="宋体" w:eastAsia="宋体" w:cs="宋体"/>
          <w:color w:val="000000" w:themeColor="text1"/>
          <w:sz w:val="28"/>
          <w:szCs w:val="28"/>
          <w14:textFill>
            <w14:solidFill>
              <w14:schemeClr w14:val="tx1"/>
            </w14:solidFill>
          </w14:textFill>
        </w:rPr>
        <w:t>日</w:t>
      </w:r>
      <w:r>
        <w:rPr>
          <w:rFonts w:hint="eastAsia" w:ascii="宋体" w:hAnsi="宋体" w:eastAsia="宋体" w:cs="宋体"/>
          <w:color w:val="000000" w:themeColor="text1"/>
          <w:sz w:val="28"/>
          <w:szCs w:val="28"/>
          <w:lang w:eastAsia="zh-CN"/>
          <w14:textFill>
            <w14:solidFill>
              <w14:schemeClr w14:val="tx1"/>
            </w14:solidFill>
          </w14:textFill>
        </w:rPr>
        <w:t>起施行</w:t>
      </w:r>
      <w:r>
        <w:rPr>
          <w:rFonts w:hint="eastAsia" w:ascii="宋体" w:hAnsi="宋体" w:eastAsia="宋体" w:cs="宋体"/>
          <w:color w:val="000000" w:themeColor="text1"/>
          <w:sz w:val="28"/>
          <w:szCs w:val="28"/>
          <w14:textFill>
            <w14:solidFill>
              <w14:schemeClr w14:val="tx1"/>
            </w14:solidFill>
          </w14:textFill>
        </w:rPr>
        <w:t>）；</w:t>
      </w:r>
    </w:p>
    <w:p w14:paraId="57B93769">
      <w:pPr>
        <w:keepNext w:val="0"/>
        <w:keepLines w:val="0"/>
        <w:pageBreakBefore w:val="0"/>
        <w:widowControl w:val="0"/>
        <w:numPr>
          <w:ilvl w:val="0"/>
          <w:numId w:val="2"/>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《中华人民共和国特种设备安全法》（中华人民共和国主席令〔2013〕第4号，</w:t>
      </w:r>
      <w:r>
        <w:rPr>
          <w:rFonts w:hint="eastAsia" w:ascii="宋体" w:hAnsi="宋体" w:eastAsia="宋体" w:cs="宋体"/>
          <w:color w:val="000000" w:themeColor="text1"/>
          <w:sz w:val="28"/>
          <w:szCs w:val="28"/>
          <w:lang w:val="en-US" w:eastAsia="zh-CN"/>
          <w14:textFill>
            <w14:solidFill>
              <w14:schemeClr w14:val="tx1"/>
            </w14:solidFill>
          </w14:textFill>
        </w:rPr>
        <w:t>自</w:t>
      </w:r>
      <w:r>
        <w:rPr>
          <w:rFonts w:hint="eastAsia" w:ascii="宋体" w:hAnsi="宋体" w:eastAsia="宋体" w:cs="宋体"/>
          <w:color w:val="000000" w:themeColor="text1"/>
          <w:sz w:val="28"/>
          <w:szCs w:val="28"/>
          <w:lang w:eastAsia="zh-CN"/>
          <w14:textFill>
            <w14:solidFill>
              <w14:schemeClr w14:val="tx1"/>
            </w14:solidFill>
          </w14:textFill>
        </w:rPr>
        <w:t>2014年1月1日起施行</w:t>
      </w:r>
      <w:r>
        <w:rPr>
          <w:rFonts w:hint="eastAsia" w:ascii="宋体" w:hAnsi="宋体" w:eastAsia="宋体" w:cs="宋体"/>
          <w:color w:val="000000" w:themeColor="text1"/>
          <w:sz w:val="28"/>
          <w:szCs w:val="28"/>
          <w14:textFill>
            <w14:solidFill>
              <w14:schemeClr w14:val="tx1"/>
            </w14:solidFill>
          </w14:textFill>
        </w:rPr>
        <w:t>）；</w:t>
      </w:r>
    </w:p>
    <w:p w14:paraId="021EE88A">
      <w:pPr>
        <w:keepNext w:val="0"/>
        <w:keepLines w:val="0"/>
        <w:pageBreakBefore w:val="0"/>
        <w:widowControl w:val="0"/>
        <w:numPr>
          <w:ilvl w:val="0"/>
          <w:numId w:val="2"/>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《中华人民共和国环境保护法》（中华人民共和国主席令〔20</w:t>
      </w:r>
      <w:r>
        <w:rPr>
          <w:rFonts w:hint="eastAsia" w:ascii="宋体" w:hAnsi="宋体" w:eastAsia="宋体" w:cs="宋体"/>
          <w:color w:val="000000" w:themeColor="text1"/>
          <w:sz w:val="28"/>
          <w:szCs w:val="28"/>
          <w:lang w:val="en-US" w:eastAsia="zh-CN"/>
          <w14:textFill>
            <w14:solidFill>
              <w14:schemeClr w14:val="tx1"/>
            </w14:solidFill>
          </w14:textFill>
        </w:rPr>
        <w:t>14</w:t>
      </w:r>
      <w:r>
        <w:rPr>
          <w:rFonts w:hint="eastAsia" w:ascii="宋体" w:hAnsi="宋体" w:eastAsia="宋体" w:cs="宋体"/>
          <w:color w:val="000000" w:themeColor="text1"/>
          <w:sz w:val="28"/>
          <w:szCs w:val="28"/>
          <w14:textFill>
            <w14:solidFill>
              <w14:schemeClr w14:val="tx1"/>
            </w14:solidFill>
          </w14:textFill>
        </w:rPr>
        <w:t>〕第</w:t>
      </w:r>
      <w:r>
        <w:rPr>
          <w:rFonts w:hint="eastAsia" w:ascii="宋体" w:hAnsi="宋体" w:eastAsia="宋体" w:cs="宋体"/>
          <w:color w:val="000000" w:themeColor="text1"/>
          <w:sz w:val="28"/>
          <w:szCs w:val="28"/>
          <w:lang w:val="en-US" w:eastAsia="zh-CN"/>
          <w14:textFill>
            <w14:solidFill>
              <w14:schemeClr w14:val="tx1"/>
            </w14:solidFill>
          </w14:textFill>
        </w:rPr>
        <w:t>9</w:t>
      </w:r>
      <w:r>
        <w:rPr>
          <w:rFonts w:hint="eastAsia" w:ascii="宋体" w:hAnsi="宋体" w:eastAsia="宋体" w:cs="宋体"/>
          <w:color w:val="000000" w:themeColor="text1"/>
          <w:sz w:val="28"/>
          <w:szCs w:val="28"/>
          <w14:textFill>
            <w14:solidFill>
              <w14:schemeClr w14:val="tx1"/>
            </w14:solidFill>
          </w14:textFill>
        </w:rPr>
        <w:t>号</w:t>
      </w:r>
      <w:r>
        <w:rPr>
          <w:rFonts w:hint="eastAsia" w:ascii="宋体" w:hAnsi="宋体" w:eastAsia="宋体" w:cs="宋体"/>
          <w:color w:val="000000" w:themeColor="text1"/>
          <w:sz w:val="28"/>
          <w:szCs w:val="28"/>
          <w:lang w:eastAsia="zh-CN"/>
          <w14:textFill>
            <w14:solidFill>
              <w14:schemeClr w14:val="tx1"/>
            </w14:solidFill>
          </w14:textFill>
        </w:rPr>
        <w:t>修改</w:t>
      </w:r>
      <w:r>
        <w:rPr>
          <w:rFonts w:hint="eastAsia" w:ascii="宋体" w:hAnsi="宋体" w:eastAsia="宋体" w:cs="宋体"/>
          <w:color w:val="000000" w:themeColor="text1"/>
          <w:sz w:val="28"/>
          <w:szCs w:val="28"/>
          <w14:textFill>
            <w14:solidFill>
              <w14:schemeClr w14:val="tx1"/>
            </w14:solidFill>
          </w14:textFill>
        </w:rPr>
        <w:t>，自2015年1月1日起施行）；</w:t>
      </w:r>
    </w:p>
    <w:p w14:paraId="6D23A72D">
      <w:pPr>
        <w:keepNext w:val="0"/>
        <w:keepLines w:val="0"/>
        <w:pageBreakBefore w:val="0"/>
        <w:widowControl w:val="0"/>
        <w:numPr>
          <w:ilvl w:val="0"/>
          <w:numId w:val="2"/>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《中华人民共和国劳动合同法》（中华人民共和国主席令〔20</w:t>
      </w:r>
      <w:r>
        <w:rPr>
          <w:rFonts w:hint="eastAsia" w:ascii="宋体" w:hAnsi="宋体" w:eastAsia="宋体" w:cs="宋体"/>
          <w:color w:val="000000" w:themeColor="text1"/>
          <w:sz w:val="28"/>
          <w:szCs w:val="28"/>
          <w:lang w:val="en-US" w:eastAsia="zh-CN"/>
          <w14:textFill>
            <w14:solidFill>
              <w14:schemeClr w14:val="tx1"/>
            </w14:solidFill>
          </w14:textFill>
        </w:rPr>
        <w:t>12</w:t>
      </w:r>
      <w:r>
        <w:rPr>
          <w:rFonts w:hint="eastAsia" w:ascii="宋体" w:hAnsi="宋体" w:eastAsia="宋体" w:cs="宋体"/>
          <w:color w:val="000000" w:themeColor="text1"/>
          <w:sz w:val="28"/>
          <w:szCs w:val="28"/>
          <w14:textFill>
            <w14:solidFill>
              <w14:schemeClr w14:val="tx1"/>
            </w14:solidFill>
          </w14:textFill>
        </w:rPr>
        <w:t>〕第</w:t>
      </w:r>
      <w:r>
        <w:rPr>
          <w:rFonts w:hint="eastAsia" w:ascii="宋体" w:hAnsi="宋体" w:eastAsia="宋体" w:cs="宋体"/>
          <w:color w:val="000000" w:themeColor="text1"/>
          <w:sz w:val="28"/>
          <w:szCs w:val="28"/>
          <w:lang w:val="en-US" w:eastAsia="zh-CN"/>
          <w14:textFill>
            <w14:solidFill>
              <w14:schemeClr w14:val="tx1"/>
            </w14:solidFill>
          </w14:textFill>
        </w:rPr>
        <w:t>73</w:t>
      </w:r>
      <w:r>
        <w:rPr>
          <w:rFonts w:hint="eastAsia" w:ascii="宋体" w:hAnsi="宋体" w:eastAsia="宋体" w:cs="宋体"/>
          <w:color w:val="000000" w:themeColor="text1"/>
          <w:sz w:val="28"/>
          <w:szCs w:val="28"/>
          <w14:textFill>
            <w14:solidFill>
              <w14:schemeClr w14:val="tx1"/>
            </w14:solidFill>
          </w14:textFill>
        </w:rPr>
        <w:t>号，2013年7月1日起施行）</w:t>
      </w:r>
      <w:bookmarkEnd w:id="58"/>
      <w:bookmarkEnd w:id="59"/>
      <w:bookmarkEnd w:id="60"/>
      <w:bookmarkEnd w:id="61"/>
      <w:bookmarkEnd w:id="62"/>
      <w:r>
        <w:rPr>
          <w:rFonts w:hint="eastAsia" w:ascii="宋体" w:hAnsi="宋体" w:eastAsia="宋体" w:cs="宋体"/>
          <w:color w:val="000000" w:themeColor="text1"/>
          <w:sz w:val="28"/>
          <w:szCs w:val="28"/>
          <w14:textFill>
            <w14:solidFill>
              <w14:schemeClr w14:val="tx1"/>
            </w14:solidFill>
          </w14:textFill>
        </w:rPr>
        <w:t>；</w:t>
      </w:r>
    </w:p>
    <w:p w14:paraId="28819D7D">
      <w:pPr>
        <w:keepNext w:val="0"/>
        <w:keepLines w:val="0"/>
        <w:pageBreakBefore w:val="0"/>
        <w:widowControl w:val="0"/>
        <w:numPr>
          <w:ilvl w:val="0"/>
          <w:numId w:val="2"/>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《中华人民共和国防震减灾法》（中华人民共和国主席令</w:t>
      </w:r>
      <w:r>
        <w:rPr>
          <w:rFonts w:hint="eastAsia" w:ascii="宋体" w:hAnsi="宋体" w:eastAsia="宋体" w:cs="宋体"/>
          <w:color w:val="000000" w:themeColor="text1"/>
          <w:sz w:val="28"/>
          <w:szCs w:val="28"/>
          <w14:textFill>
            <w14:solidFill>
              <w14:schemeClr w14:val="tx1"/>
            </w14:solidFill>
          </w14:textFill>
        </w:rPr>
        <w:t>〔20</w:t>
      </w:r>
      <w:r>
        <w:rPr>
          <w:rFonts w:hint="eastAsia" w:ascii="宋体" w:hAnsi="宋体" w:eastAsia="宋体" w:cs="宋体"/>
          <w:color w:val="000000" w:themeColor="text1"/>
          <w:sz w:val="28"/>
          <w:szCs w:val="28"/>
          <w:lang w:val="en-US" w:eastAsia="zh-CN"/>
          <w14:textFill>
            <w14:solidFill>
              <w14:schemeClr w14:val="tx1"/>
            </w14:solidFill>
          </w14:textFill>
        </w:rPr>
        <w:t>09</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val="zh-CN"/>
          <w14:textFill>
            <w14:solidFill>
              <w14:schemeClr w14:val="tx1"/>
            </w14:solidFill>
          </w14:textFill>
        </w:rPr>
        <w:t>第7号，</w:t>
      </w:r>
      <w:r>
        <w:rPr>
          <w:rFonts w:hint="eastAsia" w:ascii="宋体" w:hAnsi="宋体" w:eastAsia="宋体" w:cs="宋体"/>
          <w:color w:val="000000" w:themeColor="text1"/>
          <w:sz w:val="28"/>
          <w:szCs w:val="28"/>
          <w:lang w:val="en-US" w:eastAsia="zh-CN"/>
          <w14:textFill>
            <w14:solidFill>
              <w14:schemeClr w14:val="tx1"/>
            </w14:solidFill>
          </w14:textFill>
        </w:rPr>
        <w:t>2009年5月1日起施行</w:t>
      </w:r>
      <w:r>
        <w:rPr>
          <w:rFonts w:hint="eastAsia" w:ascii="宋体" w:hAnsi="宋体" w:eastAsia="宋体" w:cs="宋体"/>
          <w:color w:val="000000" w:themeColor="text1"/>
          <w:sz w:val="28"/>
          <w:szCs w:val="28"/>
          <w:lang w:val="zh-CN"/>
          <w14:textFill>
            <w14:solidFill>
              <w14:schemeClr w14:val="tx1"/>
            </w14:solidFill>
          </w14:textFill>
        </w:rPr>
        <w:t>）；</w:t>
      </w:r>
    </w:p>
    <w:p w14:paraId="16860680">
      <w:pPr>
        <w:keepNext w:val="0"/>
        <w:keepLines w:val="0"/>
        <w:pageBreakBefore w:val="0"/>
        <w:widowControl w:val="0"/>
        <w:numPr>
          <w:ilvl w:val="0"/>
          <w:numId w:val="2"/>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《中华人民共和国可再生能源法》（中华人民共和国主席令</w:t>
      </w:r>
      <w:r>
        <w:rPr>
          <w:rFonts w:hint="eastAsia" w:ascii="宋体" w:hAnsi="宋体" w:eastAsia="宋体" w:cs="宋体"/>
          <w:color w:val="000000" w:themeColor="text1"/>
          <w:sz w:val="28"/>
          <w:szCs w:val="28"/>
          <w14:textFill>
            <w14:solidFill>
              <w14:schemeClr w14:val="tx1"/>
            </w14:solidFill>
          </w14:textFill>
        </w:rPr>
        <w:t>〔20</w:t>
      </w:r>
      <w:r>
        <w:rPr>
          <w:rFonts w:hint="eastAsia" w:ascii="宋体" w:hAnsi="宋体" w:eastAsia="宋体" w:cs="宋体"/>
          <w:color w:val="000000" w:themeColor="text1"/>
          <w:sz w:val="28"/>
          <w:szCs w:val="28"/>
          <w:lang w:val="en-US" w:eastAsia="zh-CN"/>
          <w14:textFill>
            <w14:solidFill>
              <w14:schemeClr w14:val="tx1"/>
            </w14:solidFill>
          </w14:textFill>
        </w:rPr>
        <w:t>09</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val="zh-CN"/>
          <w14:textFill>
            <w14:solidFill>
              <w14:schemeClr w14:val="tx1"/>
            </w14:solidFill>
          </w14:textFill>
        </w:rPr>
        <w:t>第23号修改，</w:t>
      </w:r>
      <w:r>
        <w:rPr>
          <w:rFonts w:hint="eastAsia" w:ascii="宋体" w:hAnsi="宋体" w:eastAsia="宋体" w:cs="宋体"/>
          <w:color w:val="000000" w:themeColor="text1"/>
          <w:sz w:val="28"/>
          <w:szCs w:val="28"/>
          <w:lang w:val="en-US" w:eastAsia="zh-CN"/>
          <w14:textFill>
            <w14:solidFill>
              <w14:schemeClr w14:val="tx1"/>
            </w14:solidFill>
          </w14:textFill>
        </w:rPr>
        <w:t>2010</w:t>
      </w:r>
      <w:r>
        <w:rPr>
          <w:rFonts w:hint="eastAsia" w:ascii="宋体" w:hAnsi="宋体" w:eastAsia="宋体" w:cs="宋体"/>
          <w:color w:val="000000" w:themeColor="text1"/>
          <w:sz w:val="28"/>
          <w:szCs w:val="28"/>
          <w:lang w:val="zh-CN"/>
          <w14:textFill>
            <w14:solidFill>
              <w14:schemeClr w14:val="tx1"/>
            </w14:solidFill>
          </w14:textFill>
        </w:rPr>
        <w:t>年４月１日起施行）；</w:t>
      </w:r>
    </w:p>
    <w:p w14:paraId="228F31BB">
      <w:pPr>
        <w:keepNext w:val="0"/>
        <w:keepLines w:val="0"/>
        <w:pageBreakBefore w:val="0"/>
        <w:widowControl w:val="0"/>
        <w:numPr>
          <w:ilvl w:val="0"/>
          <w:numId w:val="2"/>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《中华人民共和国水土保持法》（中华人民共和国主席令</w:t>
      </w:r>
      <w:r>
        <w:rPr>
          <w:rFonts w:hint="eastAsia" w:ascii="宋体" w:hAnsi="宋体" w:eastAsia="宋体" w:cs="宋体"/>
          <w:color w:val="000000" w:themeColor="text1"/>
          <w:sz w:val="28"/>
          <w:szCs w:val="28"/>
          <w14:textFill>
            <w14:solidFill>
              <w14:schemeClr w14:val="tx1"/>
            </w14:solidFill>
          </w14:textFill>
        </w:rPr>
        <w:t>〔20</w:t>
      </w:r>
      <w:r>
        <w:rPr>
          <w:rFonts w:hint="eastAsia" w:ascii="宋体" w:hAnsi="宋体" w:eastAsia="宋体" w:cs="宋体"/>
          <w:color w:val="000000" w:themeColor="text1"/>
          <w:sz w:val="28"/>
          <w:szCs w:val="28"/>
          <w:lang w:val="en-US" w:eastAsia="zh-CN"/>
          <w14:textFill>
            <w14:solidFill>
              <w14:schemeClr w14:val="tx1"/>
            </w14:solidFill>
          </w14:textFill>
        </w:rPr>
        <w:t>10</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val="zh-CN"/>
          <w14:textFill>
            <w14:solidFill>
              <w14:schemeClr w14:val="tx1"/>
            </w14:solidFill>
          </w14:textFill>
        </w:rPr>
        <w:t>第39号，2011年3月1日起施行）；《中华人民共和国道路交通安全法》（中华人民共和国主席令</w:t>
      </w:r>
      <w:r>
        <w:rPr>
          <w:rFonts w:hint="eastAsia" w:ascii="宋体" w:hAnsi="宋体" w:eastAsia="宋体" w:cs="宋体"/>
          <w:color w:val="000000" w:themeColor="text1"/>
          <w:sz w:val="28"/>
          <w:szCs w:val="28"/>
          <w14:textFill>
            <w14:solidFill>
              <w14:schemeClr w14:val="tx1"/>
            </w14:solidFill>
          </w14:textFill>
        </w:rPr>
        <w:t>〔20</w:t>
      </w:r>
      <w:r>
        <w:rPr>
          <w:rFonts w:hint="eastAsia" w:ascii="宋体" w:hAnsi="宋体" w:eastAsia="宋体" w:cs="宋体"/>
          <w:color w:val="000000" w:themeColor="text1"/>
          <w:sz w:val="28"/>
          <w:szCs w:val="28"/>
          <w:lang w:val="en-US" w:eastAsia="zh-CN"/>
          <w14:textFill>
            <w14:solidFill>
              <w14:schemeClr w14:val="tx1"/>
            </w14:solidFill>
          </w14:textFill>
        </w:rPr>
        <w:t>21</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val="zh-CN"/>
          <w14:textFill>
            <w14:solidFill>
              <w14:schemeClr w14:val="tx1"/>
            </w14:solidFill>
          </w14:textFill>
        </w:rPr>
        <w:t>第</w:t>
      </w:r>
      <w:r>
        <w:rPr>
          <w:rFonts w:hint="eastAsia" w:ascii="宋体" w:hAnsi="宋体" w:eastAsia="宋体" w:cs="宋体"/>
          <w:color w:val="000000" w:themeColor="text1"/>
          <w:sz w:val="28"/>
          <w:szCs w:val="28"/>
          <w:lang w:val="en-US" w:eastAsia="zh-CN"/>
          <w14:textFill>
            <w14:solidFill>
              <w14:schemeClr w14:val="tx1"/>
            </w14:solidFill>
          </w14:textFill>
        </w:rPr>
        <w:t>81</w:t>
      </w:r>
      <w:r>
        <w:rPr>
          <w:rFonts w:hint="eastAsia" w:ascii="宋体" w:hAnsi="宋体" w:eastAsia="宋体" w:cs="宋体"/>
          <w:color w:val="000000" w:themeColor="text1"/>
          <w:sz w:val="28"/>
          <w:szCs w:val="28"/>
          <w:lang w:val="zh-CN"/>
          <w14:textFill>
            <w14:solidFill>
              <w14:schemeClr w14:val="tx1"/>
            </w14:solidFill>
          </w14:textFill>
        </w:rPr>
        <w:t>号修改，</w:t>
      </w:r>
      <w:r>
        <w:rPr>
          <w:rFonts w:hint="eastAsia" w:ascii="宋体" w:hAnsi="宋体" w:eastAsia="宋体" w:cs="宋体"/>
          <w:color w:val="000000" w:themeColor="text1"/>
          <w:sz w:val="28"/>
          <w:szCs w:val="28"/>
          <w:lang w:val="en-US" w:eastAsia="zh-CN"/>
          <w14:textFill>
            <w14:solidFill>
              <w14:schemeClr w14:val="tx1"/>
            </w14:solidFill>
          </w14:textFill>
        </w:rPr>
        <w:t>2021年4月29日</w:t>
      </w:r>
      <w:r>
        <w:rPr>
          <w:rFonts w:hint="eastAsia" w:ascii="宋体" w:hAnsi="宋体" w:eastAsia="宋体" w:cs="宋体"/>
          <w:color w:val="000000" w:themeColor="text1"/>
          <w:sz w:val="28"/>
          <w:szCs w:val="28"/>
          <w:lang w:val="zh-CN"/>
          <w14:textFill>
            <w14:solidFill>
              <w14:schemeClr w14:val="tx1"/>
            </w14:solidFill>
          </w14:textFill>
        </w:rPr>
        <w:t>起施行）；</w:t>
      </w:r>
    </w:p>
    <w:p w14:paraId="793FF730">
      <w:pPr>
        <w:keepNext w:val="0"/>
        <w:keepLines w:val="0"/>
        <w:pageBreakBefore w:val="0"/>
        <w:widowControl w:val="0"/>
        <w:numPr>
          <w:ilvl w:val="0"/>
          <w:numId w:val="2"/>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《中华人民共和国清洁生产促进法》（中华人民共和国主席令〔20</w:t>
      </w:r>
      <w:r>
        <w:rPr>
          <w:rFonts w:hint="eastAsia" w:ascii="宋体" w:hAnsi="宋体" w:eastAsia="宋体" w:cs="宋体"/>
          <w:color w:val="000000" w:themeColor="text1"/>
          <w:sz w:val="28"/>
          <w:szCs w:val="28"/>
          <w:lang w:val="en-US" w:eastAsia="zh-CN"/>
          <w14:textFill>
            <w14:solidFill>
              <w14:schemeClr w14:val="tx1"/>
            </w14:solidFill>
          </w14:textFill>
        </w:rPr>
        <w:t>12</w:t>
      </w:r>
      <w:r>
        <w:rPr>
          <w:rFonts w:hint="eastAsia" w:ascii="宋体" w:hAnsi="宋体" w:eastAsia="宋体" w:cs="宋体"/>
          <w:color w:val="000000" w:themeColor="text1"/>
          <w:sz w:val="28"/>
          <w:szCs w:val="28"/>
          <w:lang w:val="zh-CN"/>
          <w14:textFill>
            <w14:solidFill>
              <w14:schemeClr w14:val="tx1"/>
            </w14:solidFill>
          </w14:textFill>
        </w:rPr>
        <w:t>〕第54号，</w:t>
      </w:r>
      <w:r>
        <w:rPr>
          <w:rFonts w:hint="eastAsia" w:ascii="宋体" w:hAnsi="宋体" w:eastAsia="宋体" w:cs="宋体"/>
          <w:color w:val="000000" w:themeColor="text1"/>
          <w:sz w:val="28"/>
          <w:szCs w:val="28"/>
          <w:lang w:val="en-US" w:eastAsia="zh-CN"/>
          <w14:textFill>
            <w14:solidFill>
              <w14:schemeClr w14:val="tx1"/>
            </w14:solidFill>
          </w14:textFill>
        </w:rPr>
        <w:t>2012</w:t>
      </w:r>
      <w:r>
        <w:rPr>
          <w:rFonts w:hint="eastAsia" w:ascii="宋体" w:hAnsi="宋体" w:eastAsia="宋体" w:cs="宋体"/>
          <w:color w:val="000000" w:themeColor="text1"/>
          <w:sz w:val="28"/>
          <w:szCs w:val="28"/>
          <w:lang w:val="zh-CN"/>
          <w14:textFill>
            <w14:solidFill>
              <w14:schemeClr w14:val="tx1"/>
            </w14:solidFill>
          </w14:textFill>
        </w:rPr>
        <w:t>年</w:t>
      </w:r>
      <w:r>
        <w:rPr>
          <w:rFonts w:hint="eastAsia" w:ascii="宋体" w:hAnsi="宋体" w:eastAsia="宋体" w:cs="宋体"/>
          <w:color w:val="000000" w:themeColor="text1"/>
          <w:sz w:val="28"/>
          <w:szCs w:val="28"/>
          <w:lang w:val="en-US" w:eastAsia="zh-CN"/>
          <w14:textFill>
            <w14:solidFill>
              <w14:schemeClr w14:val="tx1"/>
            </w14:solidFill>
          </w14:textFill>
        </w:rPr>
        <w:t>7</w:t>
      </w:r>
      <w:r>
        <w:rPr>
          <w:rFonts w:hint="eastAsia" w:ascii="宋体" w:hAnsi="宋体" w:eastAsia="宋体" w:cs="宋体"/>
          <w:color w:val="000000" w:themeColor="text1"/>
          <w:sz w:val="28"/>
          <w:szCs w:val="28"/>
          <w:lang w:val="zh-CN"/>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1</w:t>
      </w:r>
      <w:r>
        <w:rPr>
          <w:rFonts w:hint="eastAsia" w:ascii="宋体" w:hAnsi="宋体" w:eastAsia="宋体" w:cs="宋体"/>
          <w:color w:val="000000" w:themeColor="text1"/>
          <w:sz w:val="28"/>
          <w:szCs w:val="28"/>
          <w:lang w:val="zh-CN"/>
          <w14:textFill>
            <w14:solidFill>
              <w14:schemeClr w14:val="tx1"/>
            </w14:solidFill>
          </w14:textFill>
        </w:rPr>
        <w:t>日起施行）；</w:t>
      </w:r>
    </w:p>
    <w:p w14:paraId="0DFE50A3">
      <w:pPr>
        <w:keepNext w:val="0"/>
        <w:keepLines w:val="0"/>
        <w:pageBreakBefore w:val="0"/>
        <w:widowControl w:val="0"/>
        <w:numPr>
          <w:ilvl w:val="0"/>
          <w:numId w:val="2"/>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《中华人民共和国网络安全法》（中华人民共和国主席令〔20</w:t>
      </w:r>
      <w:r>
        <w:rPr>
          <w:rFonts w:hint="eastAsia" w:ascii="宋体" w:hAnsi="宋体" w:eastAsia="宋体" w:cs="宋体"/>
          <w:color w:val="000000" w:themeColor="text1"/>
          <w:sz w:val="28"/>
          <w:szCs w:val="28"/>
          <w:lang w:val="en-US" w:eastAsia="zh-CN"/>
          <w14:textFill>
            <w14:solidFill>
              <w14:schemeClr w14:val="tx1"/>
            </w14:solidFill>
          </w14:textFill>
        </w:rPr>
        <w:t>16</w:t>
      </w:r>
      <w:r>
        <w:rPr>
          <w:rFonts w:hint="eastAsia" w:ascii="宋体" w:hAnsi="宋体" w:eastAsia="宋体" w:cs="宋体"/>
          <w:color w:val="000000" w:themeColor="text1"/>
          <w:sz w:val="28"/>
          <w:szCs w:val="28"/>
          <w:lang w:val="zh-CN"/>
          <w14:textFill>
            <w14:solidFill>
              <w14:schemeClr w14:val="tx1"/>
            </w14:solidFill>
          </w14:textFill>
        </w:rPr>
        <w:t>〕第53号，2017年6月1日施行）；</w:t>
      </w:r>
    </w:p>
    <w:p w14:paraId="438AFAE5">
      <w:pPr>
        <w:keepNext w:val="0"/>
        <w:keepLines w:val="0"/>
        <w:pageBreakBefore w:val="0"/>
        <w:widowControl w:val="0"/>
        <w:numPr>
          <w:ilvl w:val="0"/>
          <w:numId w:val="2"/>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Times New Roman"/>
          <w:kern w:val="2"/>
          <w:sz w:val="28"/>
          <w:szCs w:val="28"/>
          <w:lang w:val="zh-CN" w:eastAsia="zh-CN" w:bidi="ar-SA"/>
        </w:rPr>
      </w:pPr>
      <w:r>
        <w:rPr>
          <w:rFonts w:hint="eastAsia" w:ascii="宋体" w:hAnsi="宋体" w:eastAsia="宋体" w:cs="宋体"/>
          <w:color w:val="000000" w:themeColor="text1"/>
          <w:sz w:val="28"/>
          <w:szCs w:val="28"/>
          <w:lang w:val="zh-CN"/>
          <w14:textFill>
            <w14:solidFill>
              <w14:schemeClr w14:val="tx1"/>
            </w14:solidFill>
          </w14:textFill>
        </w:rPr>
        <w:t>《中华人民共和国电力法》（中华人民共和国主席令〔20</w:t>
      </w:r>
      <w:r>
        <w:rPr>
          <w:rFonts w:hint="eastAsia" w:ascii="宋体" w:hAnsi="宋体" w:eastAsia="宋体" w:cs="宋体"/>
          <w:color w:val="000000" w:themeColor="text1"/>
          <w:sz w:val="28"/>
          <w:szCs w:val="28"/>
          <w:lang w:val="en-US" w:eastAsia="zh-CN"/>
          <w14:textFill>
            <w14:solidFill>
              <w14:schemeClr w14:val="tx1"/>
            </w14:solidFill>
          </w14:textFill>
        </w:rPr>
        <w:t>18</w:t>
      </w:r>
      <w:r>
        <w:rPr>
          <w:rFonts w:hint="eastAsia" w:ascii="宋体" w:hAnsi="宋体" w:eastAsia="宋体" w:cs="宋体"/>
          <w:color w:val="000000" w:themeColor="text1"/>
          <w:sz w:val="28"/>
          <w:szCs w:val="28"/>
          <w:lang w:val="zh-CN"/>
          <w14:textFill>
            <w14:solidFill>
              <w14:schemeClr w14:val="tx1"/>
            </w14:solidFill>
          </w14:textFill>
        </w:rPr>
        <w:t>〕第23号，2018年12月29日）；</w:t>
      </w:r>
    </w:p>
    <w:p w14:paraId="0E07A346">
      <w:pPr>
        <w:keepNext w:val="0"/>
        <w:keepLines w:val="0"/>
        <w:pageBreakBefore w:val="0"/>
        <w:widowControl w:val="0"/>
        <w:numPr>
          <w:ilvl w:val="0"/>
          <w:numId w:val="2"/>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Times New Roman"/>
          <w:kern w:val="2"/>
          <w:sz w:val="28"/>
          <w:szCs w:val="28"/>
          <w:lang w:val="zh-CN" w:eastAsia="zh-CN" w:bidi="ar-SA"/>
        </w:rPr>
      </w:pPr>
      <w:r>
        <w:rPr>
          <w:rFonts w:hint="eastAsia" w:ascii="宋体" w:hAnsi="宋体" w:eastAsia="宋体" w:cs="宋体"/>
          <w:color w:val="000000" w:themeColor="text1"/>
          <w:sz w:val="28"/>
          <w:szCs w:val="28"/>
          <w:lang w:val="zh-CN" w:eastAsia="zh-CN"/>
          <w14:textFill>
            <w14:solidFill>
              <w14:schemeClr w14:val="tx1"/>
            </w14:solidFill>
          </w14:textFill>
        </w:rPr>
        <w:t>《中华人民共和国突发事件应对法》（中华人民共和国主席令第</w:t>
      </w:r>
      <w:r>
        <w:rPr>
          <w:rFonts w:hint="eastAsia" w:ascii="宋体" w:hAnsi="宋体" w:eastAsia="宋体" w:cs="宋体"/>
          <w:color w:val="000000" w:themeColor="text1"/>
          <w:sz w:val="28"/>
          <w:szCs w:val="28"/>
          <w:lang w:val="en-US" w:eastAsia="zh-CN"/>
          <w14:textFill>
            <w14:solidFill>
              <w14:schemeClr w14:val="tx1"/>
            </w14:solidFill>
          </w14:textFill>
        </w:rPr>
        <w:t>25</w:t>
      </w:r>
      <w:r>
        <w:rPr>
          <w:rFonts w:hint="eastAsia" w:ascii="宋体" w:hAnsi="宋体" w:eastAsia="宋体" w:cs="宋体"/>
          <w:color w:val="000000" w:themeColor="text1"/>
          <w:sz w:val="28"/>
          <w:szCs w:val="28"/>
          <w:lang w:val="zh-CN" w:eastAsia="zh-CN"/>
          <w14:textFill>
            <w14:solidFill>
              <w14:schemeClr w14:val="tx1"/>
            </w14:solidFill>
          </w14:textFill>
        </w:rPr>
        <w:t>号，自20</w:t>
      </w:r>
      <w:r>
        <w:rPr>
          <w:rFonts w:hint="eastAsia" w:ascii="宋体" w:hAnsi="宋体" w:eastAsia="宋体" w:cs="宋体"/>
          <w:color w:val="000000" w:themeColor="text1"/>
          <w:sz w:val="28"/>
          <w:szCs w:val="28"/>
          <w:lang w:val="en-US" w:eastAsia="zh-CN"/>
          <w14:textFill>
            <w14:solidFill>
              <w14:schemeClr w14:val="tx1"/>
            </w14:solidFill>
          </w14:textFill>
        </w:rPr>
        <w:t>24</w:t>
      </w:r>
      <w:r>
        <w:rPr>
          <w:rFonts w:hint="eastAsia" w:ascii="宋体" w:hAnsi="宋体" w:eastAsia="宋体" w:cs="宋体"/>
          <w:color w:val="000000" w:themeColor="text1"/>
          <w:sz w:val="28"/>
          <w:szCs w:val="28"/>
          <w:lang w:val="zh-CN" w:eastAsia="zh-CN"/>
          <w14:textFill>
            <w14:solidFill>
              <w14:schemeClr w14:val="tx1"/>
            </w14:solidFill>
          </w14:textFill>
        </w:rPr>
        <w:t>年11月1日起施行）。</w:t>
      </w:r>
    </w:p>
    <w:bookmarkEnd w:id="63"/>
    <w:bookmarkEnd w:id="64"/>
    <w:bookmarkEnd w:id="65"/>
    <w:bookmarkEnd w:id="66"/>
    <w:p w14:paraId="7D42F37E">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lang w:val="en-US" w:eastAsia="zh-CN"/>
        </w:rPr>
      </w:pPr>
      <w:bookmarkStart w:id="67" w:name="_Toc13744"/>
      <w:bookmarkStart w:id="68" w:name="_Toc1496"/>
      <w:bookmarkStart w:id="69" w:name="_Toc22560"/>
      <w:bookmarkStart w:id="70" w:name="_Toc3876"/>
      <w:bookmarkStart w:id="71" w:name="_Toc11730"/>
      <w:bookmarkStart w:id="72" w:name="_Toc9380"/>
      <w:bookmarkStart w:id="73" w:name="_Toc516044443"/>
      <w:bookmarkStart w:id="74" w:name="_Toc407974008"/>
      <w:bookmarkStart w:id="75" w:name="_Toc228793639"/>
      <w:r>
        <w:rPr>
          <w:rFonts w:hint="eastAsia" w:ascii="宋体" w:hAnsi="宋体" w:eastAsia="宋体" w:cs="宋体"/>
          <w:b/>
          <w:bCs/>
          <w:lang w:val="en-US" w:eastAsia="zh-CN"/>
        </w:rPr>
        <w:t>1.2.2行政法规</w:t>
      </w:r>
      <w:bookmarkEnd w:id="67"/>
      <w:bookmarkEnd w:id="68"/>
      <w:bookmarkEnd w:id="69"/>
      <w:bookmarkEnd w:id="70"/>
      <w:bookmarkEnd w:id="71"/>
      <w:bookmarkEnd w:id="72"/>
    </w:p>
    <w:bookmarkEnd w:id="73"/>
    <w:bookmarkEnd w:id="74"/>
    <w:bookmarkEnd w:id="75"/>
    <w:p w14:paraId="2105B794">
      <w:pPr>
        <w:keepNext w:val="0"/>
        <w:keepLines w:val="0"/>
        <w:pageBreakBefore w:val="0"/>
        <w:widowControl w:val="0"/>
        <w:numPr>
          <w:ilvl w:val="0"/>
          <w:numId w:val="3"/>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bookmarkStart w:id="76" w:name="_Toc375986093"/>
      <w:bookmarkStart w:id="77" w:name="_Toc343599508"/>
      <w:bookmarkStart w:id="78" w:name="_Toc378336460"/>
      <w:bookmarkStart w:id="79" w:name="_Toc391045940"/>
      <w:bookmarkStart w:id="80" w:name="_Toc15818"/>
      <w:bookmarkStart w:id="81" w:name="_Toc23239"/>
      <w:bookmarkStart w:id="82" w:name="_Toc407974009"/>
      <w:bookmarkStart w:id="83" w:name="_Toc516044444"/>
      <w:bookmarkStart w:id="84" w:name="_Toc228793640"/>
      <w:r>
        <w:rPr>
          <w:rFonts w:hint="eastAsia" w:ascii="宋体" w:hAnsi="宋体" w:eastAsia="宋体" w:cs="宋体"/>
          <w:color w:val="000000" w:themeColor="text1"/>
          <w:sz w:val="28"/>
          <w:szCs w:val="28"/>
          <w14:textFill>
            <w14:solidFill>
              <w14:schemeClr w14:val="tx1"/>
            </w14:solidFill>
          </w14:textFill>
        </w:rPr>
        <w:t>《生产安全事故应急条例》（中华人民共和国国务院令第708号，2019年4月1日实施）；</w:t>
      </w:r>
    </w:p>
    <w:p w14:paraId="13940530">
      <w:pPr>
        <w:keepNext w:val="0"/>
        <w:keepLines w:val="0"/>
        <w:pageBreakBefore w:val="0"/>
        <w:widowControl w:val="0"/>
        <w:numPr>
          <w:ilvl w:val="0"/>
          <w:numId w:val="3"/>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《生产安全事故报告和调查处理条例》（中华人民共和国国务院令第493号，2007年6月1日起施行）；</w:t>
      </w:r>
    </w:p>
    <w:p w14:paraId="0C7A1393">
      <w:pPr>
        <w:keepNext w:val="0"/>
        <w:keepLines w:val="0"/>
        <w:pageBreakBefore w:val="0"/>
        <w:widowControl w:val="0"/>
        <w:numPr>
          <w:ilvl w:val="0"/>
          <w:numId w:val="3"/>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《特种设备安全监察条例》（2003年3月11日中华人民共和国国务院令第373号公布，国务院令第549号修订，自2009年5月1日起施行）；</w:t>
      </w:r>
    </w:p>
    <w:p w14:paraId="1A42CC12">
      <w:pPr>
        <w:keepNext w:val="0"/>
        <w:keepLines w:val="0"/>
        <w:pageBreakBefore w:val="0"/>
        <w:widowControl w:val="0"/>
        <w:numPr>
          <w:ilvl w:val="0"/>
          <w:numId w:val="3"/>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《工伤保险条例》（2003年4月27日中华人民共和国国务院令第375号公布，根据2010年12月20日《国务院关于修改〈工伤保险条例〉的决定》（中华人民共和国国务院令第586号）修订）；</w:t>
      </w:r>
    </w:p>
    <w:p w14:paraId="758F95EB">
      <w:pPr>
        <w:keepNext w:val="0"/>
        <w:keepLines w:val="0"/>
        <w:pageBreakBefore w:val="0"/>
        <w:widowControl w:val="0"/>
        <w:numPr>
          <w:ilvl w:val="0"/>
          <w:numId w:val="3"/>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《危险化学品安全管理条例》（中华人民共和国国务院令第591号，根据中华人民共和国国务院令第645号修订，2013年12月7日施行）；</w:t>
      </w:r>
    </w:p>
    <w:p w14:paraId="3E32F2AE">
      <w:pPr>
        <w:keepNext w:val="0"/>
        <w:keepLines w:val="0"/>
        <w:pageBreakBefore w:val="0"/>
        <w:widowControl w:val="0"/>
        <w:numPr>
          <w:ilvl w:val="0"/>
          <w:numId w:val="3"/>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《易制毒化学品管理条例》（中华人民共和国国务院令第445号公布，根据2018年9月18日《国务院关于修改部分行政法规的决定》第三次修订）；</w:t>
      </w:r>
    </w:p>
    <w:p w14:paraId="3D76FF59">
      <w:pPr>
        <w:keepNext w:val="0"/>
        <w:keepLines w:val="0"/>
        <w:pageBreakBefore w:val="0"/>
        <w:widowControl w:val="0"/>
        <w:numPr>
          <w:ilvl w:val="0"/>
          <w:numId w:val="3"/>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《中华人民共和国监控化学品管理条例》（中华人民共和国国务院令第190号发布，根据2011年1月8日《国务院关于废止和修改部分行政法规的决定》修订）；</w:t>
      </w:r>
    </w:p>
    <w:p w14:paraId="14BE4FF2">
      <w:pPr>
        <w:keepNext w:val="0"/>
        <w:keepLines w:val="0"/>
        <w:pageBreakBefore w:val="0"/>
        <w:widowControl w:val="0"/>
        <w:numPr>
          <w:ilvl w:val="0"/>
          <w:numId w:val="3"/>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《中华人民共和国劳动合同法实施条例》（2008年9月3日国务院第25次常务会议通过，2008年9月18日中华人民共和国国务院令第535号公布自公布之日起施行）。</w:t>
      </w:r>
    </w:p>
    <w:p w14:paraId="7AD705A8">
      <w:pPr>
        <w:keepNext w:val="0"/>
        <w:keepLines w:val="0"/>
        <w:pageBreakBefore w:val="0"/>
        <w:widowControl w:val="0"/>
        <w:numPr>
          <w:ilvl w:val="0"/>
          <w:numId w:val="3"/>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kern w:val="0"/>
          <w:sz w:val="28"/>
          <w:szCs w:val="28"/>
          <w:lang w:bidi="ar"/>
          <w14:textFill>
            <w14:solidFill>
              <w14:schemeClr w14:val="tx1"/>
            </w14:solidFill>
          </w14:textFill>
        </w:rPr>
        <w:t>《建设工程质量管理条例</w:t>
      </w: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国务院令第279号</w:t>
      </w:r>
      <w:r>
        <w:rPr>
          <w:rFonts w:hint="eastAsia" w:ascii="宋体" w:hAnsi="宋体" w:eastAsia="宋体" w:cs="宋体"/>
          <w:color w:val="000000" w:themeColor="text1"/>
          <w:kern w:val="0"/>
          <w:sz w:val="28"/>
          <w:szCs w:val="28"/>
          <w:lang w:eastAsia="zh-CN" w:bidi="ar"/>
          <w14:textFill>
            <w14:solidFill>
              <w14:schemeClr w14:val="tx1"/>
            </w14:solidFill>
          </w14:textFill>
        </w:rPr>
        <w:t>，</w:t>
      </w:r>
      <w:r>
        <w:rPr>
          <w:rFonts w:hint="eastAsia" w:ascii="宋体" w:hAnsi="宋体" w:eastAsia="宋体" w:cs="宋体"/>
          <w:color w:val="000000" w:themeColor="text1"/>
          <w:sz w:val="28"/>
          <w:szCs w:val="28"/>
          <w:lang w:val="zh-CN"/>
          <w14:textFill>
            <w14:solidFill>
              <w14:schemeClr w14:val="tx1"/>
            </w14:solidFill>
          </w14:textFill>
        </w:rPr>
        <w:t>200</w:t>
      </w:r>
      <w:r>
        <w:rPr>
          <w:rFonts w:hint="eastAsia" w:ascii="宋体" w:hAnsi="宋体" w:eastAsia="宋体" w:cs="宋体"/>
          <w:color w:val="000000" w:themeColor="text1"/>
          <w:sz w:val="28"/>
          <w:szCs w:val="28"/>
          <w:lang w:val="en-US" w:eastAsia="zh-CN"/>
          <w14:textFill>
            <w14:solidFill>
              <w14:schemeClr w14:val="tx1"/>
            </w14:solidFill>
          </w14:textFill>
        </w:rPr>
        <w:t>0</w:t>
      </w:r>
      <w:r>
        <w:rPr>
          <w:rFonts w:hint="eastAsia" w:ascii="宋体" w:hAnsi="宋体" w:eastAsia="宋体" w:cs="宋体"/>
          <w:color w:val="000000" w:themeColor="text1"/>
          <w:sz w:val="28"/>
          <w:szCs w:val="28"/>
          <w:lang w:val="zh-CN"/>
          <w14:textFill>
            <w14:solidFill>
              <w14:schemeClr w14:val="tx1"/>
            </w14:solidFill>
          </w14:textFill>
        </w:rPr>
        <w:t>年</w:t>
      </w:r>
      <w:r>
        <w:rPr>
          <w:rFonts w:hint="eastAsia" w:ascii="宋体" w:hAnsi="宋体" w:eastAsia="宋体" w:cs="宋体"/>
          <w:color w:val="000000" w:themeColor="text1"/>
          <w:sz w:val="28"/>
          <w:szCs w:val="28"/>
          <w:lang w:val="en-US" w:eastAsia="zh-CN"/>
          <w14:textFill>
            <w14:solidFill>
              <w14:schemeClr w14:val="tx1"/>
            </w14:solidFill>
          </w14:textFill>
        </w:rPr>
        <w:t>1</w:t>
      </w:r>
      <w:r>
        <w:rPr>
          <w:rFonts w:hint="eastAsia" w:ascii="宋体" w:hAnsi="宋体" w:eastAsia="宋体" w:cs="宋体"/>
          <w:color w:val="000000" w:themeColor="text1"/>
          <w:sz w:val="28"/>
          <w:szCs w:val="28"/>
          <w:lang w:val="zh-CN"/>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30</w:t>
      </w:r>
      <w:r>
        <w:rPr>
          <w:rFonts w:hint="eastAsia" w:ascii="宋体" w:hAnsi="宋体" w:eastAsia="宋体" w:cs="宋体"/>
          <w:color w:val="000000" w:themeColor="text1"/>
          <w:sz w:val="28"/>
          <w:szCs w:val="28"/>
          <w:lang w:val="zh-CN"/>
          <w14:textFill>
            <w14:solidFill>
              <w14:schemeClr w14:val="tx1"/>
            </w14:solidFill>
          </w14:textFill>
        </w:rPr>
        <w:t>日施行）；</w:t>
      </w:r>
    </w:p>
    <w:p w14:paraId="244513F5">
      <w:pPr>
        <w:keepNext w:val="0"/>
        <w:keepLines w:val="0"/>
        <w:pageBreakBefore w:val="0"/>
        <w:widowControl w:val="0"/>
        <w:numPr>
          <w:ilvl w:val="0"/>
          <w:numId w:val="3"/>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《建设工程安全生产管理条例》（国务院令393号，2004年2月1日施行）；</w:t>
      </w:r>
    </w:p>
    <w:p w14:paraId="036ABB16">
      <w:pPr>
        <w:keepNext w:val="0"/>
        <w:keepLines w:val="0"/>
        <w:pageBreakBefore w:val="0"/>
        <w:widowControl w:val="0"/>
        <w:numPr>
          <w:ilvl w:val="0"/>
          <w:numId w:val="3"/>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kern w:val="0"/>
          <w:sz w:val="28"/>
          <w:szCs w:val="28"/>
          <w:lang w:bidi="ar"/>
          <w14:textFill>
            <w14:solidFill>
              <w14:schemeClr w14:val="tx1"/>
            </w14:solidFill>
          </w14:textFill>
        </w:rPr>
      </w:pPr>
      <w:r>
        <w:rPr>
          <w:rFonts w:hint="eastAsia" w:ascii="宋体" w:hAnsi="宋体" w:eastAsia="宋体" w:cs="宋体"/>
          <w:color w:val="000000" w:themeColor="text1"/>
          <w:kern w:val="0"/>
          <w:sz w:val="28"/>
          <w:szCs w:val="28"/>
          <w:lang w:bidi="ar"/>
          <w14:textFill>
            <w14:solidFill>
              <w14:schemeClr w14:val="tx1"/>
            </w14:solidFill>
          </w14:textFill>
        </w:rPr>
        <w:t>《电力监管条例</w:t>
      </w:r>
      <w:r>
        <w:rPr>
          <w:rFonts w:hint="eastAsia" w:ascii="宋体" w:hAnsi="宋体" w:eastAsia="宋体" w:cs="宋体"/>
          <w:color w:val="000000" w:themeColor="text1"/>
          <w:kern w:val="0"/>
          <w:sz w:val="28"/>
          <w:szCs w:val="28"/>
          <w:lang w:val="zh-CN" w:bidi="ar"/>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国务院</w:t>
      </w:r>
      <w:r>
        <w:rPr>
          <w:rFonts w:hint="eastAsia" w:ascii="宋体" w:hAnsi="宋体" w:eastAsia="宋体" w:cs="宋体"/>
          <w:color w:val="000000" w:themeColor="text1"/>
          <w:kern w:val="0"/>
          <w:sz w:val="28"/>
          <w:szCs w:val="28"/>
          <w:lang w:val="en-US" w:eastAsia="zh-CN" w:bidi="ar"/>
          <w14:textFill>
            <w14:solidFill>
              <w14:schemeClr w14:val="tx1"/>
            </w14:solidFill>
          </w14:textFill>
        </w:rPr>
        <w:t>令</w:t>
      </w:r>
      <w:r>
        <w:rPr>
          <w:rFonts w:hint="eastAsia" w:ascii="宋体" w:hAnsi="宋体" w:eastAsia="宋体" w:cs="宋体"/>
          <w:color w:val="000000" w:themeColor="text1"/>
          <w:kern w:val="0"/>
          <w:sz w:val="28"/>
          <w:szCs w:val="28"/>
          <w:lang w:bidi="ar"/>
          <w14:textFill>
            <w14:solidFill>
              <w14:schemeClr w14:val="tx1"/>
            </w14:solidFill>
          </w14:textFill>
        </w:rPr>
        <w:t>第43</w:t>
      </w:r>
      <w:r>
        <w:rPr>
          <w:rFonts w:hint="eastAsia" w:ascii="宋体" w:hAnsi="宋体" w:eastAsia="宋体" w:cs="宋体"/>
          <w:color w:val="000000" w:themeColor="text1"/>
          <w:kern w:val="0"/>
          <w:sz w:val="28"/>
          <w:szCs w:val="28"/>
          <w:lang w:val="en-US" w:eastAsia="zh-CN" w:bidi="ar"/>
          <w14:textFill>
            <w14:solidFill>
              <w14:schemeClr w14:val="tx1"/>
            </w14:solidFill>
          </w14:textFill>
        </w:rPr>
        <w:t>2</w:t>
      </w:r>
      <w:r>
        <w:rPr>
          <w:rFonts w:hint="eastAsia" w:ascii="宋体" w:hAnsi="宋体" w:eastAsia="宋体" w:cs="宋体"/>
          <w:color w:val="000000" w:themeColor="text1"/>
          <w:kern w:val="0"/>
          <w:sz w:val="28"/>
          <w:szCs w:val="28"/>
          <w:lang w:bidi="ar"/>
          <w14:textFill>
            <w14:solidFill>
              <w14:schemeClr w14:val="tx1"/>
            </w14:solidFill>
          </w14:textFill>
        </w:rPr>
        <w:t>号</w:t>
      </w:r>
      <w:r>
        <w:rPr>
          <w:rFonts w:hint="eastAsia" w:ascii="宋体" w:hAnsi="宋体" w:eastAsia="宋体" w:cs="宋体"/>
          <w:color w:val="000000" w:themeColor="text1"/>
          <w:kern w:val="0"/>
          <w:sz w:val="28"/>
          <w:szCs w:val="28"/>
          <w:lang w:eastAsia="zh-CN" w:bidi="ar"/>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2005年5月1日起施行</w:t>
      </w:r>
      <w:r>
        <w:rPr>
          <w:rFonts w:hint="eastAsia" w:ascii="宋体" w:hAnsi="宋体" w:eastAsia="宋体" w:cs="宋体"/>
          <w:color w:val="000000" w:themeColor="text1"/>
          <w:kern w:val="0"/>
          <w:sz w:val="28"/>
          <w:szCs w:val="28"/>
          <w:lang w:val="zh-CN" w:bidi="ar"/>
          <w14:textFill>
            <w14:solidFill>
              <w14:schemeClr w14:val="tx1"/>
            </w14:solidFill>
          </w14:textFill>
        </w:rPr>
        <w:t>）；</w:t>
      </w:r>
    </w:p>
    <w:p w14:paraId="6FFAE9BC">
      <w:pPr>
        <w:keepNext w:val="0"/>
        <w:keepLines w:val="0"/>
        <w:pageBreakBefore w:val="0"/>
        <w:widowControl w:val="0"/>
        <w:numPr>
          <w:ilvl w:val="0"/>
          <w:numId w:val="3"/>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bidi="ar"/>
          <w14:textFill>
            <w14:solidFill>
              <w14:schemeClr w14:val="tx1"/>
            </w14:solidFill>
          </w14:textFill>
        </w:rPr>
        <w:t>《电力设施保护条例</w:t>
      </w: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国务院令第239号</w:t>
      </w:r>
      <w:r>
        <w:rPr>
          <w:rFonts w:hint="eastAsia" w:ascii="宋体" w:hAnsi="宋体" w:eastAsia="宋体" w:cs="宋体"/>
          <w:color w:val="000000" w:themeColor="text1"/>
          <w:kern w:val="0"/>
          <w:sz w:val="28"/>
          <w:szCs w:val="28"/>
          <w:lang w:eastAsia="zh-CN" w:bidi="ar"/>
          <w14:textFill>
            <w14:solidFill>
              <w14:schemeClr w14:val="tx1"/>
            </w14:solidFill>
          </w14:textFill>
        </w:rPr>
        <w:t>，</w:t>
      </w:r>
      <w:r>
        <w:rPr>
          <w:rFonts w:hint="eastAsia" w:ascii="宋体" w:hAnsi="宋体" w:cs="宋体"/>
          <w:color w:val="000000" w:themeColor="text1"/>
          <w:kern w:val="0"/>
          <w:sz w:val="28"/>
          <w:szCs w:val="28"/>
          <w:lang w:val="en-US" w:eastAsia="zh-CN" w:bidi="ar"/>
          <w14:textFill>
            <w14:solidFill>
              <w14:schemeClr w14:val="tx1"/>
            </w14:solidFill>
          </w14:textFill>
        </w:rPr>
        <w:t>2011</w:t>
      </w:r>
      <w:r>
        <w:rPr>
          <w:rFonts w:hint="eastAsia" w:ascii="宋体" w:hAnsi="宋体" w:eastAsia="宋体" w:cs="宋体"/>
          <w:color w:val="000000" w:themeColor="text1"/>
          <w:kern w:val="0"/>
          <w:sz w:val="28"/>
          <w:szCs w:val="28"/>
          <w:lang w:eastAsia="zh-CN" w:bidi="ar"/>
          <w14:textFill>
            <w14:solidFill>
              <w14:schemeClr w14:val="tx1"/>
            </w14:solidFill>
          </w14:textFill>
        </w:rPr>
        <w:t>年1月</w:t>
      </w:r>
      <w:r>
        <w:rPr>
          <w:rFonts w:hint="eastAsia" w:ascii="宋体" w:hAnsi="宋体" w:cs="宋体"/>
          <w:color w:val="000000" w:themeColor="text1"/>
          <w:kern w:val="0"/>
          <w:sz w:val="28"/>
          <w:szCs w:val="28"/>
          <w:lang w:val="en-US" w:eastAsia="zh-CN" w:bidi="ar"/>
          <w14:textFill>
            <w14:solidFill>
              <w14:schemeClr w14:val="tx1"/>
            </w14:solidFill>
          </w14:textFill>
        </w:rPr>
        <w:t>8</w:t>
      </w:r>
      <w:r>
        <w:rPr>
          <w:rFonts w:hint="eastAsia" w:ascii="宋体" w:hAnsi="宋体" w:eastAsia="宋体" w:cs="宋体"/>
          <w:color w:val="000000" w:themeColor="text1"/>
          <w:kern w:val="0"/>
          <w:sz w:val="28"/>
          <w:szCs w:val="28"/>
          <w:lang w:eastAsia="zh-CN" w:bidi="ar"/>
          <w14:textFill>
            <w14:solidFill>
              <w14:schemeClr w14:val="tx1"/>
            </w14:solidFill>
          </w14:textFill>
        </w:rPr>
        <w:t>日</w:t>
      </w:r>
      <w:r>
        <w:rPr>
          <w:rFonts w:hint="eastAsia" w:ascii="宋体" w:hAnsi="宋体" w:eastAsia="宋体" w:cs="宋体"/>
          <w:color w:val="000000" w:themeColor="text1"/>
          <w:kern w:val="0"/>
          <w:sz w:val="28"/>
          <w:szCs w:val="28"/>
          <w:lang w:bidi="ar"/>
          <w14:textFill>
            <w14:solidFill>
              <w14:schemeClr w14:val="tx1"/>
            </w14:solidFill>
          </w14:textFill>
        </w:rPr>
        <w:t>起施行</w:t>
      </w:r>
      <w:r>
        <w:rPr>
          <w:rFonts w:hint="eastAsia" w:ascii="宋体" w:hAnsi="宋体" w:eastAsia="宋体" w:cs="宋体"/>
          <w:color w:val="000000" w:themeColor="text1"/>
          <w:sz w:val="28"/>
          <w:szCs w:val="28"/>
          <w:lang w:val="zh-CN"/>
          <w14:textFill>
            <w14:solidFill>
              <w14:schemeClr w14:val="tx1"/>
            </w14:solidFill>
          </w14:textFill>
        </w:rPr>
        <w:t>）；</w:t>
      </w:r>
    </w:p>
    <w:p w14:paraId="1D7AE0F8">
      <w:pPr>
        <w:keepNext w:val="0"/>
        <w:keepLines w:val="0"/>
        <w:pageBreakBefore w:val="0"/>
        <w:widowControl w:val="0"/>
        <w:numPr>
          <w:ilvl w:val="0"/>
          <w:numId w:val="3"/>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kern w:val="2"/>
          <w:sz w:val="28"/>
          <w:szCs w:val="28"/>
          <w:lang w:val="zh-CN" w:eastAsia="zh-CN" w:bidi="ar-SA"/>
        </w:rPr>
      </w:pPr>
      <w:r>
        <w:rPr>
          <w:rFonts w:hint="eastAsia" w:ascii="宋体" w:hAnsi="宋体" w:eastAsia="宋体" w:cs="宋体"/>
          <w:color w:val="000000" w:themeColor="text1"/>
          <w:kern w:val="0"/>
          <w:sz w:val="28"/>
          <w:szCs w:val="28"/>
          <w:lang w:bidi="ar"/>
          <w14:textFill>
            <w14:solidFill>
              <w14:schemeClr w14:val="tx1"/>
            </w14:solidFill>
          </w14:textFill>
        </w:rPr>
        <w:t>《电网调度管理条例</w:t>
      </w:r>
      <w:r>
        <w:rPr>
          <w:rFonts w:hint="eastAsia" w:ascii="宋体" w:hAnsi="宋体" w:eastAsia="宋体" w:cs="宋体"/>
          <w:color w:val="000000" w:themeColor="text1"/>
          <w:kern w:val="0"/>
          <w:sz w:val="28"/>
          <w:szCs w:val="28"/>
          <w:lang w:eastAsia="zh-CN" w:bidi="ar"/>
          <w14:textFill>
            <w14:solidFill>
              <w14:schemeClr w14:val="tx1"/>
            </w14:solidFill>
          </w14:textFill>
        </w:rPr>
        <w:t>》</w:t>
      </w: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eastAsia="zh-CN" w:bidi="ar"/>
          <w14:textFill>
            <w14:solidFill>
              <w14:schemeClr w14:val="tx1"/>
            </w14:solidFill>
          </w14:textFill>
        </w:rPr>
        <w:t>国务院令第115号</w:t>
      </w:r>
      <w:r>
        <w:rPr>
          <w:rFonts w:hint="eastAsia" w:ascii="宋体" w:hAnsi="宋体" w:eastAsia="宋体" w:cs="宋体"/>
          <w:color w:val="000000" w:themeColor="text1"/>
          <w:kern w:val="0"/>
          <w:sz w:val="28"/>
          <w:szCs w:val="28"/>
          <w:lang w:val="en-US" w:eastAsia="zh-CN" w:bidi="ar"/>
          <w14:textFill>
            <w14:solidFill>
              <w14:schemeClr w14:val="tx1"/>
            </w14:solidFill>
          </w14:textFill>
        </w:rPr>
        <w:t>发布，</w:t>
      </w:r>
      <w:r>
        <w:rPr>
          <w:rFonts w:hint="eastAsia" w:ascii="宋体" w:hAnsi="宋体" w:eastAsia="宋体" w:cs="宋体"/>
          <w:color w:val="000000" w:themeColor="text1"/>
          <w:kern w:val="0"/>
          <w:sz w:val="28"/>
          <w:szCs w:val="28"/>
          <w:lang w:bidi="ar"/>
          <w14:textFill>
            <w14:solidFill>
              <w14:schemeClr w14:val="tx1"/>
            </w14:solidFill>
          </w14:textFill>
        </w:rPr>
        <w:t>第</w:t>
      </w:r>
      <w:r>
        <w:rPr>
          <w:rFonts w:hint="eastAsia" w:ascii="宋体" w:hAnsi="宋体" w:eastAsia="宋体" w:cs="宋体"/>
          <w:color w:val="000000" w:themeColor="text1"/>
          <w:kern w:val="0"/>
          <w:sz w:val="28"/>
          <w:szCs w:val="28"/>
          <w:lang w:val="en-US" w:eastAsia="zh-CN" w:bidi="ar"/>
          <w14:textFill>
            <w14:solidFill>
              <w14:schemeClr w14:val="tx1"/>
            </w14:solidFill>
          </w14:textFill>
        </w:rPr>
        <w:t>588</w:t>
      </w:r>
      <w:r>
        <w:rPr>
          <w:rFonts w:hint="eastAsia" w:ascii="宋体" w:hAnsi="宋体" w:eastAsia="宋体" w:cs="宋体"/>
          <w:color w:val="000000" w:themeColor="text1"/>
          <w:kern w:val="0"/>
          <w:sz w:val="28"/>
          <w:szCs w:val="28"/>
          <w:lang w:bidi="ar"/>
          <w14:textFill>
            <w14:solidFill>
              <w14:schemeClr w14:val="tx1"/>
            </w14:solidFill>
          </w14:textFill>
        </w:rPr>
        <w:t>号</w:t>
      </w:r>
      <w:r>
        <w:rPr>
          <w:rFonts w:hint="eastAsia" w:ascii="宋体" w:hAnsi="宋体" w:eastAsia="宋体" w:cs="宋体"/>
          <w:color w:val="000000" w:themeColor="text1"/>
          <w:kern w:val="0"/>
          <w:sz w:val="28"/>
          <w:szCs w:val="28"/>
          <w:lang w:val="en-US" w:eastAsia="zh-CN" w:bidi="ar"/>
          <w14:textFill>
            <w14:solidFill>
              <w14:schemeClr w14:val="tx1"/>
            </w14:solidFill>
          </w14:textFill>
        </w:rPr>
        <w:t>修改</w:t>
      </w:r>
      <w:r>
        <w:rPr>
          <w:rFonts w:hint="eastAsia" w:ascii="宋体" w:hAnsi="宋体" w:eastAsia="宋体" w:cs="宋体"/>
          <w:color w:val="000000" w:themeColor="text1"/>
          <w:kern w:val="0"/>
          <w:sz w:val="28"/>
          <w:szCs w:val="28"/>
          <w:lang w:eastAsia="zh-CN" w:bidi="ar"/>
          <w14:textFill>
            <w14:solidFill>
              <w14:schemeClr w14:val="tx1"/>
            </w14:solidFill>
          </w14:textFill>
        </w:rPr>
        <w:t>，2011</w:t>
      </w:r>
      <w:r>
        <w:rPr>
          <w:rFonts w:hint="eastAsia" w:ascii="宋体" w:hAnsi="宋体" w:eastAsia="宋体" w:cs="宋体"/>
          <w:color w:val="000000" w:themeColor="text1"/>
          <w:kern w:val="0"/>
          <w:sz w:val="28"/>
          <w:szCs w:val="28"/>
          <w:lang w:val="en-US" w:eastAsia="zh-CN" w:bidi="ar"/>
          <w14:textFill>
            <w14:solidFill>
              <w14:schemeClr w14:val="tx1"/>
            </w14:solidFill>
          </w14:textFill>
        </w:rPr>
        <w:t>年</w:t>
      </w:r>
      <w:r>
        <w:rPr>
          <w:rFonts w:hint="eastAsia" w:ascii="宋体" w:hAnsi="宋体" w:eastAsia="宋体" w:cs="宋体"/>
          <w:color w:val="000000" w:themeColor="text1"/>
          <w:kern w:val="0"/>
          <w:sz w:val="28"/>
          <w:szCs w:val="28"/>
          <w:lang w:eastAsia="zh-CN" w:bidi="ar"/>
          <w14:textFill>
            <w14:solidFill>
              <w14:schemeClr w14:val="tx1"/>
            </w14:solidFill>
          </w14:textFill>
        </w:rPr>
        <w:t>1</w:t>
      </w:r>
      <w:r>
        <w:rPr>
          <w:rFonts w:hint="eastAsia" w:ascii="宋体" w:hAnsi="宋体" w:eastAsia="宋体" w:cs="宋体"/>
          <w:color w:val="000000" w:themeColor="text1"/>
          <w:kern w:val="0"/>
          <w:sz w:val="28"/>
          <w:szCs w:val="28"/>
          <w:lang w:val="en-US" w:eastAsia="zh-CN" w:bidi="ar"/>
          <w14:textFill>
            <w14:solidFill>
              <w14:schemeClr w14:val="tx1"/>
            </w14:solidFill>
          </w14:textFill>
        </w:rPr>
        <w:t>月</w:t>
      </w:r>
      <w:r>
        <w:rPr>
          <w:rFonts w:hint="eastAsia" w:ascii="宋体" w:hAnsi="宋体" w:eastAsia="宋体" w:cs="宋体"/>
          <w:color w:val="000000" w:themeColor="text1"/>
          <w:kern w:val="0"/>
          <w:sz w:val="28"/>
          <w:szCs w:val="28"/>
          <w:lang w:eastAsia="zh-CN" w:bidi="ar"/>
          <w14:textFill>
            <w14:solidFill>
              <w14:schemeClr w14:val="tx1"/>
            </w14:solidFill>
          </w14:textFill>
        </w:rPr>
        <w:t>8</w:t>
      </w:r>
      <w:r>
        <w:rPr>
          <w:rFonts w:hint="eastAsia" w:ascii="宋体" w:hAnsi="宋体" w:eastAsia="宋体" w:cs="宋体"/>
          <w:color w:val="000000" w:themeColor="text1"/>
          <w:kern w:val="0"/>
          <w:sz w:val="28"/>
          <w:szCs w:val="28"/>
          <w:lang w:val="en-US" w:eastAsia="zh-CN" w:bidi="ar"/>
          <w14:textFill>
            <w14:solidFill>
              <w14:schemeClr w14:val="tx1"/>
            </w14:solidFill>
          </w14:textFill>
        </w:rPr>
        <w:t>日实施</w:t>
      </w:r>
      <w:r>
        <w:rPr>
          <w:rFonts w:hint="eastAsia" w:ascii="宋体" w:hAnsi="宋体" w:eastAsia="宋体" w:cs="宋体"/>
          <w:color w:val="000000" w:themeColor="text1"/>
          <w:sz w:val="28"/>
          <w:szCs w:val="28"/>
          <w:lang w:val="zh-CN"/>
          <w14:textFill>
            <w14:solidFill>
              <w14:schemeClr w14:val="tx1"/>
            </w14:solidFill>
          </w14:textFill>
        </w:rPr>
        <w:t>）</w:t>
      </w:r>
      <w:bookmarkEnd w:id="76"/>
      <w:bookmarkEnd w:id="77"/>
      <w:bookmarkEnd w:id="78"/>
      <w:bookmarkEnd w:id="79"/>
      <w:r>
        <w:rPr>
          <w:rFonts w:hint="eastAsia" w:ascii="宋体" w:hAnsi="宋体" w:cs="宋体"/>
          <w:color w:val="000000" w:themeColor="text1"/>
          <w:sz w:val="28"/>
          <w:szCs w:val="28"/>
          <w:lang w:val="zh-CN"/>
          <w14:textFill>
            <w14:solidFill>
              <w14:schemeClr w14:val="tx1"/>
            </w14:solidFill>
          </w14:textFill>
        </w:rPr>
        <w:t>；</w:t>
      </w:r>
    </w:p>
    <w:p w14:paraId="282F20AB">
      <w:pPr>
        <w:keepNext w:val="0"/>
        <w:keepLines w:val="0"/>
        <w:pageBreakBefore w:val="0"/>
        <w:widowControl w:val="0"/>
        <w:numPr>
          <w:ilvl w:val="0"/>
          <w:numId w:val="3"/>
        </w:numPr>
        <w:tabs>
          <w:tab w:val="left" w:pos="0"/>
          <w:tab w:val="left" w:pos="630"/>
          <w:tab w:val="left" w:pos="735"/>
          <w:tab w:val="left" w:pos="840"/>
          <w:tab w:val="left" w:pos="988"/>
        </w:tabs>
        <w:kinsoku/>
        <w:wordWrap/>
        <w:overflowPunct/>
        <w:topLinePunct/>
        <w:autoSpaceDE/>
        <w:autoSpaceDN/>
        <w:bidi w:val="0"/>
        <w:spacing w:line="420" w:lineRule="exact"/>
        <w:ind w:left="0" w:leftChars="0" w:firstLine="560" w:firstLineChars="200"/>
        <w:jc w:val="left"/>
        <w:textAlignment w:val="auto"/>
        <w:rPr>
          <w:rFonts w:hint="eastAsia" w:ascii="宋体" w:hAnsi="宋体" w:eastAsia="宋体" w:cs="宋体"/>
          <w:kern w:val="2"/>
          <w:sz w:val="28"/>
          <w:szCs w:val="28"/>
          <w:lang w:val="zh-CN" w:eastAsia="zh-CN" w:bidi="ar-SA"/>
        </w:rPr>
      </w:pPr>
      <w:r>
        <w:rPr>
          <w:rFonts w:hint="eastAsia" w:ascii="宋体" w:hAnsi="宋体" w:cs="宋体"/>
          <w:kern w:val="2"/>
          <w:sz w:val="28"/>
          <w:szCs w:val="28"/>
          <w:lang w:val="en-US" w:eastAsia="zh-CN" w:bidi="ar-SA"/>
        </w:rPr>
        <w:t>《重大电力安全隐患判定标准（试行）》（国家能源局综合司，2022年12月29日）；</w:t>
      </w:r>
    </w:p>
    <w:p w14:paraId="0CD6FE24">
      <w:pPr>
        <w:pStyle w:val="20"/>
        <w:pageBreakBefore w:val="0"/>
        <w:numPr>
          <w:ilvl w:val="0"/>
          <w:numId w:val="4"/>
        </w:numPr>
        <w:kinsoku/>
        <w:wordWrap/>
        <w:overflowPunct/>
        <w:autoSpaceDE/>
        <w:autoSpaceDN/>
        <w:bidi w:val="0"/>
        <w:spacing w:line="420" w:lineRule="exact"/>
        <w:textAlignment w:val="auto"/>
        <w:rPr>
          <w:rFonts w:hint="eastAsia" w:ascii="宋体" w:hAnsi="宋体" w:cs="宋体"/>
          <w:kern w:val="2"/>
          <w:sz w:val="28"/>
          <w:szCs w:val="28"/>
          <w:lang w:val="en-US" w:eastAsia="zh-CN" w:bidi="ar-SA"/>
        </w:rPr>
      </w:pPr>
      <w:r>
        <w:rPr>
          <w:rFonts w:hint="eastAsia" w:ascii="宋体" w:hAnsi="宋体" w:cs="宋体"/>
          <w:kern w:val="2"/>
          <w:sz w:val="28"/>
          <w:szCs w:val="28"/>
          <w:lang w:val="en-US" w:eastAsia="zh-CN" w:bidi="ar-SA"/>
        </w:rPr>
        <w:t>《工贸企业有限空间作业安全规定》（2023年11月29日应急管理部令第13号公布，自2024年1月1日起施行）；</w:t>
      </w:r>
    </w:p>
    <w:p w14:paraId="4B39C9B7">
      <w:pPr>
        <w:pStyle w:val="19"/>
        <w:pageBreakBefore w:val="0"/>
        <w:numPr>
          <w:ilvl w:val="0"/>
          <w:numId w:val="4"/>
        </w:numPr>
        <w:kinsoku/>
        <w:wordWrap/>
        <w:overflowPunct/>
        <w:autoSpaceDE/>
        <w:autoSpaceDN/>
        <w:bidi w:val="0"/>
        <w:spacing w:line="420" w:lineRule="exact"/>
        <w:textAlignment w:val="auto"/>
        <w:rPr>
          <w:rFonts w:hint="eastAsia"/>
          <w:lang w:val="zh-CN" w:eastAsia="zh-CN"/>
        </w:rPr>
      </w:pPr>
      <w:r>
        <w:rPr>
          <w:rFonts w:hint="eastAsia" w:ascii="宋体" w:hAnsi="宋体" w:cs="宋体"/>
          <w:sz w:val="28"/>
          <w:szCs w:val="28"/>
          <w:lang w:val="zh-CN"/>
        </w:rPr>
        <w:t>《防止电力建设工程施工安全事故三十项重点要求》（国能发安全〔2022〕55号）；</w:t>
      </w:r>
    </w:p>
    <w:p w14:paraId="4B7E45D4">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lang w:val="en-US" w:eastAsia="zh-CN"/>
        </w:rPr>
      </w:pPr>
      <w:bookmarkStart w:id="85" w:name="_Toc29177"/>
      <w:bookmarkStart w:id="86" w:name="_Toc26940"/>
      <w:bookmarkStart w:id="87" w:name="_Toc8266"/>
      <w:bookmarkStart w:id="88" w:name="_Toc7097"/>
      <w:r>
        <w:rPr>
          <w:rFonts w:hint="eastAsia" w:ascii="宋体" w:hAnsi="宋体" w:eastAsia="宋体" w:cs="宋体"/>
          <w:b/>
          <w:bCs/>
          <w:lang w:val="en-US" w:eastAsia="zh-CN"/>
        </w:rPr>
        <w:t>1.2.3部门规章及规范性文件</w:t>
      </w:r>
      <w:bookmarkEnd w:id="80"/>
      <w:bookmarkEnd w:id="81"/>
      <w:bookmarkEnd w:id="85"/>
      <w:bookmarkEnd w:id="86"/>
      <w:bookmarkEnd w:id="87"/>
      <w:bookmarkEnd w:id="88"/>
    </w:p>
    <w:p w14:paraId="7D7F8997">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spacing w:line="420" w:lineRule="exact"/>
        <w:ind w:left="-140" w:leftChars="0" w:firstLine="560" w:firstLineChars="0"/>
        <w:jc w:val="left"/>
        <w:textAlignment w:val="auto"/>
        <w:rPr>
          <w:rFonts w:hint="eastAsia" w:ascii="宋体" w:hAnsi="宋体" w:eastAsia="宋体" w:cs="宋体"/>
          <w:color w:val="000000" w:themeColor="text1"/>
          <w:sz w:val="28"/>
          <w:szCs w:val="28"/>
          <w14:textFill>
            <w14:solidFill>
              <w14:schemeClr w14:val="tx1"/>
            </w14:solidFill>
          </w14:textFill>
        </w:rPr>
      </w:pPr>
      <w:bookmarkStart w:id="89" w:name="_Toc6843"/>
      <w:bookmarkStart w:id="90" w:name="_Toc373534851"/>
      <w:bookmarkStart w:id="91" w:name="_Toc20399"/>
      <w:bookmarkStart w:id="92" w:name="_Toc14487"/>
      <w:bookmarkStart w:id="93" w:name="_Toc29547"/>
      <w:bookmarkStart w:id="94" w:name="_Toc387235496"/>
      <w:bookmarkStart w:id="95" w:name="_Toc283672243"/>
      <w:r>
        <w:rPr>
          <w:rFonts w:hint="eastAsia" w:ascii="宋体" w:hAnsi="宋体" w:eastAsia="宋体" w:cs="宋体"/>
          <w:color w:val="000000" w:themeColor="text1"/>
          <w:sz w:val="28"/>
          <w:szCs w:val="28"/>
          <w14:textFill>
            <w14:solidFill>
              <w14:schemeClr w14:val="tx1"/>
            </w14:solidFill>
          </w14:textFill>
        </w:rPr>
        <w:t>《质检总局关于修订&lt;特种设备目录&gt;的公告》（2014年第114号）；</w:t>
      </w:r>
    </w:p>
    <w:p w14:paraId="04E27E76">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spacing w:line="420" w:lineRule="exact"/>
        <w:ind w:left="-140" w:leftChars="0" w:firstLine="560" w:firstLineChars="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《安全生产事故隐患排查治理暂行规定》（国家安全生产监督管理总局令第16号）</w:t>
      </w:r>
    </w:p>
    <w:p w14:paraId="49841350">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spacing w:line="420" w:lineRule="exact"/>
        <w:ind w:left="-140" w:leftChars="0" w:firstLine="560" w:firstLineChars="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《国家安全监管总局办公厅关于修改用人单位劳动防护用品管理规范的通知》（安监总厅安健〔2018〕3号）；</w:t>
      </w:r>
    </w:p>
    <w:p w14:paraId="2BEBB8B9">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《特种作业人员安全技术培训考核管理规定》（国家安全生产监督管理总局30号令，80号令修订）；</w:t>
      </w:r>
    </w:p>
    <w:p w14:paraId="72EE071A">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《建设项目安全设施“三同时”监督管理办法》（国家安全生产监督管理总局令第36号，77号令修订）；</w:t>
      </w:r>
    </w:p>
    <w:p w14:paraId="52841B33">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《安全生产培训管理办法》（安监总局令第44号，80号令修订）；</w:t>
      </w:r>
    </w:p>
    <w:p w14:paraId="15D5E835">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《生产安全事故应急预案管理办法》（国家安全生产监督管理总局令第88号，应急管理部2号令修正）；</w:t>
      </w:r>
    </w:p>
    <w:p w14:paraId="03FEBFF2">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《危险化学品目录（</w:t>
      </w:r>
      <w:r>
        <w:rPr>
          <w:rFonts w:hint="eastAsia" w:ascii="宋体" w:hAnsi="宋体" w:eastAsia="宋体" w:cs="宋体"/>
          <w:color w:val="000000" w:themeColor="text1"/>
          <w:sz w:val="28"/>
          <w:szCs w:val="28"/>
          <w:lang w:val="en-US" w:eastAsia="zh-CN"/>
          <w14:textFill>
            <w14:solidFill>
              <w14:schemeClr w14:val="tx1"/>
            </w14:solidFill>
          </w14:textFill>
        </w:rPr>
        <w:t>2022调整</w:t>
      </w:r>
      <w:r>
        <w:rPr>
          <w:rFonts w:hint="eastAsia" w:ascii="宋体" w:hAnsi="宋体" w:eastAsia="宋体" w:cs="宋体"/>
          <w:color w:val="000000" w:themeColor="text1"/>
          <w:sz w:val="28"/>
          <w:szCs w:val="28"/>
          <w14:textFill>
            <w14:solidFill>
              <w14:schemeClr w14:val="tx1"/>
            </w14:solidFill>
          </w14:textFill>
        </w:rPr>
        <w:t>版）》；</w:t>
      </w:r>
    </w:p>
    <w:p w14:paraId="4E3723DC">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《建设工程消防设计审查验收管理暂行规定》（中华人民共和国住房和城乡建设部令第51号，2020年6月1日起施行）；</w:t>
      </w:r>
    </w:p>
    <w:p w14:paraId="264E6FEB">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《消防监督检查规定》（中华人民共和国公安部令第120号）；</w:t>
      </w:r>
    </w:p>
    <w:p w14:paraId="2F9C2FA8">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《机关、团体、企业、事业单位消防安全管理规定》（公安部令第61号）；</w:t>
      </w:r>
    </w:p>
    <w:p w14:paraId="27AA3B58">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《中国气象局关于修改&lt;防雷减灾管理办法&gt;的决定》（中国气象局第24号）；</w:t>
      </w:r>
    </w:p>
    <w:p w14:paraId="2AA0643E">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《国家安全监管总局关于公布首批重点监管的危险化学品名录的通知》（安监总管三〔2011〕95号）；</w:t>
      </w:r>
    </w:p>
    <w:p w14:paraId="47232124">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《国家安全监管总局关于公布第二批重点监管危险化学品名录的通知》（安监总管三〔2013〕12号）；</w:t>
      </w:r>
    </w:p>
    <w:p w14:paraId="7849A777">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《淘汰落后安全技术装备目录（2016年第一批）》；</w:t>
      </w:r>
    </w:p>
    <w:p w14:paraId="7AC691D5">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《国家安全监管总局关于公布第二批重点监管的危险化学品名录的通知》（安监总管三〔2013〕12号）；</w:t>
      </w:r>
    </w:p>
    <w:p w14:paraId="0880D732">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特种设备作业人员监督管理办法</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（国家质量监督检验检疫总局令第140号）</w:t>
      </w:r>
      <w:r>
        <w:rPr>
          <w:rFonts w:hint="eastAsia" w:ascii="宋体" w:hAnsi="宋体" w:eastAsia="宋体" w:cs="宋体"/>
          <w:color w:val="000000" w:themeColor="text1"/>
          <w:sz w:val="28"/>
          <w:szCs w:val="28"/>
          <w:lang w:eastAsia="zh-CN"/>
          <w14:textFill>
            <w14:solidFill>
              <w14:schemeClr w14:val="tx1"/>
            </w14:solidFill>
          </w14:textFill>
        </w:rPr>
        <w:t>；</w:t>
      </w:r>
    </w:p>
    <w:p w14:paraId="5A08F228">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《特别管</w:t>
      </w:r>
      <w:r>
        <w:rPr>
          <w:rFonts w:hint="eastAsia" w:ascii="宋体" w:hAnsi="宋体" w:eastAsia="宋体" w:cs="宋体"/>
          <w:color w:val="000000" w:themeColor="text1"/>
          <w:sz w:val="28"/>
          <w:szCs w:val="28"/>
          <w:lang w:eastAsia="zh-CN"/>
          <w14:textFill>
            <w14:solidFill>
              <w14:schemeClr w14:val="tx1"/>
            </w14:solidFill>
          </w14:textFill>
        </w:rPr>
        <w:t>控危险化学品目录（第一版）》（应急管理部、工业和信息化部、公安部、交通运输部公告，2020年第1号）；</w:t>
      </w:r>
    </w:p>
    <w:p w14:paraId="6C550A7B">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应急管理部办公厅关于印发《工贸企业有限空间重点监管目录》的通知（应急厅〔2023〕37号）；</w:t>
      </w:r>
    </w:p>
    <w:p w14:paraId="1BFE16FF">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《生产安全事故罚款处罚规定》</w:t>
      </w:r>
      <w:r>
        <w:rPr>
          <w:rFonts w:hint="eastAsia" w:ascii="宋体" w:hAnsi="宋体" w:eastAsia="宋体" w:cs="宋体"/>
          <w:color w:val="000000" w:themeColor="text1"/>
          <w:sz w:val="28"/>
          <w:szCs w:val="28"/>
          <w14:textFill>
            <w14:solidFill>
              <w14:schemeClr w14:val="tx1"/>
            </w14:solidFill>
          </w14:textFill>
        </w:rPr>
        <w:t>（中华人民共和国应急管理部令第1</w:t>
      </w: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14:textFill>
            <w14:solidFill>
              <w14:schemeClr w14:val="tx1"/>
            </w14:solidFill>
          </w14:textFill>
        </w:rPr>
        <w:t>号）</w:t>
      </w:r>
      <w:r>
        <w:rPr>
          <w:rFonts w:hint="eastAsia" w:ascii="宋体" w:hAnsi="宋体" w:eastAsia="宋体" w:cs="宋体"/>
          <w:color w:val="000000" w:themeColor="text1"/>
          <w:sz w:val="28"/>
          <w:szCs w:val="28"/>
          <w:lang w:eastAsia="zh-CN"/>
          <w14:textFill>
            <w14:solidFill>
              <w14:schemeClr w14:val="tx1"/>
            </w14:solidFill>
          </w14:textFill>
        </w:rPr>
        <w:t>。</w:t>
      </w:r>
    </w:p>
    <w:p w14:paraId="650CF5D8">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电力设施保护条例实施细则</w:t>
      </w:r>
      <w:r>
        <w:rPr>
          <w:rFonts w:hint="eastAsia" w:ascii="宋体" w:hAnsi="宋体" w:eastAsia="宋体" w:cs="宋体"/>
          <w:color w:val="000000" w:themeColor="text1"/>
          <w:kern w:val="0"/>
          <w:sz w:val="28"/>
          <w:szCs w:val="28"/>
          <w:lang w:eastAsia="zh-CN" w:bidi="ar"/>
          <w14:textFill>
            <w14:solidFill>
              <w14:schemeClr w14:val="tx1"/>
            </w14:solidFill>
          </w14:textFill>
        </w:rPr>
        <w:t>》（1999年3月18日国家经贸委、公安部令第8号公布自1999年3月18日起施行根据2011年6月30日国家发展改革委令第10号修订</w:t>
      </w:r>
      <w:r>
        <w:rPr>
          <w:rFonts w:hint="eastAsia" w:ascii="宋体" w:hAnsi="宋体" w:eastAsia="宋体" w:cs="宋体"/>
          <w:color w:val="000000" w:themeColor="text1"/>
          <w:sz w:val="28"/>
          <w:szCs w:val="28"/>
          <w:lang w:val="zh-CN"/>
          <w14:textFill>
            <w14:solidFill>
              <w14:schemeClr w14:val="tx1"/>
            </w14:solidFill>
          </w14:textFill>
        </w:rPr>
        <w:t>）；</w:t>
      </w:r>
    </w:p>
    <w:p w14:paraId="58D3F838">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kern w:val="0"/>
          <w:sz w:val="28"/>
          <w:szCs w:val="28"/>
          <w:lang w:bidi="ar"/>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国家电力监管委员会安全生产令</w:t>
      </w: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国家电力监管委员会令第1号</w:t>
      </w:r>
      <w:r>
        <w:rPr>
          <w:rFonts w:hint="eastAsia" w:ascii="宋体" w:hAnsi="宋体" w:eastAsia="宋体" w:cs="宋体"/>
          <w:color w:val="000000" w:themeColor="text1"/>
          <w:sz w:val="28"/>
          <w:szCs w:val="28"/>
          <w:lang w:val="zh-CN"/>
          <w14:textFill>
            <w14:solidFill>
              <w14:schemeClr w14:val="tx1"/>
            </w14:solidFill>
          </w14:textFill>
        </w:rPr>
        <w:t>）；</w:t>
      </w:r>
    </w:p>
    <w:p w14:paraId="7D264841">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电力安全生产监管办法</w:t>
      </w: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国家电力监管委员会令第2号</w:t>
      </w:r>
      <w:r>
        <w:rPr>
          <w:rFonts w:hint="eastAsia" w:ascii="宋体" w:hAnsi="宋体" w:eastAsia="宋体" w:cs="宋体"/>
          <w:color w:val="000000" w:themeColor="text1"/>
          <w:sz w:val="28"/>
          <w:szCs w:val="28"/>
          <w:lang w:val="zh-CN"/>
          <w14:textFill>
            <w14:solidFill>
              <w14:schemeClr w14:val="tx1"/>
            </w14:solidFill>
          </w14:textFill>
        </w:rPr>
        <w:t>）；</w:t>
      </w:r>
    </w:p>
    <w:p w14:paraId="1398EFEF">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电网运行规则(试行)</w:t>
      </w: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国家电力监管委员会令第22号</w:t>
      </w:r>
      <w:r>
        <w:rPr>
          <w:rFonts w:hint="eastAsia" w:ascii="宋体" w:hAnsi="宋体" w:eastAsia="宋体" w:cs="宋体"/>
          <w:color w:val="000000" w:themeColor="text1"/>
          <w:sz w:val="28"/>
          <w:szCs w:val="28"/>
          <w:lang w:val="zh-CN"/>
          <w14:textFill>
            <w14:solidFill>
              <w14:schemeClr w14:val="tx1"/>
            </w14:solidFill>
          </w14:textFill>
        </w:rPr>
        <w:t>）；</w:t>
      </w:r>
    </w:p>
    <w:p w14:paraId="18EF2553">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中央企业安全生产监督管理暂行办法</w:t>
      </w: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国资委令第21号</w:t>
      </w:r>
      <w:r>
        <w:rPr>
          <w:rFonts w:hint="eastAsia" w:ascii="宋体" w:hAnsi="宋体" w:eastAsia="宋体" w:cs="宋体"/>
          <w:color w:val="000000" w:themeColor="text1"/>
          <w:sz w:val="28"/>
          <w:szCs w:val="28"/>
          <w:lang w:val="zh-CN"/>
          <w14:textFill>
            <w14:solidFill>
              <w14:schemeClr w14:val="tx1"/>
            </w14:solidFill>
          </w14:textFill>
        </w:rPr>
        <w:t>）；</w:t>
      </w:r>
    </w:p>
    <w:p w14:paraId="4E2FC56F">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火灾事故调查规定</w:t>
      </w: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中华人民共和国公安部令第108号</w:t>
      </w:r>
      <w:r>
        <w:rPr>
          <w:rFonts w:hint="eastAsia" w:ascii="宋体" w:hAnsi="宋体" w:eastAsia="宋体" w:cs="宋体"/>
          <w:color w:val="000000" w:themeColor="text1"/>
          <w:sz w:val="28"/>
          <w:szCs w:val="28"/>
          <w:lang w:val="zh-CN"/>
          <w14:textFill>
            <w14:solidFill>
              <w14:schemeClr w14:val="tx1"/>
            </w14:solidFill>
          </w14:textFill>
        </w:rPr>
        <w:t>）；</w:t>
      </w:r>
    </w:p>
    <w:p w14:paraId="655CD155">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生产安全事故信息报告和处置办法</w:t>
      </w: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原国家安全生产监督管理总局令第21号</w:t>
      </w:r>
      <w:r>
        <w:rPr>
          <w:rFonts w:hint="eastAsia" w:ascii="宋体" w:hAnsi="宋体" w:eastAsia="宋体" w:cs="宋体"/>
          <w:color w:val="000000" w:themeColor="text1"/>
          <w:sz w:val="28"/>
          <w:szCs w:val="28"/>
          <w:lang w:val="zh-CN"/>
          <w14:textFill>
            <w14:solidFill>
              <w14:schemeClr w14:val="tx1"/>
            </w14:solidFill>
          </w14:textFill>
        </w:rPr>
        <w:t>）；</w:t>
      </w:r>
    </w:p>
    <w:p w14:paraId="5E69AA0B">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中央企业安全生产禁令</w:t>
      </w: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国资委令第24号</w:t>
      </w:r>
      <w:r>
        <w:rPr>
          <w:rFonts w:hint="eastAsia" w:ascii="宋体" w:hAnsi="宋体" w:eastAsia="宋体" w:cs="宋体"/>
          <w:color w:val="000000" w:themeColor="text1"/>
          <w:sz w:val="28"/>
          <w:szCs w:val="28"/>
          <w:lang w:val="zh-CN"/>
          <w14:textFill>
            <w14:solidFill>
              <w14:schemeClr w14:val="tx1"/>
            </w14:solidFill>
          </w14:textFill>
        </w:rPr>
        <w:t>）；</w:t>
      </w:r>
    </w:p>
    <w:p w14:paraId="4AE34B98">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kern w:val="0"/>
          <w:sz w:val="28"/>
          <w:szCs w:val="28"/>
          <w:lang w:val="zh-CN" w:bidi="ar"/>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关于深入开展电力安全生产标准化工作的指导意见</w:t>
      </w:r>
      <w:r>
        <w:rPr>
          <w:rFonts w:hint="eastAsia" w:ascii="宋体" w:hAnsi="宋体" w:eastAsia="宋体" w:cs="宋体"/>
          <w:color w:val="000000" w:themeColor="text1"/>
          <w:kern w:val="0"/>
          <w:sz w:val="28"/>
          <w:szCs w:val="28"/>
          <w:lang w:val="zh-CN" w:bidi="ar"/>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电监安全〔</w:t>
      </w:r>
      <w:r>
        <w:rPr>
          <w:rFonts w:hint="eastAsia" w:ascii="宋体" w:hAnsi="宋体" w:eastAsia="宋体" w:cs="宋体"/>
          <w:color w:val="000000" w:themeColor="text1"/>
          <w:kern w:val="0"/>
          <w:sz w:val="28"/>
          <w:szCs w:val="28"/>
          <w:lang w:val="en-US" w:bidi="ar"/>
          <w14:textFill>
            <w14:solidFill>
              <w14:schemeClr w14:val="tx1"/>
            </w14:solidFill>
          </w14:textFill>
        </w:rPr>
        <w:t>2011</w:t>
      </w:r>
      <w:r>
        <w:rPr>
          <w:rFonts w:hint="eastAsia" w:ascii="宋体" w:hAnsi="宋体" w:eastAsia="宋体" w:cs="宋体"/>
          <w:color w:val="000000" w:themeColor="text1"/>
          <w:kern w:val="0"/>
          <w:sz w:val="28"/>
          <w:szCs w:val="28"/>
          <w:lang w:bidi="ar"/>
          <w14:textFill>
            <w14:solidFill>
              <w14:schemeClr w14:val="tx1"/>
            </w14:solidFill>
          </w14:textFill>
        </w:rPr>
        <w:t>〕</w:t>
      </w:r>
      <w:r>
        <w:rPr>
          <w:rFonts w:hint="eastAsia" w:ascii="宋体" w:hAnsi="宋体" w:eastAsia="宋体" w:cs="宋体"/>
          <w:color w:val="000000" w:themeColor="text1"/>
          <w:kern w:val="0"/>
          <w:sz w:val="28"/>
          <w:szCs w:val="28"/>
          <w:lang w:val="en-US" w:bidi="ar"/>
          <w14:textFill>
            <w14:solidFill>
              <w14:schemeClr w14:val="tx1"/>
            </w14:solidFill>
          </w14:textFill>
        </w:rPr>
        <w:t>21</w:t>
      </w:r>
      <w:r>
        <w:rPr>
          <w:rFonts w:hint="eastAsia" w:ascii="宋体" w:hAnsi="宋体" w:eastAsia="宋体" w:cs="宋体"/>
          <w:color w:val="000000" w:themeColor="text1"/>
          <w:kern w:val="0"/>
          <w:sz w:val="28"/>
          <w:szCs w:val="28"/>
          <w:lang w:bidi="ar"/>
          <w14:textFill>
            <w14:solidFill>
              <w14:schemeClr w14:val="tx1"/>
            </w14:solidFill>
          </w14:textFill>
        </w:rPr>
        <w:t>号</w:t>
      </w:r>
      <w:r>
        <w:rPr>
          <w:rFonts w:hint="eastAsia" w:ascii="宋体" w:hAnsi="宋体" w:eastAsia="宋体" w:cs="宋体"/>
          <w:color w:val="000000" w:themeColor="text1"/>
          <w:kern w:val="0"/>
          <w:sz w:val="28"/>
          <w:szCs w:val="28"/>
          <w:lang w:val="zh-CN" w:bidi="ar"/>
          <w14:textFill>
            <w14:solidFill>
              <w14:schemeClr w14:val="tx1"/>
            </w14:solidFill>
          </w14:textFill>
        </w:rPr>
        <w:t>）；</w:t>
      </w:r>
    </w:p>
    <w:p w14:paraId="487666E3">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kern w:val="0"/>
          <w:sz w:val="28"/>
          <w:szCs w:val="28"/>
          <w:lang w:bidi="ar"/>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关于印发&lt;发电企业安全生产标准化规范及达标评级标准&gt;的通知</w:t>
      </w: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电监安全〔</w:t>
      </w:r>
      <w:r>
        <w:rPr>
          <w:rFonts w:hint="eastAsia" w:ascii="宋体" w:hAnsi="宋体" w:eastAsia="宋体" w:cs="宋体"/>
          <w:color w:val="000000" w:themeColor="text1"/>
          <w:kern w:val="0"/>
          <w:sz w:val="28"/>
          <w:szCs w:val="28"/>
          <w:lang w:val="en-US" w:bidi="ar"/>
          <w14:textFill>
            <w14:solidFill>
              <w14:schemeClr w14:val="tx1"/>
            </w14:solidFill>
          </w14:textFill>
        </w:rPr>
        <w:t>2011</w:t>
      </w:r>
      <w:r>
        <w:rPr>
          <w:rFonts w:hint="eastAsia" w:ascii="宋体" w:hAnsi="宋体" w:eastAsia="宋体" w:cs="宋体"/>
          <w:color w:val="000000" w:themeColor="text1"/>
          <w:kern w:val="0"/>
          <w:sz w:val="28"/>
          <w:szCs w:val="28"/>
          <w:lang w:bidi="ar"/>
          <w14:textFill>
            <w14:solidFill>
              <w14:schemeClr w14:val="tx1"/>
            </w14:solidFill>
          </w14:textFill>
        </w:rPr>
        <w:t>〕23号</w:t>
      </w:r>
      <w:r>
        <w:rPr>
          <w:rFonts w:hint="eastAsia" w:ascii="宋体" w:hAnsi="宋体" w:eastAsia="宋体" w:cs="宋体"/>
          <w:color w:val="000000" w:themeColor="text1"/>
          <w:sz w:val="28"/>
          <w:szCs w:val="28"/>
          <w:lang w:val="zh-CN"/>
          <w14:textFill>
            <w14:solidFill>
              <w14:schemeClr w14:val="tx1"/>
            </w14:solidFill>
          </w14:textFill>
        </w:rPr>
        <w:t>）；</w:t>
      </w:r>
    </w:p>
    <w:p w14:paraId="62B7648F">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关于印发&lt;电力工程建设项目安全生产标准化规范及达标评级</w:t>
      </w:r>
      <w:r>
        <w:rPr>
          <w:rFonts w:hint="eastAsia" w:ascii="宋体" w:hAnsi="宋体" w:cs="宋体"/>
          <w:color w:val="000000" w:themeColor="text1"/>
          <w:kern w:val="0"/>
          <w:sz w:val="28"/>
          <w:szCs w:val="28"/>
          <w:lang w:val="en-US" w:eastAsia="zh-CN" w:bidi="ar"/>
          <w14:textFill>
            <w14:solidFill>
              <w14:schemeClr w14:val="tx1"/>
            </w14:solidFill>
          </w14:textFill>
        </w:rPr>
        <w:t>标</w:t>
      </w:r>
      <w:r>
        <w:rPr>
          <w:rFonts w:hint="eastAsia" w:ascii="宋体" w:hAnsi="宋体" w:eastAsia="宋体" w:cs="宋体"/>
          <w:color w:val="000000" w:themeColor="text1"/>
          <w:kern w:val="0"/>
          <w:sz w:val="28"/>
          <w:szCs w:val="28"/>
          <w:lang w:bidi="ar"/>
          <w14:textFill>
            <w14:solidFill>
              <w14:schemeClr w14:val="tx1"/>
            </w14:solidFill>
          </w14:textFill>
        </w:rPr>
        <w:t>准（试行）&gt;的通知</w:t>
      </w: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电监安全〔</w:t>
      </w:r>
      <w:r>
        <w:rPr>
          <w:rFonts w:hint="eastAsia" w:ascii="宋体" w:hAnsi="宋体" w:eastAsia="宋体" w:cs="宋体"/>
          <w:color w:val="000000" w:themeColor="text1"/>
          <w:kern w:val="0"/>
          <w:sz w:val="28"/>
          <w:szCs w:val="28"/>
          <w:lang w:val="en-US" w:bidi="ar"/>
          <w14:textFill>
            <w14:solidFill>
              <w14:schemeClr w14:val="tx1"/>
            </w14:solidFill>
          </w14:textFill>
        </w:rPr>
        <w:t>201</w:t>
      </w:r>
      <w:r>
        <w:rPr>
          <w:rFonts w:hint="eastAsia" w:ascii="宋体" w:hAnsi="宋体" w:eastAsia="宋体" w:cs="宋体"/>
          <w:color w:val="000000" w:themeColor="text1"/>
          <w:kern w:val="0"/>
          <w:sz w:val="28"/>
          <w:szCs w:val="28"/>
          <w:lang w:val="en-US" w:eastAsia="zh-CN" w:bidi="ar"/>
          <w14:textFill>
            <w14:solidFill>
              <w14:schemeClr w14:val="tx1"/>
            </w14:solidFill>
          </w14:textFill>
        </w:rPr>
        <w:t>2</w:t>
      </w:r>
      <w:r>
        <w:rPr>
          <w:rFonts w:hint="eastAsia" w:ascii="宋体" w:hAnsi="宋体" w:eastAsia="宋体" w:cs="宋体"/>
          <w:color w:val="000000" w:themeColor="text1"/>
          <w:kern w:val="0"/>
          <w:sz w:val="28"/>
          <w:szCs w:val="28"/>
          <w:lang w:bidi="ar"/>
          <w14:textFill>
            <w14:solidFill>
              <w14:schemeClr w14:val="tx1"/>
            </w14:solidFill>
          </w14:textFill>
        </w:rPr>
        <w:t>〕39号</w:t>
      </w:r>
      <w:r>
        <w:rPr>
          <w:rFonts w:hint="eastAsia" w:ascii="宋体" w:hAnsi="宋体" w:eastAsia="宋体" w:cs="宋体"/>
          <w:color w:val="000000" w:themeColor="text1"/>
          <w:sz w:val="28"/>
          <w:szCs w:val="28"/>
          <w:lang w:val="zh-CN"/>
          <w14:textFill>
            <w14:solidFill>
              <w14:schemeClr w14:val="tx1"/>
            </w14:solidFill>
          </w14:textFill>
        </w:rPr>
        <w:t>）；</w:t>
      </w:r>
    </w:p>
    <w:p w14:paraId="7E5125C5">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公安部消防局</w:t>
      </w:r>
      <w:r>
        <w:rPr>
          <w:rFonts w:hint="eastAsia" w:ascii="宋体" w:hAnsi="宋体" w:cs="宋体"/>
          <w:color w:val="000000" w:themeColor="text1"/>
          <w:kern w:val="0"/>
          <w:sz w:val="28"/>
          <w:szCs w:val="28"/>
          <w:lang w:val="en-US" w:eastAsia="zh-CN" w:bidi="ar"/>
          <w14:textFill>
            <w14:solidFill>
              <w14:schemeClr w14:val="tx1"/>
            </w14:solidFill>
          </w14:textFill>
        </w:rPr>
        <w:t>&lt;</w:t>
      </w:r>
      <w:r>
        <w:rPr>
          <w:rFonts w:hint="eastAsia" w:ascii="宋体" w:hAnsi="宋体" w:eastAsia="宋体" w:cs="宋体"/>
          <w:color w:val="000000" w:themeColor="text1"/>
          <w:kern w:val="0"/>
          <w:sz w:val="28"/>
          <w:szCs w:val="28"/>
          <w:lang w:bidi="ar"/>
          <w14:textFill>
            <w14:solidFill>
              <w14:schemeClr w14:val="tx1"/>
            </w14:solidFill>
          </w14:textFill>
        </w:rPr>
        <w:t>关于明确适用消防设计审核和消防验收的发电、变配电工程规模的答复意见</w:t>
      </w:r>
      <w:r>
        <w:rPr>
          <w:rFonts w:hint="eastAsia" w:ascii="宋体" w:hAnsi="宋体" w:cs="宋体"/>
          <w:color w:val="000000" w:themeColor="text1"/>
          <w:kern w:val="0"/>
          <w:sz w:val="28"/>
          <w:szCs w:val="28"/>
          <w:lang w:val="en-US" w:eastAsia="zh-CN" w:bidi="ar"/>
          <w14:textFill>
            <w14:solidFill>
              <w14:schemeClr w14:val="tx1"/>
            </w14:solidFill>
          </w14:textFill>
        </w:rPr>
        <w:t>&gt;</w:t>
      </w:r>
      <w:r>
        <w:rPr>
          <w:rFonts w:hint="eastAsia" w:ascii="宋体" w:hAnsi="宋体" w:eastAsia="宋体" w:cs="宋体"/>
          <w:color w:val="000000" w:themeColor="text1"/>
          <w:kern w:val="0"/>
          <w:sz w:val="28"/>
          <w:szCs w:val="28"/>
          <w:lang w:bidi="ar"/>
          <w14:textFill>
            <w14:solidFill>
              <w14:schemeClr w14:val="tx1"/>
            </w14:solidFill>
          </w14:textFill>
        </w:rPr>
        <w:t>》</w:t>
      </w: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公消〔2013〕259号</w:t>
      </w:r>
      <w:r>
        <w:rPr>
          <w:rFonts w:hint="eastAsia" w:ascii="宋体" w:hAnsi="宋体" w:eastAsia="宋体" w:cs="宋体"/>
          <w:color w:val="000000" w:themeColor="text1"/>
          <w:sz w:val="28"/>
          <w:szCs w:val="28"/>
          <w:lang w:val="zh-CN"/>
          <w14:textFill>
            <w14:solidFill>
              <w14:schemeClr w14:val="tx1"/>
            </w14:solidFill>
          </w14:textFill>
        </w:rPr>
        <w:t>）；</w:t>
      </w:r>
    </w:p>
    <w:p w14:paraId="3BD9A660">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spacing w:line="420" w:lineRule="exact"/>
        <w:ind w:left="-140" w:leftChars="0" w:firstLine="560" w:firstLineChars="0"/>
        <w:jc w:val="left"/>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《国家能源局关于印发《光伏发电运营监管暂行办法》的通知》(国能监管</w:t>
      </w:r>
      <w:r>
        <w:rPr>
          <w:rFonts w:hint="eastAsia" w:ascii="宋体" w:hAnsi="宋体" w:eastAsia="宋体" w:cs="宋体"/>
          <w:color w:val="000000" w:themeColor="text1"/>
          <w:kern w:val="0"/>
          <w:sz w:val="28"/>
          <w:szCs w:val="28"/>
          <w:lang w:bidi="ar"/>
          <w14:textFill>
            <w14:solidFill>
              <w14:schemeClr w14:val="tx1"/>
            </w14:solidFill>
          </w14:textFill>
        </w:rPr>
        <w:t>〔2013〕</w:t>
      </w:r>
      <w:r>
        <w:rPr>
          <w:rFonts w:hint="eastAsia" w:ascii="宋体" w:hAnsi="宋体" w:eastAsia="宋体" w:cs="宋体"/>
          <w:color w:val="000000" w:themeColor="text1"/>
          <w:sz w:val="28"/>
          <w:szCs w:val="28"/>
          <w:lang w:val="zh-CN"/>
          <w14:textFill>
            <w14:solidFill>
              <w14:schemeClr w14:val="tx1"/>
            </w14:solidFill>
          </w14:textFill>
        </w:rPr>
        <w:t>459号)；</w:t>
      </w:r>
    </w:p>
    <w:p w14:paraId="6551ABDF">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spacing w:line="420" w:lineRule="exact"/>
        <w:ind w:left="-140" w:leftChars="0" w:firstLine="560" w:firstLineChars="0"/>
        <w:jc w:val="left"/>
        <w:textAlignment w:val="auto"/>
        <w:rPr>
          <w:rFonts w:hint="eastAsia" w:ascii="宋体" w:hAnsi="宋体" w:eastAsia="宋体" w:cs="宋体"/>
          <w:color w:val="000000" w:themeColor="text1"/>
          <w:kern w:val="0"/>
          <w:sz w:val="28"/>
          <w:szCs w:val="28"/>
          <w:lang w:bidi="ar"/>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《国家能源局关于防范电力人身伤亡事故的指导意见》(国能安全</w:t>
      </w:r>
      <w:r>
        <w:rPr>
          <w:rFonts w:hint="eastAsia" w:ascii="宋体" w:hAnsi="宋体" w:eastAsia="宋体" w:cs="宋体"/>
          <w:color w:val="000000" w:themeColor="text1"/>
          <w:kern w:val="0"/>
          <w:sz w:val="28"/>
          <w:szCs w:val="28"/>
          <w:lang w:bidi="ar"/>
          <w14:textFill>
            <w14:solidFill>
              <w14:schemeClr w14:val="tx1"/>
            </w14:solidFill>
          </w14:textFill>
        </w:rPr>
        <w:t>〔2013〕</w:t>
      </w:r>
      <w:r>
        <w:rPr>
          <w:rFonts w:hint="eastAsia" w:ascii="宋体" w:hAnsi="宋体" w:eastAsia="宋体" w:cs="宋体"/>
          <w:color w:val="000000" w:themeColor="text1"/>
          <w:sz w:val="28"/>
          <w:szCs w:val="28"/>
          <w:lang w:val="zh-CN"/>
          <w14:textFill>
            <w14:solidFill>
              <w14:schemeClr w14:val="tx1"/>
            </w14:solidFill>
          </w14:textFill>
        </w:rPr>
        <w:t>427号)；</w:t>
      </w:r>
    </w:p>
    <w:p w14:paraId="4E7D2005">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spacing w:line="420" w:lineRule="exact"/>
        <w:ind w:left="-140" w:leftChars="0" w:firstLine="560" w:firstLineChars="0"/>
        <w:jc w:val="left"/>
        <w:textAlignment w:val="auto"/>
        <w:rPr>
          <w:rFonts w:hint="eastAsia" w:ascii="宋体" w:hAnsi="宋体" w:eastAsia="宋体" w:cs="宋体"/>
          <w:color w:val="000000" w:themeColor="text1"/>
          <w:kern w:val="0"/>
          <w:sz w:val="28"/>
          <w:szCs w:val="28"/>
          <w:lang w:bidi="ar"/>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《光伏电站项目管理暂行办法》（国能新能</w:t>
      </w:r>
      <w:r>
        <w:rPr>
          <w:rFonts w:hint="eastAsia" w:ascii="宋体" w:hAnsi="宋体" w:eastAsia="宋体" w:cs="宋体"/>
          <w:color w:val="000000" w:themeColor="text1"/>
          <w:kern w:val="0"/>
          <w:sz w:val="28"/>
          <w:szCs w:val="28"/>
          <w:lang w:bidi="ar"/>
          <w14:textFill>
            <w14:solidFill>
              <w14:schemeClr w14:val="tx1"/>
            </w14:solidFill>
          </w14:textFill>
        </w:rPr>
        <w:t>〔201</w:t>
      </w:r>
      <w:r>
        <w:rPr>
          <w:rFonts w:hint="eastAsia" w:ascii="宋体" w:hAnsi="宋体" w:eastAsia="宋体" w:cs="宋体"/>
          <w:color w:val="000000" w:themeColor="text1"/>
          <w:kern w:val="0"/>
          <w:sz w:val="28"/>
          <w:szCs w:val="28"/>
          <w:lang w:val="en-US" w:eastAsia="zh-CN" w:bidi="ar"/>
          <w14:textFill>
            <w14:solidFill>
              <w14:schemeClr w14:val="tx1"/>
            </w14:solidFill>
          </w14:textFill>
        </w:rPr>
        <w:t>4</w:t>
      </w:r>
      <w:r>
        <w:rPr>
          <w:rFonts w:hint="eastAsia" w:ascii="宋体" w:hAnsi="宋体" w:eastAsia="宋体" w:cs="宋体"/>
          <w:color w:val="000000" w:themeColor="text1"/>
          <w:kern w:val="0"/>
          <w:sz w:val="28"/>
          <w:szCs w:val="28"/>
          <w:lang w:bidi="ar"/>
          <w14:textFill>
            <w14:solidFill>
              <w14:schemeClr w14:val="tx1"/>
            </w14:solidFill>
          </w14:textFill>
        </w:rPr>
        <w:t>〕</w:t>
      </w:r>
      <w:r>
        <w:rPr>
          <w:rFonts w:hint="eastAsia" w:ascii="宋体" w:hAnsi="宋体" w:eastAsia="宋体" w:cs="宋体"/>
          <w:color w:val="000000" w:themeColor="text1"/>
          <w:sz w:val="28"/>
          <w:szCs w:val="28"/>
          <w:lang w:val="zh-CN"/>
          <w14:textFill>
            <w14:solidFill>
              <w14:schemeClr w14:val="tx1"/>
            </w14:solidFill>
          </w14:textFill>
        </w:rPr>
        <w:t>329号）；</w:t>
      </w:r>
    </w:p>
    <w:p w14:paraId="4FE2DFAE">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spacing w:line="420" w:lineRule="exact"/>
        <w:ind w:left="-140" w:leftChars="0" w:firstLine="560" w:firstLineChars="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防止电力生产事故的二十五项重点要求</w:t>
      </w: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国能安全〔20</w:t>
      </w:r>
      <w:r>
        <w:rPr>
          <w:rFonts w:hint="eastAsia" w:ascii="宋体" w:hAnsi="宋体" w:cs="宋体"/>
          <w:color w:val="000000" w:themeColor="text1"/>
          <w:kern w:val="0"/>
          <w:sz w:val="28"/>
          <w:szCs w:val="28"/>
          <w:lang w:val="en-US" w:eastAsia="zh-CN" w:bidi="ar"/>
          <w14:textFill>
            <w14:solidFill>
              <w14:schemeClr w14:val="tx1"/>
            </w14:solidFill>
          </w14:textFill>
        </w:rPr>
        <w:t>23</w:t>
      </w:r>
      <w:r>
        <w:rPr>
          <w:rFonts w:hint="eastAsia" w:ascii="宋体" w:hAnsi="宋体" w:eastAsia="宋体" w:cs="宋体"/>
          <w:color w:val="000000" w:themeColor="text1"/>
          <w:kern w:val="0"/>
          <w:sz w:val="28"/>
          <w:szCs w:val="28"/>
          <w:lang w:bidi="ar"/>
          <w14:textFill>
            <w14:solidFill>
              <w14:schemeClr w14:val="tx1"/>
            </w14:solidFill>
          </w14:textFill>
        </w:rPr>
        <w:t>〕161号</w:t>
      </w:r>
      <w:r>
        <w:rPr>
          <w:rFonts w:hint="eastAsia" w:ascii="宋体" w:hAnsi="宋体" w:eastAsia="宋体" w:cs="宋体"/>
          <w:color w:val="000000" w:themeColor="text1"/>
          <w:sz w:val="28"/>
          <w:szCs w:val="28"/>
          <w:lang w:val="zh-CN"/>
          <w14:textFill>
            <w14:solidFill>
              <w14:schemeClr w14:val="tx1"/>
            </w14:solidFill>
          </w14:textFill>
        </w:rPr>
        <w:t>）；</w:t>
      </w:r>
    </w:p>
    <w:p w14:paraId="4165B798">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spacing w:line="420" w:lineRule="exact"/>
        <w:ind w:left="-140" w:leftChars="0" w:firstLine="560" w:firstLineChars="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电力监控系统安全防护规定</w:t>
      </w: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国家发展和改革委员会令第14号</w:t>
      </w:r>
      <w:r>
        <w:rPr>
          <w:rFonts w:hint="eastAsia" w:ascii="宋体" w:hAnsi="宋体" w:eastAsia="宋体" w:cs="宋体"/>
          <w:color w:val="000000" w:themeColor="text1"/>
          <w:sz w:val="28"/>
          <w:szCs w:val="28"/>
          <w:lang w:val="zh-CN"/>
          <w14:textFill>
            <w14:solidFill>
              <w14:schemeClr w14:val="tx1"/>
            </w14:solidFill>
          </w14:textFill>
        </w:rPr>
        <w:t>）；</w:t>
      </w:r>
    </w:p>
    <w:p w14:paraId="4FE05D8F">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spacing w:line="420" w:lineRule="exact"/>
        <w:ind w:left="-140" w:leftChars="0" w:firstLine="560" w:firstLineChars="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电力企业应急预案管理办法</w:t>
      </w: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国能安全〔201</w:t>
      </w:r>
      <w:r>
        <w:rPr>
          <w:rFonts w:hint="eastAsia" w:ascii="宋体" w:hAnsi="宋体" w:eastAsia="宋体" w:cs="宋体"/>
          <w:color w:val="000000" w:themeColor="text1"/>
          <w:kern w:val="0"/>
          <w:sz w:val="28"/>
          <w:szCs w:val="28"/>
          <w:lang w:val="en-US" w:eastAsia="zh-CN" w:bidi="ar"/>
          <w14:textFill>
            <w14:solidFill>
              <w14:schemeClr w14:val="tx1"/>
            </w14:solidFill>
          </w14:textFill>
        </w:rPr>
        <w:t>4</w:t>
      </w:r>
      <w:r>
        <w:rPr>
          <w:rFonts w:hint="eastAsia" w:ascii="宋体" w:hAnsi="宋体" w:eastAsia="宋体" w:cs="宋体"/>
          <w:color w:val="000000" w:themeColor="text1"/>
          <w:kern w:val="0"/>
          <w:sz w:val="28"/>
          <w:szCs w:val="28"/>
          <w:lang w:bidi="ar"/>
          <w14:textFill>
            <w14:solidFill>
              <w14:schemeClr w14:val="tx1"/>
            </w14:solidFill>
          </w14:textFill>
        </w:rPr>
        <w:t>〕508号</w:t>
      </w:r>
      <w:r>
        <w:rPr>
          <w:rFonts w:hint="eastAsia" w:ascii="宋体" w:hAnsi="宋体" w:eastAsia="宋体" w:cs="宋体"/>
          <w:color w:val="000000" w:themeColor="text1"/>
          <w:sz w:val="28"/>
          <w:szCs w:val="28"/>
          <w:lang w:val="zh-CN"/>
          <w14:textFill>
            <w14:solidFill>
              <w14:schemeClr w14:val="tx1"/>
            </w14:solidFill>
          </w14:textFill>
        </w:rPr>
        <w:t>）；</w:t>
      </w:r>
    </w:p>
    <w:p w14:paraId="405103FF">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spacing w:line="420" w:lineRule="exact"/>
        <w:ind w:left="-140" w:leftChars="0" w:firstLine="560" w:firstLineChars="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《国家能源局关于进一步加强光伏电站建设与运行管理工作的通知》(国能新能</w:t>
      </w:r>
      <w:r>
        <w:rPr>
          <w:rFonts w:hint="eastAsia" w:ascii="宋体" w:hAnsi="宋体" w:eastAsia="宋体" w:cs="宋体"/>
          <w:color w:val="000000" w:themeColor="text1"/>
          <w:kern w:val="0"/>
          <w:sz w:val="28"/>
          <w:szCs w:val="28"/>
          <w:lang w:bidi="ar"/>
          <w14:textFill>
            <w14:solidFill>
              <w14:schemeClr w14:val="tx1"/>
            </w14:solidFill>
          </w14:textFill>
        </w:rPr>
        <w:t>〔201</w:t>
      </w:r>
      <w:r>
        <w:rPr>
          <w:rFonts w:hint="eastAsia" w:ascii="宋体" w:hAnsi="宋体" w:eastAsia="宋体" w:cs="宋体"/>
          <w:color w:val="000000" w:themeColor="text1"/>
          <w:kern w:val="0"/>
          <w:sz w:val="28"/>
          <w:szCs w:val="28"/>
          <w:lang w:val="en-US" w:eastAsia="zh-CN" w:bidi="ar"/>
          <w14:textFill>
            <w14:solidFill>
              <w14:schemeClr w14:val="tx1"/>
            </w14:solidFill>
          </w14:textFill>
        </w:rPr>
        <w:t>4</w:t>
      </w:r>
      <w:r>
        <w:rPr>
          <w:rFonts w:hint="eastAsia" w:ascii="宋体" w:hAnsi="宋体" w:eastAsia="宋体" w:cs="宋体"/>
          <w:color w:val="000000" w:themeColor="text1"/>
          <w:kern w:val="0"/>
          <w:sz w:val="28"/>
          <w:szCs w:val="28"/>
          <w:lang w:bidi="ar"/>
          <w14:textFill>
            <w14:solidFill>
              <w14:schemeClr w14:val="tx1"/>
            </w14:solidFill>
          </w14:textFill>
        </w:rPr>
        <w:t>〕</w:t>
      </w:r>
      <w:r>
        <w:rPr>
          <w:rFonts w:hint="eastAsia" w:ascii="宋体" w:hAnsi="宋体" w:eastAsia="宋体" w:cs="宋体"/>
          <w:color w:val="000000" w:themeColor="text1"/>
          <w:sz w:val="28"/>
          <w:szCs w:val="28"/>
          <w:lang w:val="zh-CN"/>
          <w14:textFill>
            <w14:solidFill>
              <w14:schemeClr w14:val="tx1"/>
            </w14:solidFill>
          </w14:textFill>
        </w:rPr>
        <w:t>445号);</w:t>
      </w:r>
    </w:p>
    <w:p w14:paraId="2FE19180">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spacing w:line="420" w:lineRule="exact"/>
        <w:ind w:left="-140" w:leftChars="0" w:firstLine="560" w:firstLineChars="0"/>
        <w:jc w:val="left"/>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电力企业应急预案评审和备案细则</w:t>
      </w: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国能综安全〔201</w:t>
      </w:r>
      <w:r>
        <w:rPr>
          <w:rFonts w:hint="eastAsia" w:ascii="宋体" w:hAnsi="宋体" w:eastAsia="宋体" w:cs="宋体"/>
          <w:color w:val="000000" w:themeColor="text1"/>
          <w:kern w:val="0"/>
          <w:sz w:val="28"/>
          <w:szCs w:val="28"/>
          <w:lang w:val="en-US" w:eastAsia="zh-CN" w:bidi="ar"/>
          <w14:textFill>
            <w14:solidFill>
              <w14:schemeClr w14:val="tx1"/>
            </w14:solidFill>
          </w14:textFill>
        </w:rPr>
        <w:t>4</w:t>
      </w:r>
      <w:r>
        <w:rPr>
          <w:rFonts w:hint="eastAsia" w:ascii="宋体" w:hAnsi="宋体" w:eastAsia="宋体" w:cs="宋体"/>
          <w:color w:val="000000" w:themeColor="text1"/>
          <w:kern w:val="0"/>
          <w:sz w:val="28"/>
          <w:szCs w:val="28"/>
          <w:lang w:bidi="ar"/>
          <w14:textFill>
            <w14:solidFill>
              <w14:schemeClr w14:val="tx1"/>
            </w14:solidFill>
          </w14:textFill>
        </w:rPr>
        <w:t>〕953号</w:t>
      </w:r>
      <w:r>
        <w:rPr>
          <w:rFonts w:hint="eastAsia" w:ascii="宋体" w:hAnsi="宋体" w:eastAsia="宋体" w:cs="宋体"/>
          <w:color w:val="000000" w:themeColor="text1"/>
          <w:sz w:val="28"/>
          <w:szCs w:val="28"/>
          <w:lang w:val="zh-CN"/>
          <w14:textFill>
            <w14:solidFill>
              <w14:schemeClr w14:val="tx1"/>
            </w14:solidFill>
          </w14:textFill>
        </w:rPr>
        <w:t>）；</w:t>
      </w:r>
    </w:p>
    <w:p w14:paraId="5ADE87F7">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spacing w:line="420" w:lineRule="exact"/>
        <w:ind w:left="-140" w:leftChars="0" w:firstLine="560" w:firstLineChars="0"/>
        <w:jc w:val="left"/>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《国家能源局关于开展新建电源项目投资开发秩序专项监管工作的</w:t>
      </w:r>
      <w:bookmarkStart w:id="96" w:name="bookmark52"/>
      <w:bookmarkEnd w:id="96"/>
      <w:bookmarkStart w:id="97" w:name="bookmark55"/>
      <w:bookmarkEnd w:id="97"/>
      <w:bookmarkStart w:id="98" w:name="bookmark53"/>
      <w:bookmarkEnd w:id="98"/>
      <w:bookmarkStart w:id="99" w:name="bookmark54"/>
      <w:bookmarkEnd w:id="99"/>
      <w:r>
        <w:rPr>
          <w:rFonts w:hint="eastAsia" w:ascii="宋体" w:hAnsi="宋体" w:eastAsia="宋体" w:cs="宋体"/>
          <w:color w:val="000000" w:themeColor="text1"/>
          <w:sz w:val="28"/>
          <w:szCs w:val="28"/>
          <w:lang w:val="zh-CN"/>
          <w14:textFill>
            <w14:solidFill>
              <w14:schemeClr w14:val="tx1"/>
            </w14:solidFill>
          </w14:textFill>
        </w:rPr>
        <w:t>通知》(国能监管</w:t>
      </w:r>
      <w:r>
        <w:rPr>
          <w:rFonts w:hint="eastAsia" w:ascii="宋体" w:hAnsi="宋体" w:eastAsia="宋体" w:cs="宋体"/>
          <w:color w:val="000000" w:themeColor="text1"/>
          <w:kern w:val="0"/>
          <w:sz w:val="28"/>
          <w:szCs w:val="28"/>
          <w:lang w:bidi="ar"/>
          <w14:textFill>
            <w14:solidFill>
              <w14:schemeClr w14:val="tx1"/>
            </w14:solidFill>
          </w14:textFill>
        </w:rPr>
        <w:t>〔201</w:t>
      </w:r>
      <w:r>
        <w:rPr>
          <w:rFonts w:hint="eastAsia" w:ascii="宋体" w:hAnsi="宋体" w:eastAsia="宋体" w:cs="宋体"/>
          <w:color w:val="000000" w:themeColor="text1"/>
          <w:kern w:val="0"/>
          <w:sz w:val="28"/>
          <w:szCs w:val="28"/>
          <w:lang w:val="en-US" w:eastAsia="zh-CN" w:bidi="ar"/>
          <w14:textFill>
            <w14:solidFill>
              <w14:schemeClr w14:val="tx1"/>
            </w14:solidFill>
          </w14:textFill>
        </w:rPr>
        <w:t>4</w:t>
      </w:r>
      <w:r>
        <w:rPr>
          <w:rFonts w:hint="eastAsia" w:ascii="宋体" w:hAnsi="宋体" w:eastAsia="宋体" w:cs="宋体"/>
          <w:color w:val="000000" w:themeColor="text1"/>
          <w:kern w:val="0"/>
          <w:sz w:val="28"/>
          <w:szCs w:val="28"/>
          <w:lang w:bidi="ar"/>
          <w14:textFill>
            <w14:solidFill>
              <w14:schemeClr w14:val="tx1"/>
            </w14:solidFill>
          </w14:textFill>
        </w:rPr>
        <w:t>〕</w:t>
      </w:r>
      <w:r>
        <w:rPr>
          <w:rFonts w:hint="eastAsia" w:ascii="宋体" w:hAnsi="宋体" w:eastAsia="宋体" w:cs="宋体"/>
          <w:color w:val="000000" w:themeColor="text1"/>
          <w:sz w:val="28"/>
          <w:szCs w:val="28"/>
          <w:lang w:val="zh-CN"/>
          <w14:textFill>
            <w14:solidFill>
              <w14:schemeClr w14:val="tx1"/>
            </w14:solidFill>
          </w14:textFill>
        </w:rPr>
        <w:t>450号)；</w:t>
      </w:r>
    </w:p>
    <w:p w14:paraId="2A6232F3">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spacing w:line="420" w:lineRule="exact"/>
        <w:ind w:left="-140" w:leftChars="0" w:firstLine="560" w:firstLineChars="0"/>
        <w:jc w:val="left"/>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《国家能源局关于下达2015年光伏发电建设实施方案的通知》（国能新能</w:t>
      </w:r>
      <w:r>
        <w:rPr>
          <w:rFonts w:hint="eastAsia" w:ascii="宋体" w:hAnsi="宋体" w:eastAsia="宋体" w:cs="宋体"/>
          <w:color w:val="000000" w:themeColor="text1"/>
          <w:kern w:val="0"/>
          <w:sz w:val="28"/>
          <w:szCs w:val="28"/>
          <w:lang w:bidi="ar"/>
          <w14:textFill>
            <w14:solidFill>
              <w14:schemeClr w14:val="tx1"/>
            </w14:solidFill>
          </w14:textFill>
        </w:rPr>
        <w:t>〔201</w:t>
      </w:r>
      <w:r>
        <w:rPr>
          <w:rFonts w:hint="eastAsia" w:ascii="宋体" w:hAnsi="宋体" w:eastAsia="宋体" w:cs="宋体"/>
          <w:color w:val="000000" w:themeColor="text1"/>
          <w:kern w:val="0"/>
          <w:sz w:val="28"/>
          <w:szCs w:val="28"/>
          <w:lang w:val="en-US" w:eastAsia="zh-CN" w:bidi="ar"/>
          <w14:textFill>
            <w14:solidFill>
              <w14:schemeClr w14:val="tx1"/>
            </w14:solidFill>
          </w14:textFill>
        </w:rPr>
        <w:t>5</w:t>
      </w:r>
      <w:r>
        <w:rPr>
          <w:rFonts w:hint="eastAsia" w:ascii="宋体" w:hAnsi="宋体" w:eastAsia="宋体" w:cs="宋体"/>
          <w:color w:val="000000" w:themeColor="text1"/>
          <w:kern w:val="0"/>
          <w:sz w:val="28"/>
          <w:szCs w:val="28"/>
          <w:lang w:bidi="ar"/>
          <w14:textFill>
            <w14:solidFill>
              <w14:schemeClr w14:val="tx1"/>
            </w14:solidFill>
          </w14:textFill>
        </w:rPr>
        <w:t>〕</w:t>
      </w:r>
      <w:r>
        <w:rPr>
          <w:rFonts w:hint="eastAsia" w:ascii="宋体" w:hAnsi="宋体" w:eastAsia="宋体" w:cs="宋体"/>
          <w:color w:val="000000" w:themeColor="text1"/>
          <w:sz w:val="28"/>
          <w:szCs w:val="28"/>
          <w:lang w:val="zh-CN"/>
          <w14:textFill>
            <w14:solidFill>
              <w14:schemeClr w14:val="tx1"/>
            </w14:solidFill>
          </w14:textFill>
        </w:rPr>
        <w:t>73号）</w:t>
      </w:r>
      <w:r>
        <w:rPr>
          <w:rFonts w:hint="eastAsia" w:ascii="宋体" w:hAnsi="宋体" w:cs="宋体"/>
          <w:color w:val="000000" w:themeColor="text1"/>
          <w:sz w:val="28"/>
          <w:szCs w:val="28"/>
          <w:lang w:val="zh-CN"/>
          <w14:textFill>
            <w14:solidFill>
              <w14:schemeClr w14:val="tx1"/>
            </w14:solidFill>
          </w14:textFill>
        </w:rPr>
        <w:t>；</w:t>
      </w:r>
    </w:p>
    <w:p w14:paraId="4C1B9B12">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spacing w:line="420" w:lineRule="exact"/>
        <w:ind w:left="-140" w:leftChars="0" w:firstLine="560" w:firstLineChars="0"/>
        <w:jc w:val="left"/>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kern w:val="0"/>
          <w:sz w:val="28"/>
          <w:szCs w:val="28"/>
          <w:lang w:eastAsia="zh-CN" w:bidi="ar"/>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电力安全生产监督管理办法</w:t>
      </w: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国家发展和改革委员会令第21号</w:t>
      </w:r>
      <w:r>
        <w:rPr>
          <w:rFonts w:hint="eastAsia" w:ascii="宋体" w:hAnsi="宋体" w:eastAsia="宋体" w:cs="宋体"/>
          <w:color w:val="000000" w:themeColor="text1"/>
          <w:sz w:val="28"/>
          <w:szCs w:val="28"/>
          <w:lang w:val="zh-CN"/>
          <w14:textFill>
            <w14:solidFill>
              <w14:schemeClr w14:val="tx1"/>
            </w14:solidFill>
          </w14:textFill>
        </w:rPr>
        <w:t>）；</w:t>
      </w:r>
    </w:p>
    <w:p w14:paraId="6CFD9510">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spacing w:line="420" w:lineRule="exact"/>
        <w:ind w:left="-140" w:leftChars="0" w:firstLine="560" w:firstLineChars="0"/>
        <w:jc w:val="left"/>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kern w:val="0"/>
          <w:sz w:val="28"/>
          <w:szCs w:val="28"/>
          <w:lang w:eastAsia="zh-CN" w:bidi="ar"/>
          <w14:textFill>
            <w14:solidFill>
              <w14:schemeClr w14:val="tx1"/>
            </w14:solidFill>
          </w14:textFill>
        </w:rPr>
        <w:t>《</w:t>
      </w:r>
      <w:r>
        <w:rPr>
          <w:rFonts w:hint="eastAsia" w:ascii="宋体" w:hAnsi="宋体" w:eastAsia="宋体" w:cs="宋体"/>
          <w:color w:val="000000" w:themeColor="text1"/>
          <w:kern w:val="0"/>
          <w:sz w:val="28"/>
          <w:szCs w:val="28"/>
          <w:lang w:bidi="ar"/>
          <w14:textFill>
            <w14:solidFill>
              <w14:schemeClr w14:val="tx1"/>
            </w14:solidFill>
          </w14:textFill>
        </w:rPr>
        <w:t>电力建</w:t>
      </w:r>
      <w:r>
        <w:rPr>
          <w:rFonts w:hint="eastAsia" w:ascii="宋体" w:hAnsi="宋体" w:eastAsia="宋体" w:cs="宋体"/>
          <w:color w:val="000000" w:themeColor="text1"/>
          <w:sz w:val="28"/>
          <w:szCs w:val="28"/>
          <w:lang w:val="zh-CN"/>
          <w14:textFill>
            <w14:solidFill>
              <w14:schemeClr w14:val="tx1"/>
            </w14:solidFill>
          </w14:textFill>
        </w:rPr>
        <w:t>设工程施工安全监督管理办法》（国家发展和改革委员会令第28号）；</w:t>
      </w:r>
    </w:p>
    <w:p w14:paraId="4D08B3E5">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spacing w:line="420" w:lineRule="exact"/>
        <w:ind w:left="-140" w:leftChars="0" w:firstLine="560" w:firstLineChars="0"/>
        <w:jc w:val="left"/>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《电力可靠性管理办法（暂行）》（国家发展和改革委员会令第50号</w:t>
      </w:r>
      <w:r>
        <w:rPr>
          <w:rFonts w:hint="eastAsia" w:ascii="宋体" w:hAnsi="宋体" w:eastAsia="宋体" w:cs="宋体"/>
          <w:color w:val="000000" w:themeColor="text1"/>
          <w:sz w:val="28"/>
          <w:szCs w:val="28"/>
          <w:lang w:val="zh-CN" w:eastAsia="zh-CN"/>
          <w14:textFill>
            <w14:solidFill>
              <w14:schemeClr w14:val="tx1"/>
            </w14:solidFill>
          </w14:textFill>
        </w:rPr>
        <w:t>）；</w:t>
      </w:r>
    </w:p>
    <w:p w14:paraId="7A175D88">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spacing w:line="420" w:lineRule="exact"/>
        <w:ind w:left="-140" w:leftChars="0" w:firstLine="560" w:firstLineChars="0"/>
        <w:jc w:val="left"/>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《关于印发&lt;企业安全生产费用提取和使用管理办法&gt;的通知》（财</w:t>
      </w:r>
      <w:r>
        <w:rPr>
          <w:rFonts w:hint="eastAsia" w:ascii="宋体" w:hAnsi="宋体" w:eastAsia="宋体" w:cs="宋体"/>
          <w:color w:val="000000" w:themeColor="text1"/>
          <w:sz w:val="28"/>
          <w:szCs w:val="28"/>
          <w:lang w:val="en-US" w:eastAsia="zh-CN"/>
          <w14:textFill>
            <w14:solidFill>
              <w14:schemeClr w14:val="tx1"/>
            </w14:solidFill>
          </w14:textFill>
        </w:rPr>
        <w:t>资</w:t>
      </w:r>
      <w:r>
        <w:rPr>
          <w:rFonts w:hint="eastAsia" w:ascii="宋体" w:hAnsi="宋体" w:eastAsia="宋体" w:cs="宋体"/>
          <w:color w:val="000000" w:themeColor="text1"/>
          <w:sz w:val="28"/>
          <w:szCs w:val="28"/>
          <w14:textFill>
            <w14:solidFill>
              <w14:schemeClr w14:val="tx1"/>
            </w14:solidFill>
          </w14:textFill>
        </w:rPr>
        <w:t>〔20</w:t>
      </w: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14:textFill>
            <w14:solidFill>
              <w14:schemeClr w14:val="tx1"/>
            </w14:solidFill>
          </w14:textFill>
        </w:rPr>
        <w:t>2〕</w:t>
      </w:r>
      <w:r>
        <w:rPr>
          <w:rFonts w:hint="eastAsia" w:ascii="宋体" w:hAnsi="宋体" w:eastAsia="宋体" w:cs="宋体"/>
          <w:color w:val="000000" w:themeColor="text1"/>
          <w:sz w:val="28"/>
          <w:szCs w:val="28"/>
          <w:lang w:val="en-US" w:eastAsia="zh-CN"/>
          <w14:textFill>
            <w14:solidFill>
              <w14:schemeClr w14:val="tx1"/>
            </w14:solidFill>
          </w14:textFill>
        </w:rPr>
        <w:t>136</w:t>
      </w:r>
      <w:r>
        <w:rPr>
          <w:rFonts w:hint="eastAsia" w:ascii="宋体" w:hAnsi="宋体" w:eastAsia="宋体" w:cs="宋体"/>
          <w:color w:val="000000" w:themeColor="text1"/>
          <w:sz w:val="28"/>
          <w:szCs w:val="28"/>
          <w14:textFill>
            <w14:solidFill>
              <w14:schemeClr w14:val="tx1"/>
            </w14:solidFill>
          </w14:textFill>
        </w:rPr>
        <w:t>号）；</w:t>
      </w:r>
    </w:p>
    <w:p w14:paraId="5A996E44">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spacing w:line="420" w:lineRule="exact"/>
        <w:ind w:left="-140" w:leftChars="0" w:firstLine="560" w:firstLineChars="0"/>
        <w:jc w:val="left"/>
        <w:textAlignment w:val="auto"/>
        <w:rPr>
          <w:rFonts w:hint="eastAsia" w:ascii="宋体" w:hAnsi="宋体" w:eastAsia="宋体" w:cs="宋体"/>
          <w:sz w:val="28"/>
          <w:szCs w:val="28"/>
          <w:lang w:val="en-US" w:eastAsia="zh-CN"/>
        </w:rPr>
      </w:pPr>
      <w:r>
        <w:rPr>
          <w:rFonts w:hint="eastAsia" w:ascii="宋体" w:hAnsi="宋体" w:eastAsia="宋体" w:cs="宋体"/>
          <w:color w:val="000000" w:themeColor="text1"/>
          <w:sz w:val="28"/>
          <w:szCs w:val="28"/>
          <w:lang w:val="zh-CN"/>
          <w14:textFill>
            <w14:solidFill>
              <w14:schemeClr w14:val="tx1"/>
            </w14:solidFill>
          </w14:textFill>
        </w:rPr>
        <w:t>《产业结构调整指导目录（20</w:t>
      </w:r>
      <w:r>
        <w:rPr>
          <w:rFonts w:hint="eastAsia" w:ascii="宋体" w:hAnsi="宋体" w:eastAsia="宋体" w:cs="宋体"/>
          <w:color w:val="000000" w:themeColor="text1"/>
          <w:sz w:val="28"/>
          <w:szCs w:val="28"/>
          <w:lang w:val="en-US" w:eastAsia="zh-CN"/>
          <w14:textFill>
            <w14:solidFill>
              <w14:schemeClr w14:val="tx1"/>
            </w14:solidFill>
          </w14:textFill>
        </w:rPr>
        <w:t>24</w:t>
      </w:r>
      <w:r>
        <w:rPr>
          <w:rFonts w:hint="eastAsia" w:ascii="宋体" w:hAnsi="宋体" w:eastAsia="宋体" w:cs="宋体"/>
          <w:color w:val="000000" w:themeColor="text1"/>
          <w:sz w:val="28"/>
          <w:szCs w:val="28"/>
          <w:lang w:val="zh-CN"/>
          <w14:textFill>
            <w14:solidFill>
              <w14:schemeClr w14:val="tx1"/>
            </w14:solidFill>
          </w14:textFill>
        </w:rPr>
        <w:t>年本）》（国家发展改革委令第7号）</w:t>
      </w:r>
      <w:r>
        <w:rPr>
          <w:rFonts w:hint="eastAsia" w:ascii="宋体" w:hAnsi="宋体" w:cs="宋体"/>
          <w:color w:val="000000" w:themeColor="text1"/>
          <w:sz w:val="28"/>
          <w:szCs w:val="28"/>
          <w:lang w:val="zh-CN"/>
          <w14:textFill>
            <w14:solidFill>
              <w14:schemeClr w14:val="tx1"/>
            </w14:solidFill>
          </w14:textFill>
        </w:rPr>
        <w:t>；</w:t>
      </w:r>
    </w:p>
    <w:p w14:paraId="223779D0">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spacing w:line="420" w:lineRule="exact"/>
        <w:ind w:left="-140" w:leftChars="0" w:firstLine="560" w:firstLineChars="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eastAsia="zh-CN"/>
        </w:rPr>
        <w:t>《安全评价通则》（</w:t>
      </w:r>
      <w:r>
        <w:rPr>
          <w:rFonts w:hint="eastAsia" w:ascii="宋体" w:hAnsi="宋体" w:eastAsia="宋体" w:cs="宋体"/>
          <w:sz w:val="28"/>
          <w:szCs w:val="28"/>
          <w:lang w:val="en-US" w:eastAsia="zh-CN"/>
        </w:rPr>
        <w:t>AQ8001</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w:t>
      </w:r>
    </w:p>
    <w:p w14:paraId="35CB279A">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spacing w:line="420" w:lineRule="exact"/>
        <w:ind w:left="-140" w:leftChars="0" w:firstLine="560" w:firstLineChars="0"/>
        <w:jc w:val="left"/>
        <w:textAlignment w:val="auto"/>
        <w:rPr>
          <w:rFonts w:hint="default"/>
          <w:lang w:val="en-US" w:eastAsia="zh-CN"/>
        </w:rPr>
      </w:pPr>
      <w:r>
        <w:rPr>
          <w:rFonts w:hint="eastAsia" w:ascii="宋体" w:hAnsi="宋体" w:eastAsia="宋体" w:cs="宋体"/>
          <w:sz w:val="28"/>
          <w:szCs w:val="28"/>
        </w:rPr>
        <w:t>《安全验收评价导则》</w:t>
      </w:r>
      <w:r>
        <w:rPr>
          <w:rFonts w:hint="eastAsia" w:ascii="宋体" w:hAnsi="宋体" w:eastAsia="宋体" w:cs="宋体"/>
          <w:sz w:val="28"/>
          <w:szCs w:val="28"/>
          <w:lang w:val="en-US" w:eastAsia="zh-CN"/>
        </w:rPr>
        <w:t>(AQ8003)。</w:t>
      </w:r>
    </w:p>
    <w:p w14:paraId="206A5683">
      <w:pPr>
        <w:pStyle w:val="4"/>
        <w:pageBreakBefore w:val="0"/>
        <w:widowControl w:val="0"/>
        <w:kinsoku/>
        <w:wordWrap/>
        <w:overflowPunct/>
        <w:topLinePunct w:val="0"/>
        <w:autoSpaceDE/>
        <w:autoSpaceDN/>
        <w:bidi w:val="0"/>
        <w:spacing w:line="420" w:lineRule="exact"/>
        <w:textAlignment w:val="auto"/>
        <w:rPr>
          <w:rFonts w:hint="default" w:ascii="Times New Roman" w:hAnsi="Times New Roman" w:eastAsia="宋体" w:cs="Times New Roman"/>
          <w:b/>
          <w:bCs/>
          <w:lang w:val="en-US" w:eastAsia="zh-CN"/>
        </w:rPr>
      </w:pPr>
      <w:bookmarkStart w:id="100" w:name="_Toc4082"/>
      <w:bookmarkStart w:id="101" w:name="_Toc29912"/>
      <w:bookmarkStart w:id="102" w:name="_Toc665"/>
      <w:bookmarkStart w:id="103" w:name="_Toc11604"/>
      <w:r>
        <w:rPr>
          <w:rFonts w:hint="eastAsia" w:ascii="Times New Roman" w:hAnsi="Times New Roman" w:eastAsia="宋体" w:cs="Times New Roman"/>
          <w:b/>
          <w:bCs/>
          <w:lang w:val="en-US" w:eastAsia="zh-CN"/>
        </w:rPr>
        <w:t>1.2.4</w:t>
      </w:r>
      <w:r>
        <w:rPr>
          <w:rFonts w:hint="default" w:ascii="Times New Roman" w:hAnsi="Times New Roman" w:eastAsia="宋体" w:cs="Times New Roman"/>
          <w:b/>
          <w:bCs/>
          <w:lang w:val="en-US" w:eastAsia="zh-CN"/>
        </w:rPr>
        <w:t>地方性法规及规范性文件</w:t>
      </w:r>
      <w:bookmarkEnd w:id="89"/>
      <w:bookmarkEnd w:id="90"/>
      <w:bookmarkEnd w:id="91"/>
      <w:bookmarkEnd w:id="92"/>
      <w:bookmarkEnd w:id="93"/>
      <w:bookmarkEnd w:id="94"/>
      <w:bookmarkEnd w:id="100"/>
      <w:bookmarkEnd w:id="101"/>
      <w:bookmarkEnd w:id="102"/>
      <w:bookmarkEnd w:id="103"/>
    </w:p>
    <w:p w14:paraId="76CC2D88">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bookmarkStart w:id="104" w:name="_Toc15657"/>
      <w:bookmarkStart w:id="105" w:name="_Toc21549"/>
      <w:bookmarkStart w:id="106" w:name="_Toc300069281"/>
      <w:bookmarkStart w:id="107" w:name="_Toc373534853"/>
      <w:bookmarkStart w:id="108" w:name="_Toc21457"/>
      <w:bookmarkStart w:id="109" w:name="_Toc331963183"/>
      <w:bookmarkStart w:id="110" w:name="_Toc28514"/>
      <w:bookmarkStart w:id="111" w:name="_Toc29922"/>
      <w:bookmarkStart w:id="112" w:name="_Toc387235498"/>
      <w:r>
        <w:rPr>
          <w:rFonts w:hint="eastAsia" w:ascii="宋体" w:hAnsi="宋体" w:eastAsia="宋体" w:cs="Times New Roman"/>
          <w:kern w:val="2"/>
          <w:sz w:val="28"/>
          <w:szCs w:val="28"/>
          <w:lang w:val="zh-CN" w:eastAsia="zh-CN" w:bidi="ar-SA"/>
        </w:rPr>
        <w:t>1</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《云南省安全生产条例》（2018年1月1日起施行）；</w:t>
      </w:r>
    </w:p>
    <w:p w14:paraId="2A0544A5">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2</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《云南省消防条例》（2010年9月30日云南省第十一届人民代表大会常务委员会第十九次会议修订通过，自2011年1月1日起施行）；</w:t>
      </w:r>
    </w:p>
    <w:p w14:paraId="5B42F8A0">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3.《云南省突发事件应对条例》（201</w:t>
      </w:r>
      <w:r>
        <w:rPr>
          <w:rFonts w:hint="eastAsia" w:ascii="宋体" w:hAnsi="宋体" w:cs="Times New Roman"/>
          <w:kern w:val="2"/>
          <w:sz w:val="28"/>
          <w:szCs w:val="28"/>
          <w:lang w:val="en-US" w:eastAsia="zh-CN" w:bidi="ar-SA"/>
        </w:rPr>
        <w:t>0</w:t>
      </w:r>
      <w:r>
        <w:rPr>
          <w:rFonts w:hint="eastAsia" w:ascii="宋体" w:hAnsi="宋体" w:eastAsia="宋体" w:cs="Times New Roman"/>
          <w:kern w:val="2"/>
          <w:sz w:val="28"/>
          <w:szCs w:val="28"/>
          <w:lang w:val="zh-CN" w:eastAsia="zh-CN" w:bidi="ar-SA"/>
        </w:rPr>
        <w:t>年</w:t>
      </w:r>
      <w:r>
        <w:rPr>
          <w:rFonts w:hint="eastAsia" w:ascii="宋体" w:hAnsi="宋体" w:cs="Times New Roman"/>
          <w:kern w:val="2"/>
          <w:sz w:val="28"/>
          <w:szCs w:val="28"/>
          <w:lang w:val="en-US" w:eastAsia="zh-CN" w:bidi="ar-SA"/>
        </w:rPr>
        <w:t>9</w:t>
      </w:r>
      <w:r>
        <w:rPr>
          <w:rFonts w:hint="eastAsia" w:ascii="宋体" w:hAnsi="宋体" w:eastAsia="宋体" w:cs="Times New Roman"/>
          <w:kern w:val="2"/>
          <w:sz w:val="28"/>
          <w:szCs w:val="28"/>
          <w:lang w:val="zh-CN" w:eastAsia="zh-CN" w:bidi="ar-SA"/>
        </w:rPr>
        <w:t>月</w:t>
      </w:r>
      <w:r>
        <w:rPr>
          <w:rFonts w:hint="eastAsia" w:ascii="宋体" w:hAnsi="宋体" w:cs="Times New Roman"/>
          <w:kern w:val="2"/>
          <w:sz w:val="28"/>
          <w:szCs w:val="28"/>
          <w:lang w:val="en-US" w:eastAsia="zh-CN" w:bidi="ar-SA"/>
        </w:rPr>
        <w:t>30</w:t>
      </w:r>
      <w:r>
        <w:rPr>
          <w:rFonts w:hint="eastAsia" w:ascii="宋体" w:hAnsi="宋体" w:eastAsia="宋体" w:cs="Times New Roman"/>
          <w:kern w:val="2"/>
          <w:sz w:val="28"/>
          <w:szCs w:val="28"/>
          <w:lang w:val="zh-CN" w:eastAsia="zh-CN" w:bidi="ar-SA"/>
        </w:rPr>
        <w:t>日经云南省第十</w:t>
      </w:r>
      <w:r>
        <w:rPr>
          <w:rFonts w:hint="eastAsia" w:ascii="宋体" w:hAnsi="宋体" w:cs="Times New Roman"/>
          <w:kern w:val="2"/>
          <w:sz w:val="28"/>
          <w:szCs w:val="28"/>
          <w:lang w:val="en-US" w:eastAsia="zh-CN" w:bidi="ar-SA"/>
        </w:rPr>
        <w:t>一</w:t>
      </w:r>
      <w:r>
        <w:rPr>
          <w:rFonts w:hint="eastAsia" w:ascii="宋体" w:hAnsi="宋体" w:eastAsia="宋体" w:cs="Times New Roman"/>
          <w:kern w:val="2"/>
          <w:sz w:val="28"/>
          <w:szCs w:val="28"/>
          <w:lang w:val="zh-CN" w:eastAsia="zh-CN" w:bidi="ar-SA"/>
        </w:rPr>
        <w:t>届人民代表大会常务委员会第十</w:t>
      </w:r>
      <w:r>
        <w:rPr>
          <w:rFonts w:hint="eastAsia" w:ascii="宋体" w:hAnsi="宋体" w:cs="Times New Roman"/>
          <w:kern w:val="2"/>
          <w:sz w:val="28"/>
          <w:szCs w:val="28"/>
          <w:lang w:val="en-US" w:eastAsia="zh-CN" w:bidi="ar-SA"/>
        </w:rPr>
        <w:t>九</w:t>
      </w:r>
      <w:r>
        <w:rPr>
          <w:rFonts w:hint="eastAsia" w:ascii="宋体" w:hAnsi="宋体" w:eastAsia="宋体" w:cs="Times New Roman"/>
          <w:kern w:val="2"/>
          <w:sz w:val="28"/>
          <w:szCs w:val="28"/>
          <w:lang w:val="zh-CN" w:eastAsia="zh-CN" w:bidi="ar-SA"/>
        </w:rPr>
        <w:t>次会议通过，20</w:t>
      </w:r>
      <w:r>
        <w:rPr>
          <w:rFonts w:hint="eastAsia" w:ascii="宋体" w:hAnsi="宋体" w:cs="Times New Roman"/>
          <w:kern w:val="2"/>
          <w:sz w:val="28"/>
          <w:szCs w:val="28"/>
          <w:lang w:val="en-US" w:eastAsia="zh-CN" w:bidi="ar-SA"/>
        </w:rPr>
        <w:t>20</w:t>
      </w:r>
      <w:r>
        <w:rPr>
          <w:rFonts w:hint="eastAsia" w:ascii="宋体" w:hAnsi="宋体" w:eastAsia="宋体" w:cs="Times New Roman"/>
          <w:kern w:val="2"/>
          <w:sz w:val="28"/>
          <w:szCs w:val="28"/>
          <w:lang w:val="zh-CN" w:eastAsia="zh-CN" w:bidi="ar-SA"/>
        </w:rPr>
        <w:t>年</w:t>
      </w:r>
      <w:r>
        <w:rPr>
          <w:rFonts w:hint="eastAsia" w:ascii="宋体" w:hAnsi="宋体" w:cs="Times New Roman"/>
          <w:kern w:val="2"/>
          <w:sz w:val="28"/>
          <w:szCs w:val="28"/>
          <w:lang w:val="en-US" w:eastAsia="zh-CN" w:bidi="ar-SA"/>
        </w:rPr>
        <w:t>11</w:t>
      </w:r>
      <w:r>
        <w:rPr>
          <w:rFonts w:hint="eastAsia" w:ascii="宋体" w:hAnsi="宋体" w:eastAsia="宋体" w:cs="Times New Roman"/>
          <w:kern w:val="2"/>
          <w:sz w:val="28"/>
          <w:szCs w:val="28"/>
          <w:lang w:val="zh-CN" w:eastAsia="zh-CN" w:bidi="ar-SA"/>
        </w:rPr>
        <w:t>月</w:t>
      </w:r>
      <w:r>
        <w:rPr>
          <w:rFonts w:hint="eastAsia" w:ascii="宋体" w:hAnsi="宋体" w:cs="Times New Roman"/>
          <w:kern w:val="2"/>
          <w:sz w:val="28"/>
          <w:szCs w:val="28"/>
          <w:lang w:val="en-US" w:eastAsia="zh-CN" w:bidi="ar-SA"/>
        </w:rPr>
        <w:t>25</w:t>
      </w:r>
      <w:r>
        <w:rPr>
          <w:rFonts w:hint="eastAsia" w:ascii="宋体" w:hAnsi="宋体" w:eastAsia="宋体" w:cs="Times New Roman"/>
          <w:kern w:val="2"/>
          <w:sz w:val="28"/>
          <w:szCs w:val="28"/>
          <w:lang w:val="zh-CN" w:eastAsia="zh-CN" w:bidi="ar-SA"/>
        </w:rPr>
        <w:t>日起施行）；</w:t>
      </w:r>
    </w:p>
    <w:p w14:paraId="312474C7">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4</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《云南省人民政府贯彻落实国务院关于进一步加强企业安全生产工作通知的实施意见》（云政发〔2010〕157号）；</w:t>
      </w:r>
    </w:p>
    <w:p w14:paraId="5CD82007">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5</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 xml:space="preserve">《云南省劳动保护条例》（云南省人大常委会公告第68号）； </w:t>
      </w:r>
    </w:p>
    <w:p w14:paraId="65AB7020">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en-US" w:eastAsia="zh-CN" w:bidi="ar-SA"/>
        </w:rPr>
        <w:t>6.</w:t>
      </w:r>
      <w:r>
        <w:rPr>
          <w:rFonts w:hint="eastAsia" w:ascii="宋体" w:hAnsi="宋体" w:eastAsia="宋体" w:cs="Times New Roman"/>
          <w:kern w:val="2"/>
          <w:sz w:val="28"/>
          <w:szCs w:val="28"/>
          <w:lang w:val="zh-CN" w:eastAsia="zh-CN" w:bidi="ar-SA"/>
        </w:rPr>
        <w:t xml:space="preserve">《云南省人民政府关于进一步加强安全生产工作的决定》（云政发【2011】229号）； </w:t>
      </w:r>
    </w:p>
    <w:p w14:paraId="08C61255">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en-US" w:eastAsia="zh-CN" w:bidi="ar-SA"/>
        </w:rPr>
        <w:t>7.</w:t>
      </w:r>
      <w:r>
        <w:rPr>
          <w:rFonts w:hint="eastAsia" w:ascii="宋体" w:hAnsi="宋体" w:eastAsia="宋体" w:cs="Times New Roman"/>
          <w:kern w:val="2"/>
          <w:sz w:val="28"/>
          <w:szCs w:val="28"/>
          <w:lang w:val="zh-CN" w:eastAsia="zh-CN" w:bidi="ar-SA"/>
        </w:rPr>
        <w:t>《云南电力调度控制中心关于印发《云南电网并网电厂二次系统复核性试验管理办法（试行）》的通知》（调度继电【2013】19号）</w:t>
      </w:r>
      <w:r>
        <w:rPr>
          <w:rFonts w:hint="eastAsia" w:ascii="宋体" w:hAnsi="宋体" w:cs="Times New Roman"/>
          <w:kern w:val="2"/>
          <w:sz w:val="28"/>
          <w:szCs w:val="28"/>
          <w:lang w:val="zh-CN" w:eastAsia="zh-CN" w:bidi="ar-SA"/>
        </w:rPr>
        <w:t>；</w:t>
      </w:r>
      <w:r>
        <w:rPr>
          <w:rFonts w:hint="eastAsia" w:ascii="宋体" w:hAnsi="宋体" w:eastAsia="宋体" w:cs="Times New Roman"/>
          <w:kern w:val="2"/>
          <w:sz w:val="28"/>
          <w:szCs w:val="28"/>
          <w:lang w:val="zh-CN" w:eastAsia="zh-CN" w:bidi="ar-SA"/>
        </w:rPr>
        <w:t xml:space="preserve"> </w:t>
      </w:r>
    </w:p>
    <w:p w14:paraId="2B5BDD4E">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en-US" w:eastAsia="zh-CN" w:bidi="ar-SA"/>
        </w:rPr>
        <w:t>8.</w:t>
      </w:r>
      <w:r>
        <w:rPr>
          <w:rFonts w:hint="eastAsia" w:ascii="宋体" w:hAnsi="宋体" w:eastAsia="宋体" w:cs="Times New Roman"/>
          <w:kern w:val="2"/>
          <w:sz w:val="28"/>
          <w:szCs w:val="28"/>
          <w:lang w:val="zh-CN" w:eastAsia="zh-CN" w:bidi="ar-SA"/>
        </w:rPr>
        <w:t>云南省人民政府关于印发云南省生产经营单位安全生产主体责任规定的通知（云政规〔2022〕4号）。</w:t>
      </w:r>
    </w:p>
    <w:p w14:paraId="247BDB1D">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kern w:val="2"/>
          <w:sz w:val="28"/>
          <w:szCs w:val="28"/>
          <w:lang w:val="en-US" w:eastAsia="zh-CN" w:bidi="ar-SA"/>
        </w:rPr>
      </w:pPr>
      <w:r>
        <w:rPr>
          <w:rFonts w:hint="eastAsia" w:ascii="宋体" w:hAnsi="宋体" w:cs="Times New Roman"/>
          <w:kern w:val="2"/>
          <w:sz w:val="28"/>
          <w:szCs w:val="28"/>
          <w:lang w:val="en-US" w:eastAsia="zh-CN" w:bidi="ar-SA"/>
        </w:rPr>
        <w:t>9.</w:t>
      </w:r>
      <w:r>
        <w:rPr>
          <w:rFonts w:hint="eastAsia" w:ascii="宋体" w:hAnsi="宋体" w:eastAsia="宋体" w:cs="Times New Roman"/>
          <w:kern w:val="2"/>
          <w:sz w:val="28"/>
          <w:szCs w:val="28"/>
          <w:lang w:val="en-US" w:eastAsia="zh-CN" w:bidi="ar-SA"/>
        </w:rPr>
        <w:t>《云南省生产安全事故应急办法》（省人民政府令第227号</w:t>
      </w:r>
      <w:r>
        <w:rPr>
          <w:rFonts w:hint="eastAsia" w:ascii="宋体" w:hAnsi="宋体" w:cs="Times New Roman"/>
          <w:kern w:val="2"/>
          <w:sz w:val="28"/>
          <w:szCs w:val="28"/>
          <w:lang w:val="en-US" w:eastAsia="zh-CN" w:bidi="ar-SA"/>
        </w:rPr>
        <w:t>）；</w:t>
      </w:r>
    </w:p>
    <w:p w14:paraId="48FF8AF4">
      <w:pPr>
        <w:pStyle w:val="20"/>
        <w:pageBreakBefore w:val="0"/>
        <w:kinsoku/>
        <w:wordWrap/>
        <w:overflowPunct/>
        <w:autoSpaceDE/>
        <w:autoSpaceDN/>
        <w:bidi w:val="0"/>
        <w:spacing w:line="420" w:lineRule="exact"/>
        <w:textAlignment w:val="auto"/>
        <w:rPr>
          <w:rFonts w:hint="default"/>
          <w:lang w:val="en-US" w:eastAsia="zh-CN"/>
        </w:rPr>
      </w:pPr>
      <w:r>
        <w:rPr>
          <w:rFonts w:hint="eastAsia" w:ascii="宋体" w:hAnsi="宋体" w:cs="Times New Roman"/>
          <w:kern w:val="2"/>
          <w:sz w:val="28"/>
          <w:szCs w:val="28"/>
          <w:lang w:val="en-US" w:eastAsia="zh-CN" w:bidi="ar-SA"/>
        </w:rPr>
        <w:t>10、</w:t>
      </w:r>
      <w:r>
        <w:rPr>
          <w:rFonts w:hint="eastAsia" w:ascii="宋体" w:hAnsi="宋体" w:cs="宋体"/>
          <w:sz w:val="28"/>
          <w:szCs w:val="28"/>
        </w:rPr>
        <w:t>《云南省电力设施保护条例》</w:t>
      </w:r>
      <w:r>
        <w:rPr>
          <w:rFonts w:hint="eastAsia" w:ascii="宋体" w:hAnsi="宋体" w:cs="宋体"/>
          <w:sz w:val="28"/>
          <w:szCs w:val="28"/>
          <w:lang w:eastAsia="zh-CN"/>
        </w:rPr>
        <w:t>、</w:t>
      </w:r>
      <w:r>
        <w:rPr>
          <w:rFonts w:hint="eastAsia" w:ascii="宋体" w:hAnsi="宋体" w:cs="宋体"/>
          <w:sz w:val="28"/>
          <w:szCs w:val="28"/>
        </w:rPr>
        <w:t>《云南省能源电力系统安全生产治本攻坚三年行动方案（2024—2026年）》</w:t>
      </w:r>
      <w:r>
        <w:rPr>
          <w:rFonts w:hint="eastAsia" w:ascii="宋体" w:hAnsi="宋体" w:cs="宋体"/>
          <w:sz w:val="28"/>
          <w:szCs w:val="28"/>
          <w:lang w:eastAsia="zh-CN"/>
        </w:rPr>
        <w:t>；</w:t>
      </w:r>
    </w:p>
    <w:p w14:paraId="18A9C6A3">
      <w:pPr>
        <w:pStyle w:val="4"/>
        <w:pageBreakBefore w:val="0"/>
        <w:widowControl w:val="0"/>
        <w:kinsoku/>
        <w:wordWrap/>
        <w:overflowPunct/>
        <w:topLinePunct w:val="0"/>
        <w:autoSpaceDE/>
        <w:autoSpaceDN/>
        <w:bidi w:val="0"/>
        <w:spacing w:line="420" w:lineRule="exact"/>
        <w:textAlignment w:val="auto"/>
        <w:rPr>
          <w:rFonts w:hint="default" w:ascii="Times New Roman" w:hAnsi="Times New Roman" w:eastAsia="宋体" w:cs="Times New Roman"/>
          <w:b/>
          <w:bCs/>
          <w:lang w:val="en-US" w:eastAsia="zh-CN"/>
        </w:rPr>
      </w:pPr>
      <w:bookmarkStart w:id="113" w:name="_Toc19906"/>
      <w:bookmarkStart w:id="114" w:name="_Toc22484"/>
      <w:bookmarkStart w:id="115" w:name="_Toc30802"/>
      <w:bookmarkStart w:id="116" w:name="_Toc1577"/>
      <w:r>
        <w:rPr>
          <w:rFonts w:hint="eastAsia" w:ascii="Times New Roman" w:hAnsi="Times New Roman" w:eastAsia="宋体" w:cs="Times New Roman"/>
          <w:b/>
          <w:bCs/>
          <w:lang w:val="en-US" w:eastAsia="zh-CN"/>
        </w:rPr>
        <w:t>1.2.5</w:t>
      </w:r>
      <w:bookmarkEnd w:id="104"/>
      <w:bookmarkEnd w:id="105"/>
      <w:r>
        <w:rPr>
          <w:rFonts w:hint="eastAsia" w:eastAsia="宋体" w:cs="Times New Roman"/>
          <w:b/>
          <w:bCs/>
          <w:lang w:val="en-US" w:eastAsia="zh-CN"/>
        </w:rPr>
        <w:t>主要技术标准规范</w:t>
      </w:r>
      <w:bookmarkEnd w:id="113"/>
      <w:bookmarkEnd w:id="114"/>
      <w:bookmarkEnd w:id="115"/>
      <w:bookmarkEnd w:id="116"/>
    </w:p>
    <w:bookmarkEnd w:id="82"/>
    <w:bookmarkEnd w:id="83"/>
    <w:bookmarkEnd w:id="84"/>
    <w:bookmarkEnd w:id="95"/>
    <w:bookmarkEnd w:id="106"/>
    <w:bookmarkEnd w:id="107"/>
    <w:bookmarkEnd w:id="108"/>
    <w:bookmarkEnd w:id="109"/>
    <w:bookmarkEnd w:id="110"/>
    <w:bookmarkEnd w:id="111"/>
    <w:bookmarkEnd w:id="112"/>
    <w:p w14:paraId="68BBB8B8">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工业企业总平面设计规范</w:t>
      </w:r>
      <w:r>
        <w:rPr>
          <w:rFonts w:hint="eastAsia" w:ascii="宋体" w:hAnsi="宋体" w:eastAsia="宋体" w:cs="Times New Roman"/>
          <w:kern w:val="2"/>
          <w:sz w:val="28"/>
          <w:szCs w:val="28"/>
          <w:lang w:val="zh-CN" w:eastAsia="zh-CN" w:bidi="ar-SA"/>
        </w:rPr>
        <w:t>》（GB50187-2012）；</w:t>
      </w:r>
    </w:p>
    <w:p w14:paraId="424C91BB">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2</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《工业管道的基本识别色、识别符号和安全标识》（GB7231-2003）；</w:t>
      </w:r>
    </w:p>
    <w:p w14:paraId="4267403F">
      <w:pPr>
        <w:pStyle w:val="9"/>
        <w:pageBreakBefore w:val="0"/>
        <w:kinsoku/>
        <w:wordWrap/>
        <w:overflowPunct/>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3</w:t>
      </w:r>
      <w:r>
        <w:rPr>
          <w:rFonts w:hint="eastAsia" w:ascii="宋体" w:hAnsi="宋体" w:eastAsia="宋体" w:cs="Times New Roman"/>
          <w:kern w:val="2"/>
          <w:sz w:val="28"/>
          <w:szCs w:val="28"/>
          <w:lang w:val="en-US" w:eastAsia="zh-CN" w:bidi="ar-SA"/>
        </w:rPr>
        <w:t>.</w:t>
      </w:r>
      <w:r>
        <w:rPr>
          <w:rFonts w:hint="eastAsia" w:ascii="宋体" w:hAnsi="宋体" w:cs="宋体"/>
          <w:color w:val="auto"/>
          <w:sz w:val="28"/>
          <w:szCs w:val="28"/>
          <w:highlight w:val="none"/>
          <w:lang w:eastAsia="zh-CN"/>
        </w:rPr>
        <w:t>《光伏发电站设计标准（2024年</w:t>
      </w:r>
      <w:r>
        <w:rPr>
          <w:rFonts w:hint="eastAsia" w:ascii="宋体" w:hAnsi="宋体" w:cs="宋体"/>
          <w:color w:val="auto"/>
          <w:sz w:val="28"/>
          <w:szCs w:val="28"/>
          <w:highlight w:val="none"/>
          <w:lang w:val="en-US" w:eastAsia="zh-CN"/>
        </w:rPr>
        <w:t>版</w:t>
      </w:r>
      <w:r>
        <w:rPr>
          <w:rFonts w:hint="eastAsia" w:ascii="宋体" w:hAnsi="宋体" w:cs="宋体"/>
          <w:color w:val="auto"/>
          <w:sz w:val="28"/>
          <w:szCs w:val="28"/>
          <w:highlight w:val="none"/>
          <w:lang w:eastAsia="zh-CN"/>
        </w:rPr>
        <w:t>）》</w:t>
      </w:r>
      <w:r>
        <w:rPr>
          <w:rFonts w:hint="eastAsia" w:ascii="宋体" w:hAnsi="宋体" w:eastAsia="宋体" w:cs="Times New Roman"/>
          <w:kern w:val="2"/>
          <w:sz w:val="28"/>
          <w:szCs w:val="28"/>
          <w:lang w:val="zh-CN" w:eastAsia="zh-CN" w:bidi="ar-SA"/>
        </w:rPr>
        <w:t>；</w:t>
      </w:r>
    </w:p>
    <w:p w14:paraId="4EC30E8B">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4</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《3～110kV高压配电装置设计规范》（GB50060-2008）；</w:t>
      </w:r>
    </w:p>
    <w:p w14:paraId="3F41367F">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5</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《建筑光伏系统应用技术标准》（GB/T51368-2019）；</w:t>
      </w:r>
    </w:p>
    <w:p w14:paraId="4DB3E011">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6</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《电力工程电缆设计标准》（GB50217-2018）；</w:t>
      </w:r>
    </w:p>
    <w:p w14:paraId="3F1EACAC">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7</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《建筑物防雷设计规范》（GB50057-2010）；</w:t>
      </w:r>
    </w:p>
    <w:p w14:paraId="54F99E18">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8</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电力系统二次回路保护及自动化机柜（屏）基本尺寸系列</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（GB/T 7267-2015）</w:t>
      </w:r>
      <w:r>
        <w:rPr>
          <w:rFonts w:hint="eastAsia" w:ascii="宋体" w:hAnsi="宋体" w:eastAsia="宋体" w:cs="Times New Roman"/>
          <w:kern w:val="2"/>
          <w:sz w:val="28"/>
          <w:szCs w:val="28"/>
          <w:lang w:val="zh-CN" w:eastAsia="zh-CN" w:bidi="ar-SA"/>
        </w:rPr>
        <w:t>；</w:t>
      </w:r>
    </w:p>
    <w:p w14:paraId="7E9B6647">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9</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《交流电气装置的接地设计规范》</w:t>
      </w:r>
      <w:r>
        <w:rPr>
          <w:rFonts w:hint="eastAsia" w:ascii="宋体" w:hAnsi="宋体" w:cs="Times New Roman"/>
          <w:kern w:val="2"/>
          <w:sz w:val="28"/>
          <w:szCs w:val="28"/>
          <w:lang w:val="zh-CN" w:eastAsia="zh-CN" w:bidi="ar-SA"/>
        </w:rPr>
        <w:t>（</w:t>
      </w:r>
      <w:r>
        <w:rPr>
          <w:rFonts w:hint="eastAsia" w:ascii="宋体" w:hAnsi="宋体" w:eastAsia="宋体" w:cs="Times New Roman"/>
          <w:kern w:val="2"/>
          <w:sz w:val="28"/>
          <w:szCs w:val="28"/>
          <w:lang w:val="zh-CN" w:eastAsia="zh-CN" w:bidi="ar-SA"/>
        </w:rPr>
        <w:t>GB/T50065-2011</w:t>
      </w:r>
      <w:r>
        <w:rPr>
          <w:rFonts w:hint="eastAsia" w:ascii="宋体" w:hAnsi="宋体" w:cs="Times New Roman"/>
          <w:kern w:val="2"/>
          <w:sz w:val="28"/>
          <w:szCs w:val="28"/>
          <w:lang w:val="zh-CN" w:eastAsia="zh-CN" w:bidi="ar-SA"/>
        </w:rPr>
        <w:t>）</w:t>
      </w:r>
      <w:r>
        <w:rPr>
          <w:rFonts w:hint="eastAsia" w:ascii="宋体" w:hAnsi="宋体" w:eastAsia="宋体" w:cs="Times New Roman"/>
          <w:kern w:val="2"/>
          <w:sz w:val="28"/>
          <w:szCs w:val="28"/>
          <w:lang w:val="zh-CN" w:eastAsia="zh-CN" w:bidi="ar-SA"/>
        </w:rPr>
        <w:t>；</w:t>
      </w:r>
    </w:p>
    <w:p w14:paraId="2AF34509">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1</w:t>
      </w:r>
      <w:r>
        <w:rPr>
          <w:rFonts w:hint="eastAsia" w:ascii="宋体" w:hAnsi="宋体" w:cs="Times New Roman"/>
          <w:kern w:val="2"/>
          <w:sz w:val="28"/>
          <w:szCs w:val="28"/>
          <w:lang w:val="en-US" w:eastAsia="zh-CN" w:bidi="ar-SA"/>
        </w:rPr>
        <w:t>0</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《企业职工伤亡事故分类》（</w:t>
      </w:r>
      <w:r>
        <w:rPr>
          <w:rFonts w:hint="eastAsia" w:ascii="宋体" w:hAnsi="宋体" w:cs="Times New Roman"/>
          <w:kern w:val="2"/>
          <w:sz w:val="28"/>
          <w:szCs w:val="28"/>
          <w:lang w:val="zh-CN" w:eastAsia="zh-CN" w:bidi="ar-SA"/>
        </w:rPr>
        <w:t>GB/T 6441-1986</w:t>
      </w:r>
      <w:r>
        <w:rPr>
          <w:rFonts w:hint="eastAsia" w:ascii="宋体" w:hAnsi="宋体" w:eastAsia="宋体" w:cs="Times New Roman"/>
          <w:kern w:val="2"/>
          <w:sz w:val="28"/>
          <w:szCs w:val="28"/>
          <w:lang w:val="zh-CN" w:eastAsia="zh-CN" w:bidi="ar-SA"/>
        </w:rPr>
        <w:t>）；</w:t>
      </w:r>
    </w:p>
    <w:p w14:paraId="33AB28C8">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1</w:t>
      </w: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个体防护装备配备规范 第1部分：总则</w:t>
      </w:r>
      <w:r>
        <w:rPr>
          <w:rFonts w:hint="eastAsia" w:ascii="宋体" w:hAnsi="宋体" w:eastAsia="宋体" w:cs="Times New Roman"/>
          <w:kern w:val="2"/>
          <w:sz w:val="28"/>
          <w:szCs w:val="28"/>
          <w:lang w:val="zh-CN" w:eastAsia="zh-CN" w:bidi="ar-SA"/>
        </w:rPr>
        <w:t>》（GB39800</w:t>
      </w: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zh-CN" w:eastAsia="zh-CN" w:bidi="ar-SA"/>
        </w:rPr>
        <w:t>-2020）；</w:t>
      </w:r>
    </w:p>
    <w:p w14:paraId="1CEAB56D">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1</w:t>
      </w:r>
      <w:r>
        <w:rPr>
          <w:rFonts w:hint="eastAsia" w:ascii="宋体" w:hAnsi="宋体" w:cs="Times New Roman"/>
          <w:kern w:val="2"/>
          <w:sz w:val="28"/>
          <w:szCs w:val="28"/>
          <w:lang w:val="en-US" w:eastAsia="zh-CN" w:bidi="ar-SA"/>
        </w:rPr>
        <w:t>2</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《生产过程危险和有害因素分类与代码》（GB/T13861-2022）；</w:t>
      </w:r>
    </w:p>
    <w:p w14:paraId="798BADAA">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1</w:t>
      </w:r>
      <w:r>
        <w:rPr>
          <w:rFonts w:hint="eastAsia" w:ascii="宋体" w:hAnsi="宋体" w:cs="Times New Roman"/>
          <w:kern w:val="2"/>
          <w:sz w:val="28"/>
          <w:szCs w:val="28"/>
          <w:lang w:val="en-US" w:eastAsia="zh-CN" w:bidi="ar-SA"/>
        </w:rPr>
        <w:t>3</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建筑设计防火规范</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GB 50016-2014[2018年版]</w:t>
      </w:r>
      <w:r>
        <w:rPr>
          <w:rFonts w:hint="eastAsia" w:ascii="宋体" w:hAnsi="宋体" w:eastAsia="宋体" w:cs="Times New Roman"/>
          <w:kern w:val="2"/>
          <w:sz w:val="28"/>
          <w:szCs w:val="28"/>
          <w:lang w:val="zh-CN" w:eastAsia="zh-CN" w:bidi="ar-SA"/>
        </w:rPr>
        <w:t>）；</w:t>
      </w:r>
    </w:p>
    <w:p w14:paraId="736A69E5">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1</w:t>
      </w:r>
      <w:r>
        <w:rPr>
          <w:rFonts w:hint="eastAsia" w:ascii="宋体" w:hAnsi="宋体" w:cs="Times New Roman"/>
          <w:kern w:val="2"/>
          <w:sz w:val="28"/>
          <w:szCs w:val="28"/>
          <w:lang w:val="en-US" w:eastAsia="zh-CN" w:bidi="ar-SA"/>
        </w:rPr>
        <w:t>4</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《建筑灭火器配置设计规范》（GB50140-2005）；</w:t>
      </w:r>
    </w:p>
    <w:p w14:paraId="38CE99F9">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15</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《建筑物电气装置第5-51部分：电气设备的选择和安装通用规则》（GB/T16895.18-2010）；</w:t>
      </w:r>
    </w:p>
    <w:p w14:paraId="7561C379">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16</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建筑抗震设计标准</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GB/T 50011-2010[2024年版]</w:t>
      </w:r>
      <w:r>
        <w:rPr>
          <w:rFonts w:hint="eastAsia" w:ascii="宋体" w:hAnsi="宋体" w:eastAsia="宋体" w:cs="Times New Roman"/>
          <w:kern w:val="2"/>
          <w:sz w:val="28"/>
          <w:szCs w:val="28"/>
          <w:lang w:val="zh-CN" w:eastAsia="zh-CN" w:bidi="ar-SA"/>
        </w:rPr>
        <w:t>）；</w:t>
      </w:r>
    </w:p>
    <w:p w14:paraId="6918B85B">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17</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《构筑物抗震设计规范》（GB50191-2012）；</w:t>
      </w:r>
    </w:p>
    <w:p w14:paraId="004E479B">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18</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《室外排水设计标准》（</w:t>
      </w:r>
      <w:r>
        <w:rPr>
          <w:rFonts w:hint="eastAsia" w:ascii="宋体" w:hAnsi="宋体" w:cs="Times New Roman"/>
          <w:kern w:val="2"/>
          <w:sz w:val="28"/>
          <w:szCs w:val="28"/>
          <w:lang w:val="zh-CN" w:eastAsia="zh-CN" w:bidi="ar-SA"/>
        </w:rPr>
        <w:t>GB50014-2021</w:t>
      </w:r>
      <w:r>
        <w:rPr>
          <w:rFonts w:hint="eastAsia" w:ascii="宋体" w:hAnsi="宋体" w:eastAsia="宋体" w:cs="Times New Roman"/>
          <w:kern w:val="2"/>
          <w:sz w:val="28"/>
          <w:szCs w:val="28"/>
          <w:lang w:val="zh-CN" w:eastAsia="zh-CN" w:bidi="ar-SA"/>
        </w:rPr>
        <w:t>）；</w:t>
      </w:r>
    </w:p>
    <w:p w14:paraId="196B33F8">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19</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《安全色》（GB2893-2008）；</w:t>
      </w:r>
    </w:p>
    <w:p w14:paraId="45B6DBA4">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2</w:t>
      </w:r>
      <w:r>
        <w:rPr>
          <w:rFonts w:hint="eastAsia" w:ascii="宋体" w:hAnsi="宋体" w:cs="Times New Roman"/>
          <w:kern w:val="2"/>
          <w:sz w:val="28"/>
          <w:szCs w:val="28"/>
          <w:lang w:val="en-US" w:eastAsia="zh-CN" w:bidi="ar-SA"/>
        </w:rPr>
        <w:t>0</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《安全标志及其使用导则》（GB2894-2008）；</w:t>
      </w:r>
    </w:p>
    <w:p w14:paraId="35401E8F">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2</w:t>
      </w: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《消防安全标志第1部分：标志》（GB13495.1-2015）；</w:t>
      </w:r>
    </w:p>
    <w:p w14:paraId="01879D53">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2</w:t>
      </w:r>
      <w:r>
        <w:rPr>
          <w:rFonts w:hint="eastAsia" w:ascii="宋体" w:hAnsi="宋体" w:cs="Times New Roman"/>
          <w:kern w:val="2"/>
          <w:sz w:val="28"/>
          <w:szCs w:val="28"/>
          <w:lang w:val="en-US" w:eastAsia="zh-CN" w:bidi="ar-SA"/>
        </w:rPr>
        <w:t>2</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《消防安全标志设置要求》（GB15630-1995）；</w:t>
      </w:r>
    </w:p>
    <w:p w14:paraId="34CF7204">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2</w:t>
      </w:r>
      <w:r>
        <w:rPr>
          <w:rFonts w:hint="eastAsia" w:ascii="宋体" w:hAnsi="宋体" w:cs="Times New Roman"/>
          <w:kern w:val="2"/>
          <w:sz w:val="28"/>
          <w:szCs w:val="28"/>
          <w:lang w:val="en-US" w:eastAsia="zh-CN" w:bidi="ar-SA"/>
        </w:rPr>
        <w:t>3</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《供配电系统设计规范》（GB50052-2009）；</w:t>
      </w:r>
    </w:p>
    <w:p w14:paraId="26721AAE">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2</w:t>
      </w:r>
      <w:r>
        <w:rPr>
          <w:rFonts w:hint="eastAsia" w:ascii="宋体" w:hAnsi="宋体" w:cs="Times New Roman"/>
          <w:kern w:val="2"/>
          <w:sz w:val="28"/>
          <w:szCs w:val="28"/>
          <w:lang w:val="en-US" w:eastAsia="zh-CN" w:bidi="ar-SA"/>
        </w:rPr>
        <w:t>4</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《低压配电设计规范》（GB50054-2011）；</w:t>
      </w:r>
    </w:p>
    <w:p w14:paraId="79D1D182">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25</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《通用用电设备配电设计规范》（GB50055-2011）；</w:t>
      </w:r>
    </w:p>
    <w:p w14:paraId="3A88FA86">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26</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《用电安全导则》（</w:t>
      </w:r>
      <w:r>
        <w:rPr>
          <w:rFonts w:hint="eastAsia" w:ascii="宋体" w:hAnsi="宋体" w:cs="Times New Roman"/>
          <w:kern w:val="2"/>
          <w:sz w:val="28"/>
          <w:szCs w:val="28"/>
          <w:lang w:val="zh-CN" w:eastAsia="zh-CN" w:bidi="ar-SA"/>
        </w:rPr>
        <w:t>GB/T13869-2017</w:t>
      </w:r>
      <w:r>
        <w:rPr>
          <w:rFonts w:hint="eastAsia" w:ascii="宋体" w:hAnsi="宋体" w:eastAsia="宋体" w:cs="Times New Roman"/>
          <w:kern w:val="2"/>
          <w:sz w:val="28"/>
          <w:szCs w:val="28"/>
          <w:lang w:val="zh-CN" w:eastAsia="zh-CN" w:bidi="ar-SA"/>
        </w:rPr>
        <w:t>）；</w:t>
      </w:r>
    </w:p>
    <w:p w14:paraId="2F53FC28">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27</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《生产经营单位生产安全事故应急预案编制导则》（GB/T29639-2020）；</w:t>
      </w:r>
    </w:p>
    <w:p w14:paraId="422C73CC">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28</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防止静电事故通用导则</w:t>
      </w:r>
      <w:r>
        <w:rPr>
          <w:rFonts w:hint="eastAsia" w:ascii="宋体" w:hAnsi="宋体" w:eastAsia="宋体" w:cs="Times New Roman"/>
          <w:kern w:val="2"/>
          <w:sz w:val="28"/>
          <w:szCs w:val="28"/>
          <w:lang w:val="zh-CN" w:eastAsia="zh-CN" w:bidi="ar-SA"/>
        </w:rPr>
        <w:t>》（GB12158-2006）；</w:t>
      </w:r>
    </w:p>
    <w:p w14:paraId="41A7E8C0">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29</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《密闭空间作业职业危害防护规范》（GBZ/T205-2007）；</w:t>
      </w:r>
    </w:p>
    <w:p w14:paraId="16FB0A95">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30</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《企业职工伤亡事故分类》（</w:t>
      </w:r>
      <w:r>
        <w:rPr>
          <w:rFonts w:hint="eastAsia" w:ascii="宋体" w:hAnsi="宋体" w:cs="Times New Roman"/>
          <w:kern w:val="2"/>
          <w:sz w:val="28"/>
          <w:szCs w:val="28"/>
          <w:lang w:val="zh-CN" w:eastAsia="zh-CN" w:bidi="ar-SA"/>
        </w:rPr>
        <w:t>GB/T 6441-1986</w:t>
      </w:r>
      <w:r>
        <w:rPr>
          <w:rFonts w:hint="eastAsia" w:ascii="宋体" w:hAnsi="宋体" w:eastAsia="宋体" w:cs="Times New Roman"/>
          <w:kern w:val="2"/>
          <w:sz w:val="28"/>
          <w:szCs w:val="28"/>
          <w:lang w:val="zh-CN" w:eastAsia="zh-CN" w:bidi="ar-SA"/>
        </w:rPr>
        <w:t xml:space="preserve">）； </w:t>
      </w:r>
    </w:p>
    <w:p w14:paraId="38263AE7">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3</w:t>
      </w: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 xml:space="preserve">《消防安全标志设置要求 》（GB15630-1995）； </w:t>
      </w:r>
    </w:p>
    <w:p w14:paraId="0859D98E">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3</w:t>
      </w:r>
      <w:r>
        <w:rPr>
          <w:rFonts w:hint="eastAsia" w:ascii="宋体" w:hAnsi="宋体" w:cs="Times New Roman"/>
          <w:kern w:val="2"/>
          <w:sz w:val="28"/>
          <w:szCs w:val="28"/>
          <w:lang w:val="en-US" w:eastAsia="zh-CN" w:bidi="ar-SA"/>
        </w:rPr>
        <w:t>2</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 xml:space="preserve">《六氟化硫电气设备中气体管理和检测导则》（GB/T8905-2012）； </w:t>
      </w:r>
    </w:p>
    <w:p w14:paraId="04531ABC">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3</w:t>
      </w:r>
      <w:r>
        <w:rPr>
          <w:rFonts w:hint="eastAsia" w:ascii="宋体" w:hAnsi="宋体" w:cs="Times New Roman"/>
          <w:kern w:val="2"/>
          <w:sz w:val="28"/>
          <w:szCs w:val="28"/>
          <w:lang w:val="en-US" w:eastAsia="zh-CN" w:bidi="ar-SA"/>
        </w:rPr>
        <w:t>3</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《焊接与切割安全》（GB9448-1999）；</w:t>
      </w:r>
    </w:p>
    <w:p w14:paraId="3132A433">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34</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建筑内部装修设计防火规范</w:t>
      </w:r>
      <w:r>
        <w:rPr>
          <w:rFonts w:hint="eastAsia" w:ascii="宋体" w:hAnsi="宋体" w:eastAsia="宋体" w:cs="Times New Roman"/>
          <w:kern w:val="2"/>
          <w:sz w:val="28"/>
          <w:szCs w:val="28"/>
          <w:lang w:val="zh-CN" w:eastAsia="zh-CN" w:bidi="ar-SA"/>
        </w:rPr>
        <w:t>》（GB50222-</w:t>
      </w:r>
      <w:r>
        <w:rPr>
          <w:rFonts w:hint="eastAsia" w:ascii="宋体" w:hAnsi="宋体" w:cs="Times New Roman"/>
          <w:kern w:val="2"/>
          <w:sz w:val="28"/>
          <w:szCs w:val="28"/>
          <w:lang w:val="en-US" w:eastAsia="zh-CN" w:bidi="ar-SA"/>
        </w:rPr>
        <w:t>2017</w:t>
      </w:r>
      <w:r>
        <w:rPr>
          <w:rFonts w:hint="eastAsia" w:ascii="宋体" w:hAnsi="宋体" w:eastAsia="宋体" w:cs="Times New Roman"/>
          <w:kern w:val="2"/>
          <w:sz w:val="28"/>
          <w:szCs w:val="28"/>
          <w:lang w:val="zh-CN" w:eastAsia="zh-CN" w:bidi="ar-SA"/>
        </w:rPr>
        <w:t xml:space="preserve">）；  </w:t>
      </w:r>
    </w:p>
    <w:p w14:paraId="5BB73E0B">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35</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钢结构设计标准</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GB50017-2017</w:t>
      </w:r>
      <w:r>
        <w:rPr>
          <w:rFonts w:hint="eastAsia" w:ascii="宋体" w:hAnsi="宋体" w:eastAsia="宋体" w:cs="Times New Roman"/>
          <w:kern w:val="2"/>
          <w:sz w:val="28"/>
          <w:szCs w:val="28"/>
          <w:lang w:val="zh-CN" w:eastAsia="zh-CN" w:bidi="ar-SA"/>
        </w:rPr>
        <w:t xml:space="preserve">）； </w:t>
      </w:r>
    </w:p>
    <w:p w14:paraId="3222AB99">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36</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 xml:space="preserve">《工作场所职业病危害警示标识》（GBZ158-2003）； </w:t>
      </w:r>
    </w:p>
    <w:p w14:paraId="350CBC1F">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37</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安全防范工程技术标准</w:t>
      </w:r>
      <w:r>
        <w:rPr>
          <w:rFonts w:hint="eastAsia" w:ascii="宋体" w:hAnsi="宋体" w:eastAsia="宋体" w:cs="Times New Roman"/>
          <w:kern w:val="2"/>
          <w:sz w:val="28"/>
          <w:szCs w:val="28"/>
          <w:lang w:val="zh-CN" w:eastAsia="zh-CN" w:bidi="ar-SA"/>
        </w:rPr>
        <w:t xml:space="preserve">》（GB50348-2018）； </w:t>
      </w:r>
    </w:p>
    <w:p w14:paraId="5E16B5DA">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38</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图形符号 安全色和安全标志 第1部分：安全标志和安全标记的设计原则</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GB/T 2893.1-2013</w:t>
      </w:r>
      <w:r>
        <w:rPr>
          <w:rFonts w:hint="eastAsia" w:ascii="宋体" w:hAnsi="宋体" w:eastAsia="宋体" w:cs="Times New Roman"/>
          <w:kern w:val="2"/>
          <w:sz w:val="28"/>
          <w:szCs w:val="28"/>
          <w:lang w:val="zh-CN" w:eastAsia="zh-CN" w:bidi="ar-SA"/>
        </w:rPr>
        <w:t xml:space="preserve">）；  </w:t>
      </w:r>
    </w:p>
    <w:p w14:paraId="215F56E6">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39</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 xml:space="preserve">《光伏（pv）系统电网接口特性》（GB/T20046-2006）； </w:t>
      </w:r>
    </w:p>
    <w:p w14:paraId="12955716">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4</w:t>
      </w:r>
      <w:r>
        <w:rPr>
          <w:rFonts w:hint="eastAsia" w:ascii="宋体" w:hAnsi="宋体" w:cs="Times New Roman"/>
          <w:kern w:val="2"/>
          <w:sz w:val="28"/>
          <w:szCs w:val="28"/>
          <w:lang w:val="en-US" w:eastAsia="zh-CN" w:bidi="ar-SA"/>
        </w:rPr>
        <w:t>0</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空调通风系统运行管理标准</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GB 50365-2019</w:t>
      </w:r>
      <w:r>
        <w:rPr>
          <w:rFonts w:hint="eastAsia" w:ascii="宋体" w:hAnsi="宋体" w:eastAsia="宋体" w:cs="Times New Roman"/>
          <w:kern w:val="2"/>
          <w:sz w:val="28"/>
          <w:szCs w:val="28"/>
          <w:lang w:val="zh-CN" w:eastAsia="zh-CN" w:bidi="ar-SA"/>
        </w:rPr>
        <w:t xml:space="preserve">）； </w:t>
      </w:r>
    </w:p>
    <w:p w14:paraId="24FB3181">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4</w:t>
      </w: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《继电保护和安全自动装置技术规程》（GB/T14285-</w:t>
      </w:r>
      <w:r>
        <w:rPr>
          <w:rFonts w:hint="eastAsia" w:ascii="宋体" w:hAnsi="宋体" w:cs="Times New Roman"/>
          <w:kern w:val="2"/>
          <w:sz w:val="28"/>
          <w:szCs w:val="28"/>
          <w:lang w:val="en-US" w:eastAsia="zh-CN" w:bidi="ar-SA"/>
        </w:rPr>
        <w:t>2023</w:t>
      </w:r>
      <w:r>
        <w:rPr>
          <w:rFonts w:hint="eastAsia" w:ascii="宋体" w:hAnsi="宋体" w:eastAsia="宋体" w:cs="Times New Roman"/>
          <w:kern w:val="2"/>
          <w:sz w:val="28"/>
          <w:szCs w:val="28"/>
          <w:lang w:val="zh-CN" w:eastAsia="zh-CN" w:bidi="ar-SA"/>
        </w:rPr>
        <w:t xml:space="preserve">）； </w:t>
      </w:r>
    </w:p>
    <w:p w14:paraId="79B937C5">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4</w:t>
      </w:r>
      <w:r>
        <w:rPr>
          <w:rFonts w:hint="eastAsia" w:ascii="宋体" w:hAnsi="宋体" w:cs="Times New Roman"/>
          <w:kern w:val="2"/>
          <w:sz w:val="28"/>
          <w:szCs w:val="28"/>
          <w:lang w:val="en-US" w:eastAsia="zh-CN" w:bidi="ar-SA"/>
        </w:rPr>
        <w:t>2</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电气装置安装工程 电气设备交接试验标准</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GB 50150-2016</w:t>
      </w:r>
      <w:r>
        <w:rPr>
          <w:rFonts w:hint="eastAsia" w:ascii="宋体" w:hAnsi="宋体" w:eastAsia="宋体" w:cs="Times New Roman"/>
          <w:kern w:val="2"/>
          <w:sz w:val="28"/>
          <w:szCs w:val="28"/>
          <w:lang w:val="zh-CN" w:eastAsia="zh-CN" w:bidi="ar-SA"/>
        </w:rPr>
        <w:t xml:space="preserve">）； </w:t>
      </w:r>
    </w:p>
    <w:p w14:paraId="702D18EB">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43</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工作场所有害因素职业接触限值 第2部分：物理因素</w:t>
      </w:r>
      <w:r>
        <w:rPr>
          <w:rFonts w:hint="eastAsia" w:ascii="宋体" w:hAnsi="宋体" w:eastAsia="宋体" w:cs="Times New Roman"/>
          <w:kern w:val="2"/>
          <w:sz w:val="28"/>
          <w:szCs w:val="28"/>
          <w:lang w:val="zh-CN" w:eastAsia="zh-CN" w:bidi="ar-SA"/>
        </w:rPr>
        <w:t xml:space="preserve">》（GBZ2.2-2007）； </w:t>
      </w:r>
    </w:p>
    <w:p w14:paraId="41F43B3A">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44</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头部防护安全帽</w:t>
      </w:r>
      <w:r>
        <w:rPr>
          <w:rFonts w:hint="eastAsia" w:ascii="宋体" w:hAnsi="宋体" w:eastAsia="宋体" w:cs="Times New Roman"/>
          <w:kern w:val="2"/>
          <w:sz w:val="28"/>
          <w:szCs w:val="28"/>
          <w:lang w:val="zh-CN" w:eastAsia="zh-CN" w:bidi="ar-SA"/>
        </w:rPr>
        <w:t xml:space="preserve">》（GB2811-2019 ）； </w:t>
      </w:r>
    </w:p>
    <w:p w14:paraId="34D530BE">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45</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 xml:space="preserve">《火灾自动报警系统设计规范》（GB50116-2013）； </w:t>
      </w:r>
    </w:p>
    <w:p w14:paraId="051D565A">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46</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《建筑工程抗震设防分类标准》（GB50223-2008）；</w:t>
      </w:r>
    </w:p>
    <w:p w14:paraId="7954BDF4">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47</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建筑用墙面涂料中有害物质限量</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GB 18582-2020</w:t>
      </w:r>
      <w:r>
        <w:rPr>
          <w:rFonts w:hint="eastAsia" w:ascii="宋体" w:hAnsi="宋体" w:eastAsia="宋体" w:cs="Times New Roman"/>
          <w:kern w:val="2"/>
          <w:sz w:val="28"/>
          <w:szCs w:val="28"/>
          <w:lang w:val="zh-CN" w:eastAsia="zh-CN" w:bidi="ar-SA"/>
        </w:rPr>
        <w:t xml:space="preserve">）；  </w:t>
      </w:r>
    </w:p>
    <w:p w14:paraId="3B0F3259">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48</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 xml:space="preserve">《电力装置的继电保护和自动装置设计规范》（GB/T50062-2008 2009.06.01）； </w:t>
      </w:r>
    </w:p>
    <w:p w14:paraId="3F1E50E3">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49</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 xml:space="preserve">《道路交通标志和标线第1部分：总则》（GB5768.1-2009）； </w:t>
      </w:r>
    </w:p>
    <w:p w14:paraId="26C6821E">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5</w:t>
      </w:r>
      <w:r>
        <w:rPr>
          <w:rFonts w:hint="eastAsia" w:ascii="宋体" w:hAnsi="宋体" w:cs="Times New Roman"/>
          <w:kern w:val="2"/>
          <w:sz w:val="28"/>
          <w:szCs w:val="28"/>
          <w:lang w:val="en-US" w:eastAsia="zh-CN" w:bidi="ar-SA"/>
        </w:rPr>
        <w:t>0</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《道路交通标志和标线第2部分：道路交通标志》（</w:t>
      </w:r>
      <w:r>
        <w:rPr>
          <w:rFonts w:hint="eastAsia" w:ascii="宋体" w:hAnsi="宋体" w:cs="Times New Roman"/>
          <w:kern w:val="2"/>
          <w:sz w:val="28"/>
          <w:szCs w:val="28"/>
          <w:lang w:val="zh-CN" w:eastAsia="zh-CN" w:bidi="ar-SA"/>
        </w:rPr>
        <w:t>GB 5768.2-2022</w:t>
      </w:r>
      <w:r>
        <w:rPr>
          <w:rFonts w:hint="eastAsia" w:ascii="宋体" w:hAnsi="宋体" w:eastAsia="宋体" w:cs="Times New Roman"/>
          <w:kern w:val="2"/>
          <w:sz w:val="28"/>
          <w:szCs w:val="28"/>
          <w:lang w:val="zh-CN" w:eastAsia="zh-CN" w:bidi="ar-SA"/>
        </w:rPr>
        <w:t>）；</w:t>
      </w:r>
    </w:p>
    <w:p w14:paraId="32888B19">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5</w:t>
      </w: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《道路交通标志和标线第3部分：道路交通标线 》（GB5768.3-2009）；</w:t>
      </w:r>
    </w:p>
    <w:p w14:paraId="20BCE0E8">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5</w:t>
      </w:r>
      <w:r>
        <w:rPr>
          <w:rFonts w:hint="eastAsia" w:ascii="宋体" w:hAnsi="宋体" w:cs="Times New Roman"/>
          <w:kern w:val="2"/>
          <w:sz w:val="28"/>
          <w:szCs w:val="28"/>
          <w:lang w:val="en-US" w:eastAsia="zh-CN" w:bidi="ar-SA"/>
        </w:rPr>
        <w:t>2</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《机械安全防止上下肢触及危险区的安全距离》（</w:t>
      </w:r>
      <w:r>
        <w:rPr>
          <w:rFonts w:hint="eastAsia" w:ascii="宋体" w:hAnsi="宋体" w:cs="Times New Roman"/>
          <w:kern w:val="2"/>
          <w:sz w:val="28"/>
          <w:szCs w:val="28"/>
          <w:lang w:val="zh-CN" w:eastAsia="zh-CN" w:bidi="ar-SA"/>
        </w:rPr>
        <w:t>GB/T 23821-2022</w:t>
      </w:r>
      <w:r>
        <w:rPr>
          <w:rFonts w:hint="eastAsia" w:ascii="宋体" w:hAnsi="宋体" w:eastAsia="宋体" w:cs="Times New Roman"/>
          <w:kern w:val="2"/>
          <w:sz w:val="28"/>
          <w:szCs w:val="28"/>
          <w:lang w:val="zh-CN" w:eastAsia="zh-CN" w:bidi="ar-SA"/>
        </w:rPr>
        <w:t xml:space="preserve">）； </w:t>
      </w:r>
    </w:p>
    <w:p w14:paraId="08397467">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53</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 xml:space="preserve">《固定式钢梯及平台安全要求第1部分：钢直梯》（GB4053.1-2009）； </w:t>
      </w:r>
    </w:p>
    <w:p w14:paraId="05EF6C0E">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54</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 xml:space="preserve">《固定式钢梯及平台安全要求第2部分：钢斜梯》（GB4053.2-2009）； </w:t>
      </w:r>
    </w:p>
    <w:p w14:paraId="4BF3599C">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55</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固定式钢梯及平台安全要求 第3部分：工业防护栏杆及钢平台</w:t>
      </w:r>
      <w:r>
        <w:rPr>
          <w:rFonts w:hint="eastAsia" w:ascii="宋体" w:hAnsi="宋体" w:eastAsia="宋体" w:cs="Times New Roman"/>
          <w:kern w:val="2"/>
          <w:sz w:val="28"/>
          <w:szCs w:val="28"/>
          <w:lang w:val="zh-CN" w:eastAsia="zh-CN" w:bidi="ar-SA"/>
        </w:rPr>
        <w:t>》（ GB4053.3-2009）；</w:t>
      </w:r>
    </w:p>
    <w:p w14:paraId="2B1DD3A3">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56</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 xml:space="preserve">《生产过程安全卫生要求总则》（GB/T12801-2008）；  </w:t>
      </w:r>
    </w:p>
    <w:p w14:paraId="47E4EE0C">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57</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混凝土结构设计标准</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GB/T 50010-2010[2024年版]</w:t>
      </w:r>
      <w:r>
        <w:rPr>
          <w:rFonts w:hint="eastAsia" w:ascii="宋体" w:hAnsi="宋体" w:eastAsia="宋体" w:cs="Times New Roman"/>
          <w:kern w:val="2"/>
          <w:sz w:val="28"/>
          <w:szCs w:val="28"/>
          <w:lang w:val="zh-CN" w:eastAsia="zh-CN" w:bidi="ar-SA"/>
        </w:rPr>
        <w:t xml:space="preserve">）； </w:t>
      </w:r>
    </w:p>
    <w:p w14:paraId="2B05A61A">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58</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《建筑物防雷设计规范》（GB50057-2010）；</w:t>
      </w:r>
    </w:p>
    <w:p w14:paraId="510BFD71">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59</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《太阳能光伏照明装置总技术规范》（</w:t>
      </w:r>
      <w:r>
        <w:rPr>
          <w:rFonts w:hint="eastAsia" w:ascii="宋体" w:hAnsi="宋体" w:cs="Times New Roman"/>
          <w:kern w:val="2"/>
          <w:sz w:val="28"/>
          <w:szCs w:val="28"/>
          <w:lang w:val="zh-CN" w:eastAsia="zh-CN" w:bidi="ar-SA"/>
        </w:rPr>
        <w:t>GB/T 24460-2009</w:t>
      </w:r>
      <w:r>
        <w:rPr>
          <w:rFonts w:hint="eastAsia" w:ascii="宋体" w:hAnsi="宋体" w:eastAsia="宋体" w:cs="Times New Roman"/>
          <w:kern w:val="2"/>
          <w:sz w:val="28"/>
          <w:szCs w:val="28"/>
          <w:lang w:val="zh-CN" w:eastAsia="zh-CN" w:bidi="ar-SA"/>
        </w:rPr>
        <w:t>）；</w:t>
      </w:r>
    </w:p>
    <w:p w14:paraId="6D5E7CBF">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60</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 xml:space="preserve">《消防应急照明和疏散指示系统》（GB17945-2010）； </w:t>
      </w:r>
    </w:p>
    <w:p w14:paraId="5E7B6C8E">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6</w:t>
      </w: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建设工程施工现场消防安全技术规范</w:t>
      </w:r>
      <w:r>
        <w:rPr>
          <w:rFonts w:hint="eastAsia" w:ascii="宋体" w:hAnsi="宋体" w:eastAsia="宋体" w:cs="Times New Roman"/>
          <w:kern w:val="2"/>
          <w:sz w:val="28"/>
          <w:szCs w:val="28"/>
          <w:lang w:val="zh-CN" w:eastAsia="zh-CN" w:bidi="ar-SA"/>
        </w:rPr>
        <w:t xml:space="preserve">》（GB50720-2011）； </w:t>
      </w:r>
    </w:p>
    <w:p w14:paraId="3ECDA2B0">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62</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电力安全工作规程 发电厂和变电站电气部分</w:t>
      </w:r>
      <w:r>
        <w:rPr>
          <w:rFonts w:hint="eastAsia" w:ascii="宋体" w:hAnsi="宋体" w:eastAsia="宋体" w:cs="Times New Roman"/>
          <w:kern w:val="2"/>
          <w:sz w:val="28"/>
          <w:szCs w:val="28"/>
          <w:lang w:val="zh-CN" w:eastAsia="zh-CN" w:bidi="ar-SA"/>
        </w:rPr>
        <w:t xml:space="preserve">》（GB26860-2011）； </w:t>
      </w:r>
    </w:p>
    <w:p w14:paraId="75E22018">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63</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35kV～110kV变电站设计规范</w:t>
      </w:r>
      <w:r>
        <w:rPr>
          <w:rFonts w:hint="eastAsia" w:ascii="宋体" w:hAnsi="宋体" w:eastAsia="宋体" w:cs="Times New Roman"/>
          <w:kern w:val="2"/>
          <w:sz w:val="28"/>
          <w:szCs w:val="28"/>
          <w:lang w:val="zh-CN" w:eastAsia="zh-CN" w:bidi="ar-SA"/>
        </w:rPr>
        <w:t xml:space="preserve">》（GB50059-2011）； </w:t>
      </w:r>
    </w:p>
    <w:p w14:paraId="296B180F">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64</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 xml:space="preserve">《光伏发电站施工规范》（GB50794-2012）； </w:t>
      </w:r>
    </w:p>
    <w:p w14:paraId="5FA28164">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65</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《光伏发电工程施工组织设计规范》（</w:t>
      </w:r>
      <w:r>
        <w:rPr>
          <w:rFonts w:hint="eastAsia" w:ascii="宋体" w:hAnsi="宋体" w:cs="Times New Roman"/>
          <w:kern w:val="2"/>
          <w:sz w:val="28"/>
          <w:szCs w:val="28"/>
          <w:lang w:val="zh-CN" w:eastAsia="zh-CN" w:bidi="ar-SA"/>
        </w:rPr>
        <w:t>GB/T50795-2012</w:t>
      </w:r>
      <w:r>
        <w:rPr>
          <w:rFonts w:hint="eastAsia" w:ascii="宋体" w:hAnsi="宋体" w:eastAsia="宋体" w:cs="Times New Roman"/>
          <w:kern w:val="2"/>
          <w:sz w:val="28"/>
          <w:szCs w:val="28"/>
          <w:lang w:val="zh-CN" w:eastAsia="zh-CN" w:bidi="ar-SA"/>
        </w:rPr>
        <w:t xml:space="preserve">）； </w:t>
      </w:r>
    </w:p>
    <w:p w14:paraId="6DFE89D5">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66</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《光伏发电工程验收规范》（</w:t>
      </w:r>
      <w:r>
        <w:rPr>
          <w:rFonts w:hint="eastAsia" w:ascii="宋体" w:hAnsi="宋体" w:cs="Times New Roman"/>
          <w:kern w:val="2"/>
          <w:sz w:val="28"/>
          <w:szCs w:val="28"/>
          <w:lang w:val="zh-CN" w:eastAsia="zh-CN" w:bidi="ar-SA"/>
        </w:rPr>
        <w:t>GB/T 50796-2012</w:t>
      </w:r>
      <w:r>
        <w:rPr>
          <w:rFonts w:hint="eastAsia" w:ascii="宋体" w:hAnsi="宋体" w:eastAsia="宋体" w:cs="Times New Roman"/>
          <w:kern w:val="2"/>
          <w:sz w:val="28"/>
          <w:szCs w:val="28"/>
          <w:lang w:val="zh-CN" w:eastAsia="zh-CN" w:bidi="ar-SA"/>
        </w:rPr>
        <w:t xml:space="preserve">）； </w:t>
      </w:r>
    </w:p>
    <w:p w14:paraId="5F8048CF">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67</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《建筑采光设计标准》（</w:t>
      </w:r>
      <w:r>
        <w:rPr>
          <w:rFonts w:hint="eastAsia" w:ascii="宋体" w:hAnsi="宋体" w:cs="Times New Roman"/>
          <w:kern w:val="2"/>
          <w:sz w:val="28"/>
          <w:szCs w:val="28"/>
          <w:lang w:val="zh-CN" w:eastAsia="zh-CN" w:bidi="ar-SA"/>
        </w:rPr>
        <w:t>GB50033-2013</w:t>
      </w:r>
      <w:r>
        <w:rPr>
          <w:rFonts w:hint="eastAsia" w:ascii="宋体" w:hAnsi="宋体" w:eastAsia="宋体" w:cs="Times New Roman"/>
          <w:kern w:val="2"/>
          <w:sz w:val="28"/>
          <w:szCs w:val="28"/>
          <w:lang w:val="zh-CN" w:eastAsia="zh-CN" w:bidi="ar-SA"/>
        </w:rPr>
        <w:t>）；</w:t>
      </w:r>
    </w:p>
    <w:p w14:paraId="313454CE">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68</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《电力设施抗震设计规范》（GB50260-2013）；</w:t>
      </w:r>
    </w:p>
    <w:p w14:paraId="4C88F881">
      <w:pPr>
        <w:pStyle w:val="9"/>
        <w:pageBreakBefore w:val="0"/>
        <w:kinsoku/>
        <w:wordWrap/>
        <w:overflowPunct/>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69</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《建筑照明设计标准》（</w:t>
      </w:r>
      <w:r>
        <w:rPr>
          <w:rFonts w:hint="eastAsia" w:ascii="宋体" w:hAnsi="宋体" w:cs="Times New Roman"/>
          <w:kern w:val="2"/>
          <w:sz w:val="28"/>
          <w:szCs w:val="28"/>
          <w:lang w:val="en-US" w:eastAsia="zh-CN" w:bidi="ar-SA"/>
        </w:rPr>
        <w:t>GB/T50034-2024</w:t>
      </w:r>
      <w:r>
        <w:rPr>
          <w:rFonts w:hint="eastAsia" w:ascii="宋体" w:hAnsi="宋体" w:eastAsia="宋体" w:cs="Times New Roman"/>
          <w:kern w:val="2"/>
          <w:sz w:val="28"/>
          <w:szCs w:val="28"/>
          <w:lang w:val="zh-CN" w:eastAsia="zh-CN" w:bidi="ar-SA"/>
        </w:rPr>
        <w:t xml:space="preserve">）； </w:t>
      </w:r>
    </w:p>
    <w:p w14:paraId="4A5216BE">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7</w:t>
      </w:r>
      <w:r>
        <w:rPr>
          <w:rFonts w:hint="eastAsia" w:ascii="宋体" w:hAnsi="宋体" w:cs="Times New Roman"/>
          <w:kern w:val="2"/>
          <w:sz w:val="28"/>
          <w:szCs w:val="28"/>
          <w:lang w:val="en-US" w:eastAsia="zh-CN" w:bidi="ar-SA"/>
        </w:rPr>
        <w:t>0</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《爆炸危险环境电力装置设计规范》（GB50058-2014）；</w:t>
      </w:r>
    </w:p>
    <w:p w14:paraId="42CF4F89">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7</w:t>
      </w: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 xml:space="preserve">《防洪标准》（GB50201-2014）； </w:t>
      </w:r>
    </w:p>
    <w:p w14:paraId="14D59AE1">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72</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《中国地震动参数区划图》（GB18306-2015）；</w:t>
      </w:r>
    </w:p>
    <w:p w14:paraId="149FA9AC">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73</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《工业建筑供暖通风与空气调节设计规范》（GB50019-2015 ）；</w:t>
      </w:r>
    </w:p>
    <w:p w14:paraId="557FD5BA">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74</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 xml:space="preserve">《危险化学品重大危险源辨识》（GB18218-2018）；  </w:t>
      </w:r>
    </w:p>
    <w:p w14:paraId="5E562C53">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75</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机械安全防护装置固定式和活动式防护装置的设计与制造一般要求</w:t>
      </w:r>
      <w:r>
        <w:rPr>
          <w:rFonts w:hint="eastAsia" w:ascii="宋体" w:hAnsi="宋体" w:eastAsia="宋体" w:cs="Times New Roman"/>
          <w:kern w:val="2"/>
          <w:sz w:val="28"/>
          <w:szCs w:val="28"/>
          <w:lang w:val="zh-CN" w:eastAsia="zh-CN" w:bidi="ar-SA"/>
        </w:rPr>
        <w:t>》（GB/T8196-2018</w:t>
      </w:r>
      <w:r>
        <w:rPr>
          <w:rFonts w:hint="eastAsia" w:ascii="宋体" w:hAnsi="宋体" w:cs="Times New Roman"/>
          <w:kern w:val="2"/>
          <w:sz w:val="28"/>
          <w:szCs w:val="28"/>
          <w:lang w:val="zh-CN" w:eastAsia="zh-CN" w:bidi="ar-SA"/>
        </w:rPr>
        <w:t>）</w:t>
      </w:r>
      <w:r>
        <w:rPr>
          <w:rFonts w:hint="eastAsia" w:ascii="宋体" w:hAnsi="宋体" w:eastAsia="宋体" w:cs="Times New Roman"/>
          <w:kern w:val="2"/>
          <w:sz w:val="28"/>
          <w:szCs w:val="28"/>
          <w:lang w:val="zh-CN" w:eastAsia="zh-CN" w:bidi="ar-SA"/>
        </w:rPr>
        <w:t>；</w:t>
      </w:r>
    </w:p>
    <w:p w14:paraId="0DE7610F">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76</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工作场所有害因素职业接触限值第1部分：化学有害因素</w:t>
      </w:r>
      <w:r>
        <w:rPr>
          <w:rFonts w:hint="eastAsia" w:ascii="宋体" w:hAnsi="宋体" w:eastAsia="宋体" w:cs="Times New Roman"/>
          <w:kern w:val="2"/>
          <w:sz w:val="28"/>
          <w:szCs w:val="28"/>
          <w:lang w:val="zh-CN" w:eastAsia="zh-CN" w:bidi="ar-SA"/>
        </w:rPr>
        <w:t>》（GBZ2.1-2019）</w:t>
      </w:r>
      <w:r>
        <w:rPr>
          <w:rFonts w:hint="eastAsia" w:ascii="宋体" w:hAnsi="宋体" w:cs="Times New Roman"/>
          <w:kern w:val="2"/>
          <w:sz w:val="28"/>
          <w:szCs w:val="28"/>
          <w:lang w:val="zh-CN" w:eastAsia="zh-CN" w:bidi="ar-SA"/>
        </w:rPr>
        <w:t>；</w:t>
      </w:r>
    </w:p>
    <w:p w14:paraId="6EAC71E7">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kern w:val="2"/>
          <w:sz w:val="28"/>
          <w:szCs w:val="28"/>
          <w:lang w:val="en-US" w:eastAsia="zh-CN" w:bidi="ar-SA"/>
        </w:rPr>
      </w:pPr>
      <w:r>
        <w:rPr>
          <w:rFonts w:hint="eastAsia" w:ascii="宋体" w:hAnsi="宋体" w:cs="Times New Roman"/>
          <w:kern w:val="2"/>
          <w:sz w:val="28"/>
          <w:szCs w:val="28"/>
          <w:lang w:val="en-US" w:eastAsia="zh-CN" w:bidi="ar-SA"/>
        </w:rPr>
        <w:t>77.</w:t>
      </w:r>
      <w:r>
        <w:rPr>
          <w:rFonts w:hint="eastAsia" w:ascii="宋体" w:hAnsi="宋体" w:eastAsia="宋体" w:cs="Times New Roman"/>
          <w:kern w:val="2"/>
          <w:sz w:val="28"/>
          <w:szCs w:val="28"/>
          <w:lang w:val="zh-CN" w:eastAsia="zh-CN" w:bidi="ar-SA"/>
        </w:rPr>
        <w:t>《电力系统安全稳定导则》（</w:t>
      </w:r>
      <w:r>
        <w:rPr>
          <w:rFonts w:hint="eastAsia" w:ascii="宋体" w:hAnsi="宋体" w:cs="Times New Roman"/>
          <w:kern w:val="2"/>
          <w:sz w:val="28"/>
          <w:szCs w:val="28"/>
          <w:lang w:val="zh-CN" w:eastAsia="zh-CN" w:bidi="ar-SA"/>
        </w:rPr>
        <w:t>GB 38755-2019</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en-US" w:eastAsia="zh-CN" w:bidi="ar-SA"/>
        </w:rPr>
        <w:t>;</w:t>
      </w:r>
    </w:p>
    <w:p w14:paraId="158B5D2A">
      <w:pPr>
        <w:pStyle w:val="20"/>
        <w:pageBreakBefore w:val="0"/>
        <w:kinsoku/>
        <w:wordWrap/>
        <w:overflowPunct/>
        <w:autoSpaceDE/>
        <w:autoSpaceDN/>
        <w:bidi w:val="0"/>
        <w:spacing w:line="420" w:lineRule="exact"/>
        <w:textAlignment w:val="auto"/>
        <w:rPr>
          <w:rFonts w:hint="eastAsia" w:ascii="宋体" w:hAnsi="宋体" w:cs="宋体"/>
          <w:sz w:val="28"/>
          <w:szCs w:val="28"/>
          <w:lang w:val="en-US" w:eastAsia="zh-CN"/>
        </w:rPr>
      </w:pPr>
      <w:r>
        <w:rPr>
          <w:rFonts w:hint="eastAsia" w:ascii="宋体" w:hAnsi="宋体" w:cs="Times New Roman"/>
          <w:kern w:val="2"/>
          <w:sz w:val="28"/>
          <w:szCs w:val="28"/>
          <w:lang w:val="en-US" w:eastAsia="zh-CN" w:bidi="ar-SA"/>
        </w:rPr>
        <w:t>78、</w:t>
      </w:r>
      <w:r>
        <w:rPr>
          <w:rFonts w:hint="eastAsia" w:ascii="宋体" w:hAnsi="宋体" w:cs="宋体"/>
          <w:sz w:val="28"/>
          <w:szCs w:val="28"/>
        </w:rPr>
        <w:t>《光伏发电站安全规程》</w:t>
      </w:r>
      <w:r>
        <w:rPr>
          <w:rFonts w:hint="eastAsia" w:ascii="宋体" w:hAnsi="宋体" w:cs="宋体"/>
          <w:sz w:val="28"/>
          <w:szCs w:val="28"/>
          <w:lang w:eastAsia="zh-CN"/>
        </w:rPr>
        <w:t>（</w:t>
      </w:r>
      <w:r>
        <w:rPr>
          <w:rFonts w:hint="eastAsia" w:ascii="宋体" w:hAnsi="宋体" w:cs="宋体"/>
          <w:sz w:val="28"/>
          <w:szCs w:val="28"/>
          <w:lang w:val="en-US" w:eastAsia="zh-CN"/>
        </w:rPr>
        <w:t>GB/T35694</w:t>
      </w:r>
      <w:r>
        <w:rPr>
          <w:rFonts w:hint="eastAsia" w:ascii="宋体" w:hAnsi="宋体" w:cs="宋体"/>
          <w:sz w:val="28"/>
          <w:szCs w:val="28"/>
          <w:lang w:eastAsia="zh-CN"/>
        </w:rPr>
        <w:t>）</w:t>
      </w:r>
      <w:r>
        <w:rPr>
          <w:rFonts w:hint="eastAsia" w:ascii="宋体" w:hAnsi="宋体" w:cs="宋体"/>
          <w:sz w:val="28"/>
          <w:szCs w:val="28"/>
          <w:lang w:val="en-US" w:eastAsia="zh-CN"/>
        </w:rPr>
        <w:t>;</w:t>
      </w:r>
    </w:p>
    <w:p w14:paraId="55E7ECD8">
      <w:pPr>
        <w:pStyle w:val="19"/>
        <w:pageBreakBefore w:val="0"/>
        <w:kinsoku/>
        <w:wordWrap/>
        <w:overflowPunct/>
        <w:autoSpaceDE/>
        <w:autoSpaceDN/>
        <w:bidi w:val="0"/>
        <w:spacing w:line="420" w:lineRule="exact"/>
        <w:textAlignment w:val="auto"/>
        <w:rPr>
          <w:rFonts w:hint="eastAsia" w:ascii="宋体" w:hAnsi="宋体" w:cs="宋体"/>
          <w:sz w:val="28"/>
          <w:szCs w:val="28"/>
          <w:lang w:val="en-US" w:eastAsia="zh-CN"/>
        </w:rPr>
      </w:pPr>
      <w:r>
        <w:rPr>
          <w:rFonts w:hint="eastAsia" w:ascii="宋体" w:hAnsi="宋体" w:cs="宋体"/>
          <w:sz w:val="28"/>
          <w:szCs w:val="28"/>
          <w:lang w:val="en-US" w:eastAsia="zh-CN"/>
        </w:rPr>
        <w:t>79、</w:t>
      </w:r>
      <w:r>
        <w:rPr>
          <w:rFonts w:hint="eastAsia" w:ascii="宋体" w:hAnsi="宋体" w:cs="宋体"/>
          <w:sz w:val="28"/>
          <w:szCs w:val="28"/>
        </w:rPr>
        <w:t>《光伏发电站防雷技术要求》</w:t>
      </w:r>
      <w:r>
        <w:rPr>
          <w:rFonts w:hint="eastAsia" w:ascii="宋体" w:hAnsi="宋体" w:cs="宋体"/>
          <w:sz w:val="28"/>
          <w:szCs w:val="28"/>
          <w:lang w:eastAsia="zh-CN"/>
        </w:rPr>
        <w:t>（</w:t>
      </w:r>
      <w:r>
        <w:rPr>
          <w:rFonts w:hint="eastAsia" w:ascii="宋体" w:hAnsi="宋体" w:cs="宋体"/>
          <w:sz w:val="28"/>
          <w:szCs w:val="28"/>
          <w:lang w:val="en-US" w:eastAsia="zh-CN"/>
        </w:rPr>
        <w:t>GB/T32512-2016</w:t>
      </w:r>
      <w:r>
        <w:rPr>
          <w:rFonts w:hint="eastAsia" w:ascii="宋体" w:hAnsi="宋体" w:cs="宋体"/>
          <w:sz w:val="28"/>
          <w:szCs w:val="28"/>
          <w:lang w:eastAsia="zh-CN"/>
        </w:rPr>
        <w:t>）</w:t>
      </w:r>
      <w:r>
        <w:rPr>
          <w:rFonts w:hint="eastAsia" w:ascii="宋体" w:hAnsi="宋体" w:cs="宋体"/>
          <w:sz w:val="28"/>
          <w:szCs w:val="28"/>
          <w:lang w:val="en-US" w:eastAsia="zh-CN"/>
        </w:rPr>
        <w:t>;</w:t>
      </w:r>
    </w:p>
    <w:p w14:paraId="30C959B9">
      <w:pPr>
        <w:pageBreakBefore w:val="0"/>
        <w:kinsoku/>
        <w:wordWrap/>
        <w:overflowPunct/>
        <w:autoSpaceDE/>
        <w:autoSpaceDN/>
        <w:bidi w:val="0"/>
        <w:spacing w:line="420" w:lineRule="exact"/>
        <w:ind w:firstLine="560" w:firstLineChars="200"/>
        <w:textAlignment w:val="auto"/>
        <w:rPr>
          <w:rFonts w:hint="eastAsia" w:ascii="宋体" w:hAnsi="宋体" w:cs="宋体"/>
          <w:sz w:val="28"/>
          <w:szCs w:val="28"/>
          <w:lang w:val="en-US" w:eastAsia="zh-CN"/>
        </w:rPr>
      </w:pPr>
      <w:r>
        <w:rPr>
          <w:rFonts w:hint="eastAsia" w:ascii="宋体" w:hAnsi="宋体" w:cs="宋体"/>
          <w:sz w:val="28"/>
          <w:szCs w:val="28"/>
          <w:lang w:val="en-US" w:eastAsia="zh-CN"/>
        </w:rPr>
        <w:t>80、</w:t>
      </w:r>
      <w:r>
        <w:rPr>
          <w:rFonts w:hint="eastAsia" w:ascii="宋体" w:hAnsi="宋体" w:cs="宋体"/>
          <w:sz w:val="28"/>
          <w:szCs w:val="28"/>
        </w:rPr>
        <w:t>《光伏发电接入配电网设计规范》</w:t>
      </w:r>
      <w:r>
        <w:rPr>
          <w:rFonts w:hint="eastAsia" w:ascii="宋体" w:hAnsi="宋体" w:cs="宋体"/>
          <w:sz w:val="28"/>
          <w:szCs w:val="28"/>
          <w:lang w:eastAsia="zh-CN"/>
        </w:rPr>
        <w:t>（</w:t>
      </w:r>
      <w:r>
        <w:rPr>
          <w:rFonts w:hint="eastAsia" w:ascii="宋体" w:hAnsi="宋体" w:cs="宋体"/>
          <w:sz w:val="28"/>
          <w:szCs w:val="28"/>
          <w:lang w:val="en-US" w:eastAsia="zh-CN"/>
        </w:rPr>
        <w:t>GB/T50865-2013</w:t>
      </w:r>
      <w:r>
        <w:rPr>
          <w:rFonts w:hint="eastAsia" w:ascii="宋体" w:hAnsi="宋体" w:cs="宋体"/>
          <w:sz w:val="28"/>
          <w:szCs w:val="28"/>
          <w:lang w:eastAsia="zh-CN"/>
        </w:rPr>
        <w:t>）</w:t>
      </w:r>
      <w:r>
        <w:rPr>
          <w:rFonts w:hint="eastAsia" w:ascii="宋体" w:hAnsi="宋体" w:cs="宋体"/>
          <w:sz w:val="28"/>
          <w:szCs w:val="28"/>
          <w:lang w:val="en-US" w:eastAsia="zh-CN"/>
        </w:rPr>
        <w:t xml:space="preserve">; </w:t>
      </w:r>
    </w:p>
    <w:p w14:paraId="767886E4">
      <w:pPr>
        <w:pStyle w:val="20"/>
        <w:pageBreakBefore w:val="0"/>
        <w:kinsoku/>
        <w:wordWrap/>
        <w:overflowPunct/>
        <w:autoSpaceDE/>
        <w:autoSpaceDN/>
        <w:bidi w:val="0"/>
        <w:spacing w:line="420" w:lineRule="exact"/>
        <w:textAlignment w:val="auto"/>
        <w:rPr>
          <w:rFonts w:hint="eastAsia" w:ascii="宋体" w:hAnsi="宋体" w:cs="宋体"/>
          <w:sz w:val="28"/>
          <w:szCs w:val="28"/>
          <w:lang w:eastAsia="zh-CN"/>
        </w:rPr>
      </w:pPr>
      <w:r>
        <w:rPr>
          <w:rFonts w:hint="eastAsia" w:ascii="宋体" w:hAnsi="宋体" w:cs="宋体"/>
          <w:sz w:val="28"/>
          <w:szCs w:val="28"/>
          <w:lang w:val="en-US" w:eastAsia="zh-CN"/>
        </w:rPr>
        <w:t>81、</w:t>
      </w:r>
      <w:r>
        <w:rPr>
          <w:rFonts w:hint="eastAsia" w:ascii="宋体" w:hAnsi="宋体" w:cs="宋体"/>
          <w:sz w:val="28"/>
          <w:szCs w:val="28"/>
        </w:rPr>
        <w:t>《光伏发电站接入电网检测规程》</w:t>
      </w:r>
      <w:r>
        <w:rPr>
          <w:rFonts w:hint="eastAsia" w:ascii="宋体" w:hAnsi="宋体" w:cs="宋体"/>
          <w:sz w:val="28"/>
          <w:szCs w:val="28"/>
          <w:lang w:eastAsia="zh-CN"/>
        </w:rPr>
        <w:t>（GB/T 31365-2015）；</w:t>
      </w:r>
    </w:p>
    <w:p w14:paraId="41D01235">
      <w:pPr>
        <w:pStyle w:val="19"/>
        <w:pageBreakBefore w:val="0"/>
        <w:kinsoku/>
        <w:wordWrap/>
        <w:overflowPunct/>
        <w:autoSpaceDE/>
        <w:autoSpaceDN/>
        <w:bidi w:val="0"/>
        <w:spacing w:line="420" w:lineRule="exact"/>
        <w:textAlignment w:val="auto"/>
        <w:rPr>
          <w:rFonts w:hint="eastAsia" w:eastAsia="宋体"/>
          <w:lang w:val="en-US" w:eastAsia="zh-CN"/>
        </w:rPr>
      </w:pPr>
      <w:r>
        <w:rPr>
          <w:rFonts w:hint="eastAsia" w:ascii="宋体" w:hAnsi="宋体" w:cs="宋体"/>
          <w:sz w:val="28"/>
          <w:szCs w:val="28"/>
          <w:lang w:val="en-US" w:eastAsia="zh-CN"/>
        </w:rPr>
        <w:t>82、</w:t>
      </w:r>
      <w:r>
        <w:rPr>
          <w:rFonts w:hint="eastAsia" w:ascii="宋体" w:hAnsi="宋体" w:eastAsia="宋体" w:cs="宋体"/>
          <w:color w:val="auto"/>
          <w:sz w:val="28"/>
          <w:szCs w:val="28"/>
          <w:highlight w:val="none"/>
        </w:rPr>
        <w:t>《变电站监控系统设计规程》</w:t>
      </w:r>
      <w:r>
        <w:rPr>
          <w:rFonts w:hint="eastAsia" w:ascii="宋体" w:hAnsi="宋体" w:eastAsia="宋体" w:cs="宋体"/>
          <w:color w:val="auto"/>
          <w:sz w:val="28"/>
          <w:szCs w:val="28"/>
          <w:highlight w:val="none"/>
          <w:lang w:eastAsia="zh-CN"/>
        </w:rPr>
        <w:t>（DL/T5149-2020）。</w:t>
      </w:r>
    </w:p>
    <w:p w14:paraId="2C9AC193">
      <w:pPr>
        <w:pStyle w:val="4"/>
        <w:pageBreakBefore w:val="0"/>
        <w:widowControl w:val="0"/>
        <w:kinsoku/>
        <w:wordWrap/>
        <w:overflowPunct/>
        <w:topLinePunct w:val="0"/>
        <w:autoSpaceDE/>
        <w:autoSpaceDN/>
        <w:bidi w:val="0"/>
        <w:spacing w:line="420" w:lineRule="exact"/>
        <w:textAlignment w:val="auto"/>
        <w:rPr>
          <w:rFonts w:hint="default" w:ascii="Times New Roman" w:hAnsi="Times New Roman" w:eastAsia="宋体" w:cs="Times New Roman"/>
          <w:b/>
          <w:bCs/>
          <w:lang w:val="en-US" w:eastAsia="zh-CN"/>
        </w:rPr>
      </w:pPr>
      <w:bookmarkStart w:id="117" w:name="_Toc28661"/>
      <w:bookmarkStart w:id="118" w:name="_Toc30493"/>
      <w:bookmarkStart w:id="119" w:name="_Toc28766"/>
      <w:bookmarkStart w:id="120" w:name="_Toc15120"/>
      <w:r>
        <w:rPr>
          <w:rFonts w:hint="eastAsia" w:ascii="Times New Roman" w:hAnsi="Times New Roman" w:eastAsia="宋体" w:cs="Times New Roman"/>
          <w:b/>
          <w:bCs/>
          <w:lang w:val="en-US" w:eastAsia="zh-CN"/>
        </w:rPr>
        <w:t>1.2.6</w:t>
      </w:r>
      <w:r>
        <w:rPr>
          <w:rFonts w:hint="eastAsia" w:eastAsia="宋体" w:cs="Times New Roman"/>
          <w:b/>
          <w:bCs/>
          <w:lang w:val="en-US" w:eastAsia="zh-CN"/>
        </w:rPr>
        <w:t>行业标准规范</w:t>
      </w:r>
      <w:bookmarkEnd w:id="117"/>
      <w:bookmarkEnd w:id="118"/>
      <w:bookmarkEnd w:id="119"/>
      <w:bookmarkEnd w:id="120"/>
    </w:p>
    <w:p w14:paraId="131677E2">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1</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导体和电器选择设计规程</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DL/T 5222-2021）；</w:t>
      </w:r>
    </w:p>
    <w:p w14:paraId="1CD4CDC6">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2</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《交流电气装置的过电压保护和绝缘配合》（DL/T620-1997</w:t>
      </w:r>
      <w:r>
        <w:rPr>
          <w:rFonts w:hint="eastAsia" w:ascii="宋体" w:hAnsi="宋体" w:cs="Times New Roman"/>
          <w:kern w:val="2"/>
          <w:sz w:val="28"/>
          <w:szCs w:val="28"/>
          <w:lang w:val="zh-CN" w:eastAsia="zh-CN" w:bidi="ar-SA"/>
        </w:rPr>
        <w:t>）</w:t>
      </w:r>
      <w:r>
        <w:rPr>
          <w:rFonts w:hint="eastAsia" w:ascii="宋体" w:hAnsi="宋体" w:eastAsia="宋体" w:cs="Times New Roman"/>
          <w:kern w:val="2"/>
          <w:sz w:val="28"/>
          <w:szCs w:val="28"/>
          <w:lang w:val="zh-CN" w:eastAsia="zh-CN" w:bidi="ar-SA"/>
        </w:rPr>
        <w:t>；</w:t>
      </w:r>
    </w:p>
    <w:p w14:paraId="6607B555">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3</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《电测量及电能计量装置设计技术规程》（DL/T5137-2001</w:t>
      </w:r>
      <w:r>
        <w:rPr>
          <w:rFonts w:hint="eastAsia" w:ascii="宋体" w:hAnsi="宋体" w:cs="Times New Roman"/>
          <w:kern w:val="2"/>
          <w:sz w:val="28"/>
          <w:szCs w:val="28"/>
          <w:lang w:val="zh-CN" w:eastAsia="zh-CN" w:bidi="ar-SA"/>
        </w:rPr>
        <w:t>）</w:t>
      </w:r>
      <w:r>
        <w:rPr>
          <w:rFonts w:hint="eastAsia" w:ascii="宋体" w:hAnsi="宋体" w:eastAsia="宋体" w:cs="Times New Roman"/>
          <w:kern w:val="2"/>
          <w:sz w:val="28"/>
          <w:szCs w:val="28"/>
          <w:lang w:val="zh-CN" w:eastAsia="zh-CN" w:bidi="ar-SA"/>
        </w:rPr>
        <w:t>；</w:t>
      </w:r>
    </w:p>
    <w:p w14:paraId="079C7832">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4</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《3.6kV～40.5kV交流金属封闭开关设备和控制设备》（</w:t>
      </w:r>
      <w:r>
        <w:rPr>
          <w:rFonts w:hint="eastAsia" w:ascii="宋体" w:hAnsi="宋体" w:cs="Times New Roman"/>
          <w:kern w:val="2"/>
          <w:sz w:val="28"/>
          <w:szCs w:val="28"/>
          <w:lang w:val="zh-CN" w:eastAsia="zh-CN" w:bidi="ar-SA"/>
        </w:rPr>
        <w:t>DL/T 404-2018</w:t>
      </w:r>
      <w:r>
        <w:rPr>
          <w:rFonts w:hint="eastAsia" w:ascii="宋体" w:hAnsi="宋体" w:eastAsia="宋体" w:cs="Times New Roman"/>
          <w:kern w:val="2"/>
          <w:sz w:val="28"/>
          <w:szCs w:val="28"/>
          <w:lang w:val="zh-CN" w:eastAsia="zh-CN" w:bidi="ar-SA"/>
        </w:rPr>
        <w:t>）；</w:t>
      </w:r>
    </w:p>
    <w:p w14:paraId="4A77C96E">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5</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《电力设备典型消防规程》（</w:t>
      </w:r>
      <w:r>
        <w:rPr>
          <w:rFonts w:hint="eastAsia" w:ascii="宋体" w:hAnsi="宋体" w:cs="Times New Roman"/>
          <w:kern w:val="2"/>
          <w:sz w:val="28"/>
          <w:szCs w:val="28"/>
          <w:lang w:val="zh-CN" w:eastAsia="zh-CN" w:bidi="ar-SA"/>
        </w:rPr>
        <w:t>DL5027-2015</w:t>
      </w:r>
      <w:r>
        <w:rPr>
          <w:rFonts w:hint="eastAsia" w:ascii="宋体" w:hAnsi="宋体" w:eastAsia="宋体" w:cs="Times New Roman"/>
          <w:kern w:val="2"/>
          <w:sz w:val="28"/>
          <w:szCs w:val="28"/>
          <w:lang w:val="zh-CN" w:eastAsia="zh-CN" w:bidi="ar-SA"/>
        </w:rPr>
        <w:t>）；</w:t>
      </w:r>
    </w:p>
    <w:p w14:paraId="6B75C5FB">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6</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《电力设备预防性试验规程》（</w:t>
      </w:r>
      <w:r>
        <w:rPr>
          <w:rFonts w:hint="eastAsia" w:ascii="宋体" w:hAnsi="宋体" w:cs="Times New Roman"/>
          <w:kern w:val="2"/>
          <w:sz w:val="28"/>
          <w:szCs w:val="28"/>
          <w:lang w:val="zh-CN" w:eastAsia="zh-CN" w:bidi="ar-SA"/>
        </w:rPr>
        <w:t>DL/T596-2021</w:t>
      </w:r>
      <w:r>
        <w:rPr>
          <w:rFonts w:hint="eastAsia" w:ascii="宋体" w:hAnsi="宋体" w:eastAsia="宋体" w:cs="Times New Roman"/>
          <w:kern w:val="2"/>
          <w:sz w:val="28"/>
          <w:szCs w:val="28"/>
          <w:lang w:val="zh-CN" w:eastAsia="zh-CN" w:bidi="ar-SA"/>
        </w:rPr>
        <w:t>）；</w:t>
      </w:r>
    </w:p>
    <w:p w14:paraId="3437BE58">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7</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《交流电气装置的过电压保护和绝缘配合》（DL/T620-1997）；</w:t>
      </w:r>
    </w:p>
    <w:p w14:paraId="1D504F00">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8</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六氟化硫电气设备运行、试验及检修人员安全防护导则</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DL/T 639-2016</w:t>
      </w:r>
      <w:r>
        <w:rPr>
          <w:rFonts w:hint="eastAsia" w:ascii="宋体" w:hAnsi="宋体" w:eastAsia="宋体" w:cs="Times New Roman"/>
          <w:kern w:val="2"/>
          <w:sz w:val="28"/>
          <w:szCs w:val="28"/>
          <w:lang w:val="zh-CN" w:eastAsia="zh-CN" w:bidi="ar-SA"/>
        </w:rPr>
        <w:t xml:space="preserve">）；  </w:t>
      </w:r>
    </w:p>
    <w:p w14:paraId="3358801A">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9</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《电力系统用蓄电池直流电源装置运行与维护技术规程》（</w:t>
      </w:r>
      <w:r>
        <w:rPr>
          <w:rFonts w:hint="eastAsia" w:ascii="宋体" w:hAnsi="宋体" w:cs="Times New Roman"/>
          <w:kern w:val="2"/>
          <w:sz w:val="28"/>
          <w:szCs w:val="28"/>
          <w:lang w:val="zh-CN" w:eastAsia="zh-CN" w:bidi="ar-SA"/>
        </w:rPr>
        <w:t>DL/T 724-2021</w:t>
      </w:r>
      <w:r>
        <w:rPr>
          <w:rFonts w:hint="eastAsia" w:ascii="宋体" w:hAnsi="宋体" w:eastAsia="宋体" w:cs="Times New Roman"/>
          <w:kern w:val="2"/>
          <w:sz w:val="28"/>
          <w:szCs w:val="28"/>
          <w:lang w:val="zh-CN" w:eastAsia="zh-CN" w:bidi="ar-SA"/>
        </w:rPr>
        <w:t xml:space="preserve">）；  </w:t>
      </w:r>
    </w:p>
    <w:p w14:paraId="6658BD00">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1</w:t>
      </w:r>
      <w:r>
        <w:rPr>
          <w:rFonts w:hint="eastAsia" w:ascii="宋体" w:hAnsi="宋体" w:cs="Times New Roman"/>
          <w:kern w:val="2"/>
          <w:sz w:val="28"/>
          <w:szCs w:val="28"/>
          <w:lang w:val="en-US" w:eastAsia="zh-CN" w:bidi="ar-SA"/>
        </w:rPr>
        <w:t>0</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 xml:space="preserve">《电缆防火措施设计和施工验收标准》（DLGJ154-2000）；   </w:t>
      </w:r>
    </w:p>
    <w:p w14:paraId="27360036">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1</w:t>
      </w: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变电站和换流站给水排水设计规程</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DL/T5143-2018</w:t>
      </w:r>
      <w:r>
        <w:rPr>
          <w:rFonts w:hint="eastAsia" w:ascii="宋体" w:hAnsi="宋体" w:eastAsia="宋体" w:cs="Times New Roman"/>
          <w:kern w:val="2"/>
          <w:sz w:val="28"/>
          <w:szCs w:val="28"/>
          <w:lang w:val="zh-CN" w:eastAsia="zh-CN" w:bidi="ar-SA"/>
        </w:rPr>
        <w:t xml:space="preserve">）； </w:t>
      </w:r>
    </w:p>
    <w:p w14:paraId="16E4F985">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1</w:t>
      </w:r>
      <w:r>
        <w:rPr>
          <w:rFonts w:hint="eastAsia" w:ascii="宋体" w:hAnsi="宋体" w:cs="Times New Roman"/>
          <w:kern w:val="2"/>
          <w:sz w:val="28"/>
          <w:szCs w:val="28"/>
          <w:lang w:val="en-US" w:eastAsia="zh-CN" w:bidi="ar-SA"/>
        </w:rPr>
        <w:t>2</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电力系统数字微波通信工程设计技术规程</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DL/T5025-2005</w:t>
      </w:r>
      <w:r>
        <w:rPr>
          <w:rFonts w:hint="eastAsia" w:ascii="宋体" w:hAnsi="宋体" w:eastAsia="宋体" w:cs="Times New Roman"/>
          <w:kern w:val="2"/>
          <w:sz w:val="28"/>
          <w:szCs w:val="28"/>
          <w:lang w:val="zh-CN" w:eastAsia="zh-CN" w:bidi="ar-SA"/>
        </w:rPr>
        <w:t xml:space="preserve">）； </w:t>
      </w:r>
    </w:p>
    <w:p w14:paraId="38F4D88A">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1</w:t>
      </w:r>
      <w:r>
        <w:rPr>
          <w:rFonts w:hint="eastAsia" w:ascii="宋体" w:hAnsi="宋体" w:cs="Times New Roman"/>
          <w:kern w:val="2"/>
          <w:sz w:val="28"/>
          <w:szCs w:val="28"/>
          <w:lang w:val="en-US" w:eastAsia="zh-CN" w:bidi="ar-SA"/>
        </w:rPr>
        <w:t>3</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变电站总布置设计技术规程</w:t>
      </w:r>
      <w:r>
        <w:rPr>
          <w:rFonts w:hint="eastAsia" w:ascii="宋体" w:hAnsi="宋体" w:eastAsia="宋体" w:cs="Times New Roman"/>
          <w:kern w:val="2"/>
          <w:sz w:val="28"/>
          <w:szCs w:val="28"/>
          <w:lang w:val="zh-CN" w:eastAsia="zh-CN" w:bidi="ar-SA"/>
        </w:rPr>
        <w:t xml:space="preserve">》（DL/T5056-2007）； </w:t>
      </w:r>
    </w:p>
    <w:p w14:paraId="1069E828">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1</w:t>
      </w:r>
      <w:r>
        <w:rPr>
          <w:rFonts w:hint="eastAsia" w:ascii="宋体" w:hAnsi="宋体" w:cs="Times New Roman"/>
          <w:kern w:val="2"/>
          <w:sz w:val="28"/>
          <w:szCs w:val="28"/>
          <w:lang w:val="en-US" w:eastAsia="zh-CN" w:bidi="ar-SA"/>
        </w:rPr>
        <w:t>4</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 xml:space="preserve">《施工现场临时用电安全技术规范》（JGJ46-2005）；  </w:t>
      </w:r>
    </w:p>
    <w:p w14:paraId="48D926D0">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1</w:t>
      </w:r>
      <w:r>
        <w:rPr>
          <w:rFonts w:hint="eastAsia" w:ascii="宋体" w:hAnsi="宋体" w:cs="Times New Roman"/>
          <w:kern w:val="2"/>
          <w:sz w:val="28"/>
          <w:szCs w:val="28"/>
          <w:lang w:val="en-US" w:eastAsia="zh-CN" w:bidi="ar-SA"/>
        </w:rPr>
        <w:t>5</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 xml:space="preserve">《变电站运行导则》（DL/T969-2005）； </w:t>
      </w:r>
    </w:p>
    <w:p w14:paraId="7CB5F483">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1</w:t>
      </w:r>
      <w:r>
        <w:rPr>
          <w:rFonts w:hint="eastAsia" w:ascii="宋体" w:hAnsi="宋体" w:cs="Times New Roman"/>
          <w:kern w:val="2"/>
          <w:sz w:val="28"/>
          <w:szCs w:val="28"/>
          <w:lang w:val="en-US" w:eastAsia="zh-CN" w:bidi="ar-SA"/>
        </w:rPr>
        <w:t>6</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电力系统调度自动化设计规程</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DL/T5003-2017</w:t>
      </w:r>
      <w:r>
        <w:rPr>
          <w:rFonts w:hint="eastAsia" w:ascii="宋体" w:hAnsi="宋体" w:eastAsia="宋体" w:cs="Times New Roman"/>
          <w:kern w:val="2"/>
          <w:sz w:val="28"/>
          <w:szCs w:val="28"/>
          <w:lang w:val="zh-CN" w:eastAsia="zh-CN" w:bidi="ar-SA"/>
        </w:rPr>
        <w:t xml:space="preserve">）； </w:t>
      </w:r>
    </w:p>
    <w:p w14:paraId="3150CB84">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1</w:t>
      </w:r>
      <w:r>
        <w:rPr>
          <w:rFonts w:hint="eastAsia" w:ascii="宋体" w:hAnsi="宋体" w:cs="Times New Roman"/>
          <w:kern w:val="2"/>
          <w:sz w:val="28"/>
          <w:szCs w:val="28"/>
          <w:lang w:val="en-US" w:eastAsia="zh-CN" w:bidi="ar-SA"/>
        </w:rPr>
        <w:t>7</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《继电保护和电网安全自动装置检验规程》（</w:t>
      </w:r>
      <w:r>
        <w:rPr>
          <w:rFonts w:hint="eastAsia" w:ascii="宋体" w:hAnsi="宋体" w:cs="Times New Roman"/>
          <w:kern w:val="2"/>
          <w:sz w:val="28"/>
          <w:szCs w:val="28"/>
          <w:lang w:val="zh-CN" w:eastAsia="zh-CN" w:bidi="ar-SA"/>
        </w:rPr>
        <w:t>DL/T995-2016</w:t>
      </w:r>
      <w:r>
        <w:rPr>
          <w:rFonts w:hint="eastAsia" w:ascii="宋体" w:hAnsi="宋体" w:eastAsia="宋体" w:cs="Times New Roman"/>
          <w:kern w:val="2"/>
          <w:sz w:val="28"/>
          <w:szCs w:val="28"/>
          <w:lang w:val="zh-CN" w:eastAsia="zh-CN" w:bidi="ar-SA"/>
        </w:rPr>
        <w:t xml:space="preserve">）； </w:t>
      </w:r>
    </w:p>
    <w:p w14:paraId="09508C4F">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18</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高压配电装置设计规范</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DL/T 5352-2018</w:t>
      </w:r>
      <w:r>
        <w:rPr>
          <w:rFonts w:hint="eastAsia" w:ascii="宋体" w:hAnsi="宋体" w:eastAsia="宋体" w:cs="Times New Roman"/>
          <w:kern w:val="2"/>
          <w:sz w:val="28"/>
          <w:szCs w:val="28"/>
          <w:lang w:val="zh-CN" w:eastAsia="zh-CN" w:bidi="ar-SA"/>
        </w:rPr>
        <w:t xml:space="preserve">）； </w:t>
      </w:r>
    </w:p>
    <w:p w14:paraId="3B304FB5">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19</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《电力调度自动化系统运行管理规程》（</w:t>
      </w:r>
      <w:r>
        <w:rPr>
          <w:rFonts w:hint="eastAsia" w:ascii="宋体" w:hAnsi="宋体" w:cs="Times New Roman"/>
          <w:kern w:val="2"/>
          <w:sz w:val="28"/>
          <w:szCs w:val="28"/>
          <w:lang w:val="zh-CN" w:eastAsia="zh-CN" w:bidi="ar-SA"/>
        </w:rPr>
        <w:t>DL/T516-2017</w:t>
      </w:r>
      <w:r>
        <w:rPr>
          <w:rFonts w:hint="eastAsia" w:ascii="宋体" w:hAnsi="宋体" w:eastAsia="宋体" w:cs="Times New Roman"/>
          <w:kern w:val="2"/>
          <w:sz w:val="28"/>
          <w:szCs w:val="28"/>
          <w:lang w:val="zh-CN" w:eastAsia="zh-CN" w:bidi="ar-SA"/>
        </w:rPr>
        <w:t xml:space="preserve">）； </w:t>
      </w:r>
    </w:p>
    <w:p w14:paraId="15ACF912">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2</w:t>
      </w:r>
      <w:r>
        <w:rPr>
          <w:rFonts w:hint="eastAsia" w:ascii="宋体" w:hAnsi="宋体" w:cs="Times New Roman"/>
          <w:kern w:val="2"/>
          <w:sz w:val="28"/>
          <w:szCs w:val="28"/>
          <w:lang w:val="en-US" w:eastAsia="zh-CN" w:bidi="ar-SA"/>
        </w:rPr>
        <w:t>0</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 xml:space="preserve">《电网运行准则》（DL/T1040-2007）； </w:t>
      </w:r>
    </w:p>
    <w:p w14:paraId="4314D7A4">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2</w:t>
      </w: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《电力技术监督导则》（</w:t>
      </w:r>
      <w:r>
        <w:rPr>
          <w:rFonts w:hint="eastAsia" w:ascii="宋体" w:hAnsi="宋体" w:cs="Times New Roman"/>
          <w:kern w:val="2"/>
          <w:sz w:val="28"/>
          <w:szCs w:val="28"/>
          <w:lang w:val="zh-CN" w:eastAsia="zh-CN" w:bidi="ar-SA"/>
        </w:rPr>
        <w:t>DL/T1051-2019</w:t>
      </w:r>
      <w:r>
        <w:rPr>
          <w:rFonts w:hint="eastAsia" w:ascii="宋体" w:hAnsi="宋体" w:eastAsia="宋体" w:cs="Times New Roman"/>
          <w:kern w:val="2"/>
          <w:sz w:val="28"/>
          <w:szCs w:val="28"/>
          <w:lang w:val="zh-CN" w:eastAsia="zh-CN" w:bidi="ar-SA"/>
        </w:rPr>
        <w:t xml:space="preserve">）；  </w:t>
      </w:r>
    </w:p>
    <w:p w14:paraId="09D7D6AA">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2</w:t>
      </w:r>
      <w:r>
        <w:rPr>
          <w:rFonts w:hint="eastAsia" w:ascii="宋体" w:hAnsi="宋体" w:cs="Times New Roman"/>
          <w:kern w:val="2"/>
          <w:sz w:val="28"/>
          <w:szCs w:val="28"/>
          <w:lang w:val="en-US" w:eastAsia="zh-CN" w:bidi="ar-SA"/>
        </w:rPr>
        <w:t>2</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《高压电气设备绝缘技术监督规程》（</w:t>
      </w:r>
      <w:r>
        <w:rPr>
          <w:rFonts w:hint="eastAsia" w:ascii="宋体" w:hAnsi="宋体" w:cs="Times New Roman"/>
          <w:kern w:val="2"/>
          <w:sz w:val="28"/>
          <w:szCs w:val="28"/>
          <w:lang w:val="zh-CN" w:eastAsia="zh-CN" w:bidi="ar-SA"/>
        </w:rPr>
        <w:t>DL/T1054-2021</w:t>
      </w:r>
      <w:r>
        <w:rPr>
          <w:rFonts w:hint="eastAsia" w:ascii="宋体" w:hAnsi="宋体" w:eastAsia="宋体" w:cs="Times New Roman"/>
          <w:kern w:val="2"/>
          <w:sz w:val="28"/>
          <w:szCs w:val="28"/>
          <w:lang w:val="zh-CN" w:eastAsia="zh-CN" w:bidi="ar-SA"/>
        </w:rPr>
        <w:t xml:space="preserve">）； </w:t>
      </w:r>
    </w:p>
    <w:p w14:paraId="268734D1">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2</w:t>
      </w:r>
      <w:r>
        <w:rPr>
          <w:rFonts w:hint="eastAsia" w:ascii="宋体" w:hAnsi="宋体" w:cs="Times New Roman"/>
          <w:kern w:val="2"/>
          <w:sz w:val="28"/>
          <w:szCs w:val="28"/>
          <w:lang w:val="en-US" w:eastAsia="zh-CN" w:bidi="ar-SA"/>
        </w:rPr>
        <w:t>3</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继电保护和安全自动装置运行管理规程</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DL/T587-2016</w:t>
      </w:r>
      <w:r>
        <w:rPr>
          <w:rFonts w:hint="eastAsia" w:ascii="宋体" w:hAnsi="宋体" w:eastAsia="宋体" w:cs="Times New Roman"/>
          <w:kern w:val="2"/>
          <w:sz w:val="28"/>
          <w:szCs w:val="28"/>
          <w:lang w:val="zh-CN" w:eastAsia="zh-CN" w:bidi="ar-SA"/>
        </w:rPr>
        <w:t xml:space="preserve">）； </w:t>
      </w:r>
    </w:p>
    <w:p w14:paraId="1DD8E4AA">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2</w:t>
      </w:r>
      <w:r>
        <w:rPr>
          <w:rFonts w:hint="eastAsia" w:ascii="宋体" w:hAnsi="宋体" w:cs="Times New Roman"/>
          <w:kern w:val="2"/>
          <w:sz w:val="28"/>
          <w:szCs w:val="28"/>
          <w:lang w:val="en-US" w:eastAsia="zh-CN" w:bidi="ar-SA"/>
        </w:rPr>
        <w:t>4</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 xml:space="preserve">《建筑桩基技术规范》（JGJ94-2008）；  </w:t>
      </w:r>
    </w:p>
    <w:p w14:paraId="171E25E4">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2</w:t>
      </w:r>
      <w:r>
        <w:rPr>
          <w:rFonts w:hint="eastAsia" w:ascii="宋体" w:hAnsi="宋体" w:cs="Times New Roman"/>
          <w:kern w:val="2"/>
          <w:sz w:val="28"/>
          <w:szCs w:val="28"/>
          <w:lang w:val="en-US" w:eastAsia="zh-CN" w:bidi="ar-SA"/>
        </w:rPr>
        <w:t>5</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《电力行业紧急救护技术规范》（</w:t>
      </w:r>
      <w:r>
        <w:rPr>
          <w:rFonts w:hint="eastAsia" w:ascii="宋体" w:hAnsi="宋体" w:cs="Times New Roman"/>
          <w:kern w:val="2"/>
          <w:sz w:val="28"/>
          <w:szCs w:val="28"/>
          <w:lang w:val="zh-CN" w:eastAsia="zh-CN" w:bidi="ar-SA"/>
        </w:rPr>
        <w:t>DL/T 692-2018</w:t>
      </w:r>
      <w:r>
        <w:rPr>
          <w:rFonts w:hint="eastAsia" w:ascii="宋体" w:hAnsi="宋体" w:eastAsia="宋体" w:cs="Times New Roman"/>
          <w:kern w:val="2"/>
          <w:sz w:val="28"/>
          <w:szCs w:val="28"/>
          <w:lang w:val="zh-CN" w:eastAsia="zh-CN" w:bidi="ar-SA"/>
        </w:rPr>
        <w:t xml:space="preserve">）； </w:t>
      </w:r>
    </w:p>
    <w:p w14:paraId="3AB202D7">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2</w:t>
      </w:r>
      <w:r>
        <w:rPr>
          <w:rFonts w:hint="eastAsia" w:ascii="宋体" w:hAnsi="宋体" w:cs="Times New Roman"/>
          <w:kern w:val="2"/>
          <w:sz w:val="28"/>
          <w:szCs w:val="28"/>
          <w:lang w:val="en-US" w:eastAsia="zh-CN" w:bidi="ar-SA"/>
        </w:rPr>
        <w:t>6</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《电力变压器运行规程》（</w:t>
      </w:r>
      <w:r>
        <w:rPr>
          <w:rFonts w:hint="eastAsia" w:ascii="宋体" w:hAnsi="宋体" w:cs="Times New Roman"/>
          <w:kern w:val="2"/>
          <w:sz w:val="28"/>
          <w:szCs w:val="28"/>
          <w:lang w:val="zh-CN" w:eastAsia="zh-CN" w:bidi="ar-SA"/>
        </w:rPr>
        <w:t>DL/T572-2021</w:t>
      </w:r>
      <w:r>
        <w:rPr>
          <w:rFonts w:hint="eastAsia" w:ascii="宋体" w:hAnsi="宋体" w:eastAsia="宋体" w:cs="Times New Roman"/>
          <w:kern w:val="2"/>
          <w:sz w:val="28"/>
          <w:szCs w:val="28"/>
          <w:lang w:val="zh-CN" w:eastAsia="zh-CN" w:bidi="ar-SA"/>
        </w:rPr>
        <w:t>）；</w:t>
      </w:r>
    </w:p>
    <w:p w14:paraId="3206EDBE">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2</w:t>
      </w:r>
      <w:r>
        <w:rPr>
          <w:rFonts w:hint="eastAsia" w:ascii="宋体" w:hAnsi="宋体" w:cs="Times New Roman"/>
          <w:kern w:val="2"/>
          <w:sz w:val="28"/>
          <w:szCs w:val="28"/>
          <w:lang w:val="en-US" w:eastAsia="zh-CN" w:bidi="ar-SA"/>
        </w:rPr>
        <w:t>7</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《电力系统光纤通信运行管理规程》（</w:t>
      </w:r>
      <w:r>
        <w:rPr>
          <w:rFonts w:hint="eastAsia" w:ascii="宋体" w:hAnsi="宋体" w:cs="Times New Roman"/>
          <w:kern w:val="2"/>
          <w:sz w:val="28"/>
          <w:szCs w:val="28"/>
          <w:lang w:val="zh-CN" w:eastAsia="zh-CN" w:bidi="ar-SA"/>
        </w:rPr>
        <w:t>DL/T 547-2020</w:t>
      </w:r>
      <w:r>
        <w:rPr>
          <w:rFonts w:hint="eastAsia" w:ascii="宋体" w:hAnsi="宋体" w:eastAsia="宋体" w:cs="Times New Roman"/>
          <w:kern w:val="2"/>
          <w:sz w:val="28"/>
          <w:szCs w:val="28"/>
          <w:lang w:val="zh-CN" w:eastAsia="zh-CN" w:bidi="ar-SA"/>
        </w:rPr>
        <w:t>）；</w:t>
      </w:r>
    </w:p>
    <w:p w14:paraId="5EF60119">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28</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发电设备可靠性评价规程（系列）</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DL/T 793-2017</w:t>
      </w:r>
      <w:r>
        <w:rPr>
          <w:rFonts w:hint="eastAsia" w:ascii="宋体" w:hAnsi="宋体" w:eastAsia="宋体" w:cs="Times New Roman"/>
          <w:kern w:val="2"/>
          <w:sz w:val="28"/>
          <w:szCs w:val="28"/>
          <w:lang w:val="zh-CN" w:eastAsia="zh-CN" w:bidi="ar-SA"/>
        </w:rPr>
        <w:t xml:space="preserve">）； </w:t>
      </w:r>
    </w:p>
    <w:p w14:paraId="17164CFA">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cs="Times New Roman"/>
          <w:kern w:val="2"/>
          <w:sz w:val="28"/>
          <w:szCs w:val="28"/>
          <w:lang w:val="en-US" w:eastAsia="zh-CN" w:bidi="ar-SA"/>
        </w:rPr>
        <w:t>29</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《电力系统通信站过电压防护规程》（</w:t>
      </w:r>
      <w:r>
        <w:rPr>
          <w:rFonts w:hint="eastAsia" w:ascii="宋体" w:hAnsi="宋体" w:cs="Times New Roman"/>
          <w:kern w:val="2"/>
          <w:sz w:val="28"/>
          <w:szCs w:val="28"/>
          <w:lang w:val="zh-CN" w:eastAsia="zh-CN" w:bidi="ar-SA"/>
        </w:rPr>
        <w:t>DL/T548-2012</w:t>
      </w:r>
      <w:r>
        <w:rPr>
          <w:rFonts w:hint="eastAsia" w:ascii="宋体" w:hAnsi="宋体" w:eastAsia="宋体" w:cs="Times New Roman"/>
          <w:kern w:val="2"/>
          <w:sz w:val="28"/>
          <w:szCs w:val="28"/>
          <w:lang w:val="zh-CN" w:eastAsia="zh-CN" w:bidi="ar-SA"/>
        </w:rPr>
        <w:t xml:space="preserve">）；  </w:t>
      </w:r>
    </w:p>
    <w:p w14:paraId="28777F16">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3</w:t>
      </w:r>
      <w:r>
        <w:rPr>
          <w:rFonts w:hint="eastAsia" w:ascii="宋体" w:hAnsi="宋体" w:cs="Times New Roman"/>
          <w:kern w:val="2"/>
          <w:sz w:val="28"/>
          <w:szCs w:val="28"/>
          <w:lang w:val="en-US" w:eastAsia="zh-CN" w:bidi="ar-SA"/>
        </w:rPr>
        <w:t>0</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电力通信运行管理规程</w:t>
      </w:r>
      <w:r>
        <w:rPr>
          <w:rFonts w:hint="eastAsia" w:ascii="宋体" w:hAnsi="宋体" w:eastAsia="宋体" w:cs="Times New Roman"/>
          <w:kern w:val="2"/>
          <w:sz w:val="28"/>
          <w:szCs w:val="28"/>
          <w:lang w:val="zh-CN" w:eastAsia="zh-CN" w:bidi="ar-SA"/>
        </w:rPr>
        <w:t xml:space="preserve">》（DL/T544-2012）； </w:t>
      </w:r>
    </w:p>
    <w:p w14:paraId="6EAF920D">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3</w:t>
      </w: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w:t>
      </w:r>
      <w:r>
        <w:rPr>
          <w:rFonts w:hint="eastAsia" w:ascii="宋体" w:hAnsi="宋体" w:cs="Times New Roman"/>
          <w:kern w:val="2"/>
          <w:sz w:val="28"/>
          <w:szCs w:val="28"/>
          <w:lang w:val="zh-CN" w:eastAsia="zh-CN" w:bidi="ar-SA"/>
        </w:rPr>
        <w:t>六氟化硫电气设备运行、试验及检修人员安全防护导则</w:t>
      </w:r>
      <w:r>
        <w:rPr>
          <w:rFonts w:hint="eastAsia" w:ascii="宋体" w:hAnsi="宋体" w:eastAsia="宋体" w:cs="Times New Roman"/>
          <w:kern w:val="2"/>
          <w:sz w:val="28"/>
          <w:szCs w:val="28"/>
          <w:lang w:val="zh-CN" w:eastAsia="zh-CN" w:bidi="ar-SA"/>
        </w:rPr>
        <w:t xml:space="preserve">》（DL/T639-2016）； </w:t>
      </w:r>
    </w:p>
    <w:p w14:paraId="5C10438C">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3</w:t>
      </w:r>
      <w:r>
        <w:rPr>
          <w:rFonts w:hint="eastAsia" w:ascii="宋体" w:hAnsi="宋体" w:cs="Times New Roman"/>
          <w:kern w:val="2"/>
          <w:sz w:val="28"/>
          <w:szCs w:val="28"/>
          <w:lang w:val="en-US" w:eastAsia="zh-CN" w:bidi="ar-SA"/>
        </w:rPr>
        <w:t>2</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 xml:space="preserve">《预制舱式10kV～35kV一二次组合设备技术规范》（Q/GDW 11882-2018）； </w:t>
      </w:r>
    </w:p>
    <w:p w14:paraId="3BD5D974">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3</w:t>
      </w:r>
      <w:r>
        <w:rPr>
          <w:rFonts w:hint="eastAsia" w:ascii="宋体" w:hAnsi="宋体" w:cs="Times New Roman"/>
          <w:kern w:val="2"/>
          <w:sz w:val="28"/>
          <w:szCs w:val="28"/>
          <w:lang w:val="en-US" w:eastAsia="zh-CN" w:bidi="ar-SA"/>
        </w:rPr>
        <w:t>3</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 xml:space="preserve">《光伏发电工程地质勘察规范》（NB/T10100-2018）； </w:t>
      </w:r>
    </w:p>
    <w:p w14:paraId="1EA1B5BB">
      <w:pPr>
        <w:pageBreakBefore w:val="0"/>
        <w:widowControl w:val="0"/>
        <w:kinsoku/>
        <w:wordWrap/>
        <w:overflowPunct/>
        <w:topLinePunct w:val="0"/>
        <w:autoSpaceDE/>
        <w:autoSpaceDN/>
        <w:bidi w:val="0"/>
        <w:spacing w:line="420" w:lineRule="exact"/>
        <w:ind w:firstLine="560" w:firstLineChars="200"/>
        <w:textAlignment w:val="auto"/>
        <w:outlineLvl w:val="9"/>
        <w:rPr>
          <w:rFonts w:hint="eastAsia" w:ascii="宋体" w:hAnsi="宋体" w:eastAsia="宋体" w:cs="Times New Roman"/>
          <w:kern w:val="2"/>
          <w:sz w:val="28"/>
          <w:szCs w:val="28"/>
          <w:lang w:val="zh-CN" w:eastAsia="zh-CN" w:bidi="ar-SA"/>
        </w:rPr>
      </w:pPr>
      <w:r>
        <w:rPr>
          <w:rFonts w:hint="eastAsia" w:ascii="宋体" w:hAnsi="宋体" w:eastAsia="宋体" w:cs="Times New Roman"/>
          <w:kern w:val="2"/>
          <w:sz w:val="28"/>
          <w:szCs w:val="28"/>
          <w:lang w:val="zh-CN" w:eastAsia="zh-CN" w:bidi="ar-SA"/>
        </w:rPr>
        <w:t>3</w:t>
      </w:r>
      <w:r>
        <w:rPr>
          <w:rFonts w:hint="eastAsia" w:ascii="宋体" w:hAnsi="宋体" w:cs="Times New Roman"/>
          <w:kern w:val="2"/>
          <w:sz w:val="28"/>
          <w:szCs w:val="28"/>
          <w:lang w:val="en-US" w:eastAsia="zh-CN" w:bidi="ar-SA"/>
        </w:rPr>
        <w:t>4</w:t>
      </w:r>
      <w:r>
        <w:rPr>
          <w:rFonts w:hint="eastAsia" w:ascii="宋体" w:hAnsi="宋体" w:eastAsia="宋体" w:cs="Times New Roman"/>
          <w:kern w:val="2"/>
          <w:sz w:val="28"/>
          <w:szCs w:val="28"/>
          <w:lang w:val="en-US" w:eastAsia="zh-CN" w:bidi="ar-SA"/>
        </w:rPr>
        <w:t>.</w:t>
      </w:r>
      <w:r>
        <w:rPr>
          <w:rFonts w:hint="eastAsia" w:ascii="宋体" w:hAnsi="宋体" w:eastAsia="宋体" w:cs="Times New Roman"/>
          <w:kern w:val="2"/>
          <w:sz w:val="28"/>
          <w:szCs w:val="28"/>
          <w:lang w:val="zh-CN" w:eastAsia="zh-CN" w:bidi="ar-SA"/>
        </w:rPr>
        <w:t>《太阳能发电工程太阳能资源评估技术规程 》（NB/T 10353-2019）。</w:t>
      </w:r>
    </w:p>
    <w:p w14:paraId="4D912073">
      <w:pPr>
        <w:pageBreakBefore w:val="0"/>
        <w:widowControl w:val="0"/>
        <w:kinsoku/>
        <w:wordWrap/>
        <w:overflowPunct/>
        <w:topLinePunct w:val="0"/>
        <w:autoSpaceDE/>
        <w:autoSpaceDN/>
        <w:bidi w:val="0"/>
        <w:spacing w:line="420" w:lineRule="exact"/>
        <w:textAlignment w:val="auto"/>
        <w:outlineLvl w:val="1"/>
        <w:rPr>
          <w:rFonts w:hint="eastAsia" w:ascii="Times New Roman" w:hAnsi="Times New Roman" w:eastAsia="宋体" w:cs="Times New Roman"/>
          <w:b/>
          <w:bCs/>
          <w:color w:val="000000"/>
          <w:lang w:val="en-US" w:eastAsia="zh-CN"/>
        </w:rPr>
      </w:pPr>
      <w:bookmarkStart w:id="121" w:name="_Toc32229"/>
      <w:r>
        <w:rPr>
          <w:rFonts w:hint="eastAsia" w:ascii="宋体" w:hAnsi="宋体" w:eastAsia="宋体" w:cs="宋体"/>
          <w:b/>
          <w:bCs/>
          <w:color w:val="000000"/>
          <w:sz w:val="32"/>
          <w:szCs w:val="32"/>
          <w:lang w:val="en-US" w:eastAsia="zh-CN"/>
        </w:rPr>
        <w:t>1.3建设项目合法证明文件</w:t>
      </w:r>
      <w:bookmarkEnd w:id="43"/>
      <w:bookmarkEnd w:id="44"/>
      <w:bookmarkEnd w:id="45"/>
      <w:bookmarkEnd w:id="121"/>
    </w:p>
    <w:p w14:paraId="4EC5F3C8">
      <w:pPr>
        <w:keepNext w:val="0"/>
        <w:keepLines w:val="0"/>
        <w:pageBreakBefore w:val="0"/>
        <w:widowControl/>
        <w:suppressLineNumbers w:val="0"/>
        <w:kinsoku/>
        <w:wordWrap/>
        <w:overflowPunct/>
        <w:autoSpaceDE/>
        <w:autoSpaceDN/>
        <w:bidi w:val="0"/>
        <w:spacing w:line="420" w:lineRule="exact"/>
        <w:ind w:firstLine="560" w:firstLineChars="200"/>
        <w:jc w:val="left"/>
        <w:textAlignment w:val="auto"/>
        <w:rPr>
          <w:rFonts w:hint="eastAsia" w:ascii="宋体" w:hAnsi="宋体" w:cs="Times New Roman"/>
          <w:color w:val="FF0000"/>
          <w:kern w:val="2"/>
          <w:sz w:val="28"/>
          <w:szCs w:val="28"/>
          <w:lang w:val="zh-CN" w:eastAsia="zh-CN" w:bidi="ar-SA"/>
        </w:rPr>
      </w:pPr>
      <w:r>
        <w:rPr>
          <w:rFonts w:hint="eastAsia" w:ascii="宋体" w:hAnsi="宋体" w:cs="Times New Roman"/>
          <w:kern w:val="2"/>
          <w:sz w:val="28"/>
          <w:szCs w:val="28"/>
          <w:lang w:val="en-US" w:eastAsia="zh-CN" w:bidi="ar-SA"/>
        </w:rPr>
        <w:t>1.</w:t>
      </w:r>
      <w:r>
        <w:rPr>
          <w:rFonts w:hint="eastAsia" w:ascii="宋体" w:hAnsi="宋体" w:cs="Times New Roman"/>
          <w:color w:val="000000" w:themeColor="text1"/>
          <w:kern w:val="2"/>
          <w:sz w:val="28"/>
          <w:szCs w:val="28"/>
          <w:lang w:val="zh-CN" w:eastAsia="zh-CN" w:bidi="ar-SA"/>
          <w14:textFill>
            <w14:solidFill>
              <w14:schemeClr w14:val="tx1"/>
            </w14:solidFill>
          </w14:textFill>
        </w:rPr>
        <w:t>《项目投资备案证》（备案项目代码：</w:t>
      </w:r>
      <w:r>
        <w:rPr>
          <w:rFonts w:hint="default" w:ascii="Times New Roman" w:hAnsi="Times New Roman" w:eastAsia="宋体" w:cs="Times New Roman"/>
          <w:color w:val="000000"/>
          <w:kern w:val="0"/>
          <w:sz w:val="28"/>
          <w:szCs w:val="28"/>
          <w:lang w:val="en-US" w:eastAsia="zh-CN" w:bidi="ar"/>
        </w:rPr>
        <w:t>2208-532801-04-01-</w:t>
      </w:r>
      <w:r>
        <w:rPr>
          <w:rFonts w:hint="eastAsia" w:cs="Times New Roman"/>
          <w:color w:val="000000"/>
          <w:kern w:val="0"/>
          <w:sz w:val="28"/>
          <w:szCs w:val="28"/>
          <w:lang w:val="en-US" w:eastAsia="zh-CN" w:bidi="ar"/>
        </w:rPr>
        <w:t>507389</w:t>
      </w:r>
      <w:r>
        <w:rPr>
          <w:rFonts w:hint="eastAsia" w:ascii="宋体" w:hAnsi="宋体" w:cs="Times New Roman"/>
          <w:color w:val="000000" w:themeColor="text1"/>
          <w:kern w:val="2"/>
          <w:sz w:val="28"/>
          <w:szCs w:val="28"/>
          <w:lang w:val="zh-CN" w:eastAsia="zh-CN" w:bidi="ar-SA"/>
          <w14:textFill>
            <w14:solidFill>
              <w14:schemeClr w14:val="tx1"/>
            </w14:solidFill>
          </w14:textFill>
        </w:rPr>
        <w:t>），（</w:t>
      </w:r>
      <w:r>
        <w:rPr>
          <w:rFonts w:hint="eastAsia" w:ascii="宋体" w:hAnsi="宋体" w:cs="Times New Roman"/>
          <w:color w:val="000000" w:themeColor="text1"/>
          <w:kern w:val="2"/>
          <w:sz w:val="28"/>
          <w:szCs w:val="28"/>
          <w:lang w:val="en-US" w:eastAsia="zh-CN" w:bidi="ar-SA"/>
          <w14:textFill>
            <w14:solidFill>
              <w14:schemeClr w14:val="tx1"/>
            </w14:solidFill>
          </w14:textFill>
        </w:rPr>
        <w:t>景洪市</w:t>
      </w:r>
      <w:r>
        <w:rPr>
          <w:rFonts w:hint="eastAsia" w:ascii="宋体" w:hAnsi="宋体" w:cs="Times New Roman"/>
          <w:color w:val="000000" w:themeColor="text1"/>
          <w:kern w:val="2"/>
          <w:sz w:val="28"/>
          <w:szCs w:val="28"/>
          <w:lang w:val="zh-CN" w:eastAsia="zh-CN" w:bidi="ar-SA"/>
          <w14:textFill>
            <w14:solidFill>
              <w14:schemeClr w14:val="tx1"/>
            </w14:solidFill>
          </w14:textFill>
        </w:rPr>
        <w:t>发展和改革局）。</w:t>
      </w:r>
    </w:p>
    <w:p w14:paraId="59948FDB">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kern w:val="2"/>
          <w:sz w:val="28"/>
          <w:szCs w:val="28"/>
          <w:lang w:val="zh-CN" w:eastAsia="zh-CN" w:bidi="ar-SA"/>
        </w:rPr>
      </w:pPr>
      <w:r>
        <w:rPr>
          <w:rFonts w:hint="eastAsia" w:ascii="宋体" w:hAnsi="宋体" w:cs="Times New Roman"/>
          <w:color w:val="000000" w:themeColor="text1"/>
          <w:kern w:val="2"/>
          <w:sz w:val="28"/>
          <w:szCs w:val="28"/>
          <w:lang w:val="en-US" w:eastAsia="zh-CN" w:bidi="ar-SA"/>
          <w14:textFill>
            <w14:solidFill>
              <w14:schemeClr w14:val="tx1"/>
            </w14:solidFill>
          </w14:textFill>
        </w:rPr>
        <w:t>2.</w:t>
      </w:r>
      <w:r>
        <w:rPr>
          <w:rFonts w:hint="eastAsia" w:ascii="宋体" w:hAnsi="宋体" w:cs="Times New Roman"/>
          <w:color w:val="000000" w:themeColor="text1"/>
          <w:kern w:val="2"/>
          <w:sz w:val="28"/>
          <w:szCs w:val="28"/>
          <w:lang w:val="zh-CN" w:eastAsia="zh-CN" w:bidi="ar-SA"/>
          <w14:textFill>
            <w14:solidFill>
              <w14:schemeClr w14:val="tx1"/>
            </w14:solidFill>
          </w14:textFill>
        </w:rPr>
        <w:t>《营业执照》</w:t>
      </w:r>
      <w:r>
        <w:rPr>
          <w:rFonts w:hint="eastAsia" w:ascii="宋体" w:hAnsi="宋体" w:cs="Times New Roman"/>
          <w:color w:val="000000" w:themeColor="text1"/>
          <w:kern w:val="2"/>
          <w:sz w:val="28"/>
          <w:szCs w:val="28"/>
          <w:lang w:val="en-US" w:eastAsia="zh-CN" w:bidi="ar-SA"/>
          <w14:textFill>
            <w14:solidFill>
              <w14:schemeClr w14:val="tx1"/>
            </w14:solidFill>
          </w14:textFill>
        </w:rPr>
        <w:t>西双版纳傣族自治州</w:t>
      </w:r>
      <w:r>
        <w:rPr>
          <w:rFonts w:hint="eastAsia" w:ascii="宋体" w:hAnsi="宋体" w:cs="Times New Roman"/>
          <w:color w:val="000000" w:themeColor="text1"/>
          <w:kern w:val="2"/>
          <w:sz w:val="28"/>
          <w:szCs w:val="28"/>
          <w:lang w:val="zh-CN" w:eastAsia="zh-CN" w:bidi="ar-SA"/>
          <w14:textFill>
            <w14:solidFill>
              <w14:schemeClr w14:val="tx1"/>
            </w14:solidFill>
          </w14:textFill>
        </w:rPr>
        <w:t>市场监督管理局：统一社会信用代码：</w:t>
      </w:r>
      <w:r>
        <w:rPr>
          <w:rFonts w:hint="eastAsia" w:ascii="宋体" w:hAnsi="宋体" w:cs="Times New Roman"/>
          <w:color w:val="000000" w:themeColor="text1"/>
          <w:kern w:val="2"/>
          <w:sz w:val="28"/>
          <w:szCs w:val="28"/>
          <w:lang w:val="en-US" w:eastAsia="zh-CN" w:bidi="ar-SA"/>
          <w14:textFill>
            <w14:solidFill>
              <w14:schemeClr w14:val="tx1"/>
            </w14:solidFill>
          </w14:textFill>
        </w:rPr>
        <w:t>91532801MABN4NM888</w:t>
      </w:r>
      <w:r>
        <w:rPr>
          <w:rFonts w:hint="eastAsia" w:ascii="宋体" w:hAnsi="宋体" w:cs="Times New Roman"/>
          <w:color w:val="000000" w:themeColor="text1"/>
          <w:kern w:val="2"/>
          <w:sz w:val="28"/>
          <w:szCs w:val="28"/>
          <w:lang w:val="zh-CN" w:eastAsia="zh-CN" w:bidi="ar-SA"/>
          <w14:textFill>
            <w14:solidFill>
              <w14:schemeClr w14:val="tx1"/>
            </w14:solidFill>
          </w14:textFill>
        </w:rPr>
        <w:t>；</w:t>
      </w:r>
    </w:p>
    <w:p w14:paraId="2EE0FC2B">
      <w:pPr>
        <w:pStyle w:val="3"/>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lang w:val="en-US" w:eastAsia="zh-CN"/>
        </w:rPr>
      </w:pPr>
      <w:bookmarkStart w:id="122" w:name="_Toc22581"/>
      <w:bookmarkStart w:id="123" w:name="_Toc5536"/>
      <w:bookmarkStart w:id="124" w:name="_Toc21410"/>
      <w:bookmarkStart w:id="125" w:name="_Toc14586"/>
      <w:r>
        <w:rPr>
          <w:rFonts w:hint="eastAsia" w:ascii="宋体" w:hAnsi="宋体" w:eastAsia="宋体" w:cs="宋体"/>
          <w:b/>
          <w:bCs/>
          <w:color w:val="000000"/>
          <w:lang w:val="en-US" w:eastAsia="zh-CN"/>
        </w:rPr>
        <w:t>1.4建设项目技术资料</w:t>
      </w:r>
      <w:bookmarkEnd w:id="122"/>
      <w:bookmarkEnd w:id="123"/>
      <w:bookmarkEnd w:id="124"/>
      <w:bookmarkEnd w:id="125"/>
    </w:p>
    <w:p w14:paraId="15C37915">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color w:val="000000" w:themeColor="text1"/>
          <w:kern w:val="2"/>
          <w:sz w:val="28"/>
          <w:szCs w:val="28"/>
          <w:lang w:val="en-US" w:eastAsia="zh-CN" w:bidi="ar-SA"/>
          <w14:textFill>
            <w14:solidFill>
              <w14:schemeClr w14:val="tx1"/>
            </w14:solidFill>
          </w14:textFill>
        </w:rPr>
      </w:pPr>
      <w:r>
        <w:rPr>
          <w:rFonts w:hint="eastAsia" w:ascii="宋体" w:hAnsi="宋体" w:eastAsia="宋体" w:cs="Times New Roman"/>
          <w:color w:val="000000" w:themeColor="text1"/>
          <w:kern w:val="2"/>
          <w:sz w:val="28"/>
          <w:szCs w:val="28"/>
          <w:lang w:val="en-US" w:eastAsia="zh-CN" w:bidi="ar-SA"/>
          <w14:textFill>
            <w14:solidFill>
              <w14:schemeClr w14:val="tx1"/>
            </w14:solidFill>
          </w14:textFill>
        </w:rPr>
        <w:t>1.《华能澜沧江（</w:t>
      </w:r>
      <w:r>
        <w:rPr>
          <w:rFonts w:hint="eastAsia" w:ascii="宋体" w:hAnsi="宋体" w:cs="Times New Roman"/>
          <w:color w:val="000000" w:themeColor="text1"/>
          <w:kern w:val="2"/>
          <w:sz w:val="28"/>
          <w:szCs w:val="28"/>
          <w:lang w:val="en-US" w:eastAsia="zh-CN" w:bidi="ar-SA"/>
          <w14:textFill>
            <w14:solidFill>
              <w14:schemeClr w14:val="tx1"/>
            </w14:solidFill>
          </w14:textFill>
        </w:rPr>
        <w:t>景洪</w:t>
      </w:r>
      <w:r>
        <w:rPr>
          <w:rFonts w:hint="eastAsia" w:ascii="宋体" w:hAnsi="宋体" w:eastAsia="宋体" w:cs="Times New Roman"/>
          <w:color w:val="000000" w:themeColor="text1"/>
          <w:kern w:val="2"/>
          <w:sz w:val="28"/>
          <w:szCs w:val="28"/>
          <w:lang w:val="en-US" w:eastAsia="zh-CN" w:bidi="ar-SA"/>
          <w14:textFill>
            <w14:solidFill>
              <w14:schemeClr w14:val="tx1"/>
            </w14:solidFill>
          </w14:textFill>
        </w:rPr>
        <w:t>）新能源有限公司</w:t>
      </w:r>
      <w:r>
        <w:rPr>
          <w:rFonts w:hint="eastAsia" w:ascii="宋体" w:hAnsi="宋体" w:eastAsia="宋体" w:cs="宋体"/>
          <w:color w:val="000000"/>
          <w:kern w:val="0"/>
          <w:sz w:val="28"/>
          <w:szCs w:val="28"/>
          <w:lang w:val="en-US" w:eastAsia="zh-CN" w:bidi="ar"/>
        </w:rPr>
        <w:t>景讷乡大寨村云盘光伏</w:t>
      </w:r>
      <w:r>
        <w:rPr>
          <w:rFonts w:hint="eastAsia" w:ascii="宋体" w:hAnsi="宋体" w:eastAsia="宋体" w:cs="宋体"/>
          <w:color w:val="000000" w:themeColor="text1"/>
          <w:sz w:val="28"/>
          <w:szCs w:val="28"/>
          <w:lang w:eastAsia="zh-CN"/>
          <w14:textFill>
            <w14:solidFill>
              <w14:schemeClr w14:val="tx1"/>
            </w14:solidFill>
          </w14:textFill>
        </w:rPr>
        <w:t>电站</w:t>
      </w:r>
      <w:r>
        <w:rPr>
          <w:rFonts w:hint="eastAsia" w:ascii="宋体" w:hAnsi="宋体" w:eastAsia="宋体" w:cs="Times New Roman"/>
          <w:color w:val="000000" w:themeColor="text1"/>
          <w:kern w:val="2"/>
          <w:sz w:val="28"/>
          <w:szCs w:val="28"/>
          <w:lang w:val="en-US" w:eastAsia="zh-CN" w:bidi="ar-SA"/>
          <w14:textFill>
            <w14:solidFill>
              <w14:schemeClr w14:val="tx1"/>
            </w14:solidFill>
          </w14:textFill>
        </w:rPr>
        <w:t>建设项目安全生产条件和设施综合分析报告》（</w:t>
      </w:r>
      <w:r>
        <w:rPr>
          <w:rFonts w:hint="eastAsia" w:ascii="宋体" w:hAnsi="宋体" w:cs="Times New Roman"/>
          <w:color w:val="000000" w:themeColor="text1"/>
          <w:kern w:val="2"/>
          <w:sz w:val="28"/>
          <w:szCs w:val="28"/>
          <w:lang w:val="en-US" w:eastAsia="zh-CN" w:bidi="ar-SA"/>
          <w14:textFill>
            <w14:solidFill>
              <w14:schemeClr w14:val="tx1"/>
            </w14:solidFill>
          </w14:textFill>
        </w:rPr>
        <w:t>大理恒泰安全科技有限公司</w:t>
      </w:r>
      <w:r>
        <w:rPr>
          <w:rFonts w:hint="eastAsia" w:ascii="宋体" w:hAnsi="宋体" w:eastAsia="宋体" w:cs="Times New Roman"/>
          <w:color w:val="000000" w:themeColor="text1"/>
          <w:kern w:val="2"/>
          <w:sz w:val="28"/>
          <w:szCs w:val="28"/>
          <w:lang w:val="en-US" w:eastAsia="zh-CN" w:bidi="ar-SA"/>
          <w14:textFill>
            <w14:solidFill>
              <w14:schemeClr w14:val="tx1"/>
            </w14:solidFill>
          </w14:textFill>
        </w:rPr>
        <w:t>）202</w:t>
      </w:r>
      <w:r>
        <w:rPr>
          <w:rFonts w:hint="eastAsia" w:ascii="宋体" w:hAnsi="宋体" w:cs="Times New Roman"/>
          <w:color w:val="000000" w:themeColor="text1"/>
          <w:kern w:val="2"/>
          <w:sz w:val="28"/>
          <w:szCs w:val="28"/>
          <w:lang w:val="en-US" w:eastAsia="zh-CN" w:bidi="ar-SA"/>
          <w14:textFill>
            <w14:solidFill>
              <w14:schemeClr w14:val="tx1"/>
            </w14:solidFill>
          </w14:textFill>
        </w:rPr>
        <w:t>3</w:t>
      </w:r>
      <w:r>
        <w:rPr>
          <w:rFonts w:hint="eastAsia" w:ascii="宋体" w:hAnsi="宋体" w:eastAsia="宋体" w:cs="Times New Roman"/>
          <w:color w:val="000000" w:themeColor="text1"/>
          <w:kern w:val="2"/>
          <w:sz w:val="28"/>
          <w:szCs w:val="28"/>
          <w:lang w:val="en-US" w:eastAsia="zh-CN" w:bidi="ar-SA"/>
          <w14:textFill>
            <w14:solidFill>
              <w14:schemeClr w14:val="tx1"/>
            </w14:solidFill>
          </w14:textFill>
        </w:rPr>
        <w:t>年</w:t>
      </w:r>
      <w:r>
        <w:rPr>
          <w:rFonts w:hint="eastAsia" w:ascii="宋体" w:hAnsi="宋体" w:cs="Times New Roman"/>
          <w:color w:val="000000" w:themeColor="text1"/>
          <w:kern w:val="2"/>
          <w:sz w:val="28"/>
          <w:szCs w:val="28"/>
          <w:lang w:val="en-US" w:eastAsia="zh-CN" w:bidi="ar-SA"/>
          <w14:textFill>
            <w14:solidFill>
              <w14:schemeClr w14:val="tx1"/>
            </w14:solidFill>
          </w14:textFill>
        </w:rPr>
        <w:t>8</w:t>
      </w:r>
      <w:r>
        <w:rPr>
          <w:rFonts w:hint="eastAsia" w:ascii="宋体" w:hAnsi="宋体" w:eastAsia="宋体" w:cs="Times New Roman"/>
          <w:color w:val="000000" w:themeColor="text1"/>
          <w:kern w:val="2"/>
          <w:sz w:val="28"/>
          <w:szCs w:val="28"/>
          <w:lang w:val="en-US" w:eastAsia="zh-CN" w:bidi="ar-SA"/>
          <w14:textFill>
            <w14:solidFill>
              <w14:schemeClr w14:val="tx1"/>
            </w14:solidFill>
          </w14:textFill>
        </w:rPr>
        <w:t>月）；</w:t>
      </w:r>
    </w:p>
    <w:p w14:paraId="00CAA9A0">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2.《</w:t>
      </w:r>
      <w:r>
        <w:rPr>
          <w:rFonts w:hint="eastAsia" w:ascii="宋体" w:hAnsi="宋体" w:cs="Times New Roman"/>
          <w:color w:val="auto"/>
          <w:kern w:val="2"/>
          <w:sz w:val="28"/>
          <w:szCs w:val="28"/>
          <w:lang w:val="en-US" w:eastAsia="zh-CN" w:bidi="ar-SA"/>
        </w:rPr>
        <w:t>景洪市</w:t>
      </w:r>
      <w:r>
        <w:rPr>
          <w:rFonts w:hint="eastAsia" w:ascii="宋体" w:hAnsi="宋体" w:eastAsia="宋体" w:cs="宋体"/>
          <w:color w:val="auto"/>
          <w:kern w:val="0"/>
          <w:sz w:val="28"/>
          <w:szCs w:val="28"/>
          <w:lang w:val="en-US" w:eastAsia="zh-CN" w:bidi="ar"/>
        </w:rPr>
        <w:t>景讷乡大寨村云盘光伏</w:t>
      </w:r>
      <w:r>
        <w:rPr>
          <w:rFonts w:hint="eastAsia" w:ascii="宋体" w:hAnsi="宋体" w:cs="宋体"/>
          <w:color w:val="auto"/>
          <w:kern w:val="0"/>
          <w:sz w:val="28"/>
          <w:szCs w:val="28"/>
          <w:lang w:val="en-US" w:eastAsia="zh-CN" w:bidi="ar"/>
        </w:rPr>
        <w:t>发电项目</w:t>
      </w:r>
      <w:r>
        <w:rPr>
          <w:rFonts w:hint="eastAsia" w:ascii="宋体" w:hAnsi="宋体" w:cs="Times New Roman"/>
          <w:color w:val="auto"/>
          <w:kern w:val="2"/>
          <w:sz w:val="28"/>
          <w:szCs w:val="28"/>
          <w:lang w:val="en-US" w:eastAsia="zh-CN" w:bidi="ar-SA"/>
        </w:rPr>
        <w:t>岩土工程勘察报告（详细勘察）</w:t>
      </w:r>
      <w:r>
        <w:rPr>
          <w:rFonts w:hint="eastAsia" w:ascii="宋体" w:hAnsi="宋体" w:eastAsia="宋体" w:cs="Times New Roman"/>
          <w:color w:val="auto"/>
          <w:kern w:val="2"/>
          <w:sz w:val="28"/>
          <w:szCs w:val="28"/>
          <w:lang w:val="en-US" w:eastAsia="zh-CN" w:bidi="ar-SA"/>
        </w:rPr>
        <w:t>》（</w:t>
      </w:r>
      <w:r>
        <w:rPr>
          <w:rFonts w:hint="eastAsia" w:ascii="宋体" w:hAnsi="宋体" w:cs="Times New Roman"/>
          <w:color w:val="auto"/>
          <w:kern w:val="2"/>
          <w:sz w:val="28"/>
          <w:szCs w:val="28"/>
          <w:lang w:val="en-US" w:eastAsia="zh-CN" w:bidi="ar-SA"/>
        </w:rPr>
        <w:t>华东</w:t>
      </w:r>
      <w:r>
        <w:rPr>
          <w:rFonts w:hint="eastAsia" w:ascii="宋体" w:hAnsi="宋体" w:eastAsia="宋体" w:cs="Times New Roman"/>
          <w:color w:val="auto"/>
          <w:kern w:val="2"/>
          <w:sz w:val="28"/>
          <w:szCs w:val="28"/>
          <w:lang w:val="en-US" w:eastAsia="zh-CN" w:bidi="ar-SA"/>
        </w:rPr>
        <w:t>勘</w:t>
      </w:r>
      <w:r>
        <w:rPr>
          <w:rFonts w:hint="eastAsia" w:ascii="宋体" w:hAnsi="宋体" w:cs="Times New Roman"/>
          <w:color w:val="auto"/>
          <w:kern w:val="2"/>
          <w:sz w:val="28"/>
          <w:szCs w:val="28"/>
          <w:lang w:val="en-US" w:eastAsia="zh-CN" w:bidi="ar-SA"/>
        </w:rPr>
        <w:t>测</w:t>
      </w:r>
      <w:r>
        <w:rPr>
          <w:rFonts w:hint="eastAsia" w:ascii="宋体" w:hAnsi="宋体" w:eastAsia="宋体" w:cs="Times New Roman"/>
          <w:color w:val="auto"/>
          <w:kern w:val="2"/>
          <w:sz w:val="28"/>
          <w:szCs w:val="28"/>
          <w:lang w:val="en-US" w:eastAsia="zh-CN" w:bidi="ar-SA"/>
        </w:rPr>
        <w:t>设计研究</w:t>
      </w:r>
      <w:r>
        <w:rPr>
          <w:rFonts w:hint="eastAsia" w:ascii="宋体" w:hAnsi="宋体" w:cs="Times New Roman"/>
          <w:color w:val="auto"/>
          <w:kern w:val="2"/>
          <w:sz w:val="28"/>
          <w:szCs w:val="28"/>
          <w:lang w:val="en-US" w:eastAsia="zh-CN" w:bidi="ar-SA"/>
        </w:rPr>
        <w:t>院</w:t>
      </w:r>
      <w:r>
        <w:rPr>
          <w:rFonts w:hint="eastAsia" w:ascii="宋体" w:hAnsi="宋体" w:eastAsia="宋体" w:cs="Times New Roman"/>
          <w:color w:val="auto"/>
          <w:kern w:val="2"/>
          <w:sz w:val="28"/>
          <w:szCs w:val="28"/>
          <w:lang w:val="en-US" w:eastAsia="zh-CN" w:bidi="ar-SA"/>
        </w:rPr>
        <w:t>有限公司，202</w:t>
      </w:r>
      <w:r>
        <w:rPr>
          <w:rFonts w:hint="eastAsia" w:ascii="宋体" w:hAnsi="宋体" w:cs="Times New Roman"/>
          <w:color w:val="auto"/>
          <w:kern w:val="2"/>
          <w:sz w:val="28"/>
          <w:szCs w:val="28"/>
          <w:lang w:val="en-US" w:eastAsia="zh-CN" w:bidi="ar-SA"/>
        </w:rPr>
        <w:t>4</w:t>
      </w:r>
      <w:r>
        <w:rPr>
          <w:rFonts w:hint="eastAsia" w:ascii="宋体" w:hAnsi="宋体" w:eastAsia="宋体" w:cs="Times New Roman"/>
          <w:color w:val="auto"/>
          <w:kern w:val="2"/>
          <w:sz w:val="28"/>
          <w:szCs w:val="28"/>
          <w:lang w:val="en-US" w:eastAsia="zh-CN" w:bidi="ar-SA"/>
        </w:rPr>
        <w:t>年</w:t>
      </w:r>
      <w:r>
        <w:rPr>
          <w:rFonts w:hint="eastAsia" w:ascii="宋体" w:hAnsi="宋体" w:cs="Times New Roman"/>
          <w:color w:val="auto"/>
          <w:kern w:val="2"/>
          <w:sz w:val="28"/>
          <w:szCs w:val="28"/>
          <w:lang w:val="en-US" w:eastAsia="zh-CN" w:bidi="ar-SA"/>
        </w:rPr>
        <w:t>08</w:t>
      </w:r>
      <w:r>
        <w:rPr>
          <w:rFonts w:hint="eastAsia" w:ascii="宋体" w:hAnsi="宋体" w:eastAsia="宋体" w:cs="Times New Roman"/>
          <w:color w:val="auto"/>
          <w:kern w:val="2"/>
          <w:sz w:val="28"/>
          <w:szCs w:val="28"/>
          <w:lang w:val="en-US" w:eastAsia="zh-CN" w:bidi="ar-SA"/>
        </w:rPr>
        <w:t>月）；</w:t>
      </w:r>
    </w:p>
    <w:p w14:paraId="22F8EDBF">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color w:val="FF0000"/>
          <w:kern w:val="2"/>
          <w:sz w:val="28"/>
          <w:szCs w:val="28"/>
          <w:lang w:val="en-US" w:eastAsia="zh-CN" w:bidi="ar-SA"/>
        </w:rPr>
      </w:pPr>
      <w:r>
        <w:rPr>
          <w:rFonts w:hint="eastAsia" w:ascii="宋体" w:hAnsi="宋体" w:cs="Times New Roman"/>
          <w:color w:val="000000" w:themeColor="text1"/>
          <w:kern w:val="2"/>
          <w:sz w:val="28"/>
          <w:szCs w:val="28"/>
          <w:lang w:val="en-US" w:eastAsia="zh-CN" w:bidi="ar-SA"/>
          <w14:textFill>
            <w14:solidFill>
              <w14:schemeClr w14:val="tx1"/>
            </w14:solidFill>
          </w14:textFill>
        </w:rPr>
        <w:t>3</w:t>
      </w:r>
      <w:r>
        <w:rPr>
          <w:rFonts w:hint="eastAsia" w:ascii="宋体" w:hAnsi="宋体" w:eastAsia="宋体" w:cs="Times New Roman"/>
          <w:color w:val="000000" w:themeColor="text1"/>
          <w:kern w:val="2"/>
          <w:sz w:val="28"/>
          <w:szCs w:val="28"/>
          <w:lang w:val="en-US" w:eastAsia="zh-CN" w:bidi="ar-SA"/>
          <w14:textFill>
            <w14:solidFill>
              <w14:schemeClr w14:val="tx1"/>
            </w14:solidFill>
          </w14:textFill>
        </w:rPr>
        <w:t>.</w:t>
      </w:r>
      <w:r>
        <w:rPr>
          <w:rFonts w:hint="eastAsia" w:ascii="宋体" w:hAnsi="宋体" w:cs="Times New Roman"/>
          <w:color w:val="000000" w:themeColor="text1"/>
          <w:kern w:val="2"/>
          <w:sz w:val="28"/>
          <w:szCs w:val="28"/>
          <w:lang w:val="en-US" w:eastAsia="zh-CN" w:bidi="ar-SA"/>
          <w14:textFill>
            <w14:solidFill>
              <w14:schemeClr w14:val="tx1"/>
            </w14:solidFill>
          </w14:textFill>
        </w:rPr>
        <w:t>中舜国际工程设计有限公司提供的设计图纸</w:t>
      </w:r>
    </w:p>
    <w:p w14:paraId="01361E48">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kern w:val="2"/>
          <w:sz w:val="28"/>
          <w:szCs w:val="28"/>
          <w:lang w:val="en-US" w:eastAsia="zh-CN" w:bidi="ar-SA"/>
        </w:rPr>
      </w:pPr>
      <w:r>
        <w:rPr>
          <w:rFonts w:hint="eastAsia" w:ascii="宋体" w:hAnsi="宋体" w:cs="Times New Roman"/>
          <w:kern w:val="2"/>
          <w:sz w:val="28"/>
          <w:szCs w:val="28"/>
          <w:lang w:val="en-US" w:eastAsia="zh-CN" w:bidi="ar-SA"/>
        </w:rPr>
        <w:t>4.类似工程资料及参考文献;</w:t>
      </w:r>
    </w:p>
    <w:p w14:paraId="43A1A74C">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kern w:val="2"/>
          <w:sz w:val="28"/>
          <w:szCs w:val="28"/>
          <w:lang w:val="en-US" w:eastAsia="zh-CN" w:bidi="ar-SA"/>
        </w:rPr>
        <w:t>5.</w:t>
      </w:r>
      <w:r>
        <w:rPr>
          <w:rFonts w:hint="eastAsia" w:ascii="宋体" w:hAnsi="宋体" w:cs="Times New Roman"/>
          <w:color w:val="000000" w:themeColor="text1"/>
          <w:kern w:val="2"/>
          <w:sz w:val="28"/>
          <w:szCs w:val="28"/>
          <w:lang w:val="en-US" w:eastAsia="zh-CN" w:bidi="ar-SA"/>
          <w14:textFill>
            <w14:solidFill>
              <w14:schemeClr w14:val="tx1"/>
            </w14:solidFill>
          </w14:textFill>
        </w:rPr>
        <w:t>《华能澜沧江（景洪）新能源有限公司</w:t>
      </w:r>
      <w:r>
        <w:rPr>
          <w:rFonts w:hint="eastAsia" w:ascii="宋体" w:hAnsi="宋体" w:eastAsia="宋体" w:cs="宋体"/>
          <w:color w:val="auto"/>
          <w:kern w:val="0"/>
          <w:sz w:val="28"/>
          <w:szCs w:val="28"/>
          <w:lang w:val="en-US" w:eastAsia="zh-CN" w:bidi="ar"/>
        </w:rPr>
        <w:t>景讷乡大寨村云盘光伏</w:t>
      </w:r>
      <w:r>
        <w:rPr>
          <w:rFonts w:hint="eastAsia" w:ascii="宋体" w:hAnsi="宋体" w:cs="宋体"/>
          <w:color w:val="auto"/>
          <w:kern w:val="0"/>
          <w:sz w:val="28"/>
          <w:szCs w:val="28"/>
          <w:lang w:val="en-US" w:eastAsia="zh-CN" w:bidi="ar"/>
        </w:rPr>
        <w:t>电站</w:t>
      </w:r>
      <w:r>
        <w:rPr>
          <w:rFonts w:hint="eastAsia" w:ascii="宋体" w:hAnsi="宋体" w:cs="Times New Roman"/>
          <w:color w:val="000000" w:themeColor="text1"/>
          <w:kern w:val="2"/>
          <w:sz w:val="28"/>
          <w:szCs w:val="28"/>
          <w:lang w:val="en-US" w:eastAsia="zh-CN" w:bidi="ar-SA"/>
          <w14:textFill>
            <w14:solidFill>
              <w14:schemeClr w14:val="tx1"/>
            </w14:solidFill>
          </w14:textFill>
        </w:rPr>
        <w:t>安全设施设计》（中舜国际工程设计有限公司，2024年8月）；</w:t>
      </w:r>
    </w:p>
    <w:p w14:paraId="216DE8B0">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left"/>
        <w:textAlignment w:val="auto"/>
        <w:rPr>
          <w:rFonts w:hint="eastAsia" w:ascii="宋体" w:hAnsi="宋体" w:cs="Times New Roman"/>
          <w:color w:val="0000FF"/>
          <w:kern w:val="2"/>
          <w:sz w:val="28"/>
          <w:szCs w:val="28"/>
          <w:lang w:val="en-US" w:eastAsia="zh-CN" w:bidi="ar-SA"/>
        </w:rPr>
      </w:pPr>
      <w:r>
        <w:rPr>
          <w:rFonts w:hint="eastAsia" w:ascii="宋体" w:hAnsi="宋体" w:cs="Times New Roman"/>
          <w:kern w:val="2"/>
          <w:sz w:val="28"/>
          <w:szCs w:val="28"/>
          <w:lang w:val="en-US" w:eastAsia="zh-CN" w:bidi="ar-SA"/>
        </w:rPr>
        <w:t>6.</w:t>
      </w:r>
      <w:r>
        <w:rPr>
          <w:rFonts w:hint="eastAsia" w:ascii="宋体" w:hAnsi="宋体" w:cs="Times New Roman"/>
          <w:color w:val="000000" w:themeColor="text1"/>
          <w:kern w:val="2"/>
          <w:sz w:val="28"/>
          <w:szCs w:val="28"/>
          <w:lang w:val="en-US" w:eastAsia="zh-CN" w:bidi="ar-SA"/>
          <w14:textFill>
            <w14:solidFill>
              <w14:schemeClr w14:val="tx1"/>
            </w14:solidFill>
          </w14:textFill>
        </w:rPr>
        <w:t>《华能澜沧江（景洪）新能源有限公司</w:t>
      </w:r>
      <w:r>
        <w:rPr>
          <w:rFonts w:hint="eastAsia" w:ascii="宋体" w:hAnsi="宋体" w:eastAsia="宋体" w:cs="宋体"/>
          <w:color w:val="000000" w:themeColor="text1"/>
          <w:kern w:val="0"/>
          <w:sz w:val="28"/>
          <w:szCs w:val="28"/>
          <w:lang w:val="en-US" w:eastAsia="zh-CN" w:bidi="ar"/>
          <w14:textFill>
            <w14:solidFill>
              <w14:schemeClr w14:val="tx1"/>
            </w14:solidFill>
          </w14:textFill>
        </w:rPr>
        <w:t>景讷乡大寨村云盘光伏</w:t>
      </w:r>
      <w:r>
        <w:rPr>
          <w:rFonts w:hint="eastAsia" w:ascii="宋体" w:hAnsi="宋体" w:cs="宋体"/>
          <w:color w:val="000000" w:themeColor="text1"/>
          <w:kern w:val="0"/>
          <w:sz w:val="28"/>
          <w:szCs w:val="28"/>
          <w:lang w:val="en-US" w:eastAsia="zh-CN" w:bidi="ar"/>
          <w14:textFill>
            <w14:solidFill>
              <w14:schemeClr w14:val="tx1"/>
            </w14:solidFill>
          </w14:textFill>
        </w:rPr>
        <w:t>发电</w:t>
      </w:r>
      <w:r>
        <w:rPr>
          <w:rFonts w:hint="eastAsia" w:ascii="宋体" w:hAnsi="宋体" w:cs="Times New Roman"/>
          <w:color w:val="000000" w:themeColor="text1"/>
          <w:kern w:val="2"/>
          <w:sz w:val="28"/>
          <w:szCs w:val="28"/>
          <w:lang w:val="en-US" w:eastAsia="zh-CN" w:bidi="ar-SA"/>
          <w14:textFill>
            <w14:solidFill>
              <w14:schemeClr w14:val="tx1"/>
            </w14:solidFill>
          </w14:textFill>
        </w:rPr>
        <w:t>项目施工竣工总结报告》（中国水利水电第九工程局有限公司2025年5月）；</w:t>
      </w:r>
    </w:p>
    <w:p w14:paraId="245903CB">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left"/>
        <w:textAlignment w:val="auto"/>
        <w:rPr>
          <w:rFonts w:hint="eastAsia" w:ascii="宋体" w:hAnsi="宋体" w:cs="Times New Roman"/>
          <w:color w:val="0000FF"/>
          <w:kern w:val="2"/>
          <w:sz w:val="28"/>
          <w:szCs w:val="28"/>
          <w:lang w:val="en-US" w:eastAsia="zh-CN" w:bidi="ar-SA"/>
        </w:rPr>
      </w:pPr>
      <w:r>
        <w:rPr>
          <w:rFonts w:hint="eastAsia" w:ascii="宋体" w:hAnsi="宋体" w:cs="Times New Roman"/>
          <w:color w:val="000000" w:themeColor="text1"/>
          <w:kern w:val="2"/>
          <w:sz w:val="28"/>
          <w:szCs w:val="28"/>
          <w:lang w:val="en-US" w:eastAsia="zh-CN" w:bidi="ar-SA"/>
          <w14:textFill>
            <w14:solidFill>
              <w14:schemeClr w14:val="tx1"/>
            </w14:solidFill>
          </w14:textFill>
        </w:rPr>
        <w:t>7.《曼景缅光伏电站9-10号集电线</w:t>
      </w:r>
      <w:r>
        <w:rPr>
          <w:rFonts w:hint="eastAsia" w:ascii="宋体" w:hAnsi="宋体" w:cs="Times New Roman"/>
          <w:i/>
          <w:iCs/>
          <w:color w:val="000000" w:themeColor="text1"/>
          <w:kern w:val="2"/>
          <w:sz w:val="28"/>
          <w:szCs w:val="28"/>
          <w:lang w:val="en-US" w:eastAsia="zh-CN" w:bidi="ar-SA"/>
          <w14:textFill>
            <w14:solidFill>
              <w14:schemeClr w14:val="tx1"/>
            </w14:solidFill>
          </w14:textFill>
        </w:rPr>
        <w:t>#67</w:t>
      </w:r>
      <w:r>
        <w:rPr>
          <w:rFonts w:hint="eastAsia" w:ascii="宋体" w:hAnsi="宋体" w:cs="Times New Roman"/>
          <w:i w:val="0"/>
          <w:iCs w:val="0"/>
          <w:color w:val="000000" w:themeColor="text1"/>
          <w:kern w:val="2"/>
          <w:sz w:val="28"/>
          <w:szCs w:val="28"/>
          <w:lang w:val="en-US" w:eastAsia="zh-CN" w:bidi="ar-SA"/>
          <w14:textFill>
            <w14:solidFill>
              <w14:schemeClr w14:val="tx1"/>
            </w14:solidFill>
          </w14:textFill>
        </w:rPr>
        <w:t>-</w:t>
      </w:r>
      <w:r>
        <w:rPr>
          <w:rFonts w:hint="eastAsia" w:ascii="宋体" w:hAnsi="宋体" w:cs="Times New Roman"/>
          <w:i/>
          <w:iCs/>
          <w:color w:val="000000" w:themeColor="text1"/>
          <w:kern w:val="2"/>
          <w:sz w:val="28"/>
          <w:szCs w:val="28"/>
          <w:lang w:val="en-US" w:eastAsia="zh-CN" w:bidi="ar-SA"/>
          <w14:textFill>
            <w14:solidFill>
              <w14:schemeClr w14:val="tx1"/>
            </w14:solidFill>
          </w14:textFill>
        </w:rPr>
        <w:t>#88</w:t>
      </w:r>
      <w:r>
        <w:rPr>
          <w:rFonts w:hint="eastAsia" w:ascii="宋体" w:hAnsi="宋体" w:cs="Times New Roman"/>
          <w:i w:val="0"/>
          <w:iCs w:val="0"/>
          <w:color w:val="000000" w:themeColor="text1"/>
          <w:kern w:val="2"/>
          <w:sz w:val="28"/>
          <w:szCs w:val="28"/>
          <w:lang w:val="en-US" w:eastAsia="zh-CN" w:bidi="ar-SA"/>
          <w14:textFill>
            <w14:solidFill>
              <w14:schemeClr w14:val="tx1"/>
            </w14:solidFill>
          </w14:textFill>
        </w:rPr>
        <w:t>光伏阵列共65MW并网调试运行报告</w:t>
      </w:r>
      <w:r>
        <w:rPr>
          <w:rFonts w:hint="eastAsia" w:ascii="宋体" w:hAnsi="宋体" w:cs="Times New Roman"/>
          <w:color w:val="000000" w:themeColor="text1"/>
          <w:kern w:val="2"/>
          <w:sz w:val="28"/>
          <w:szCs w:val="28"/>
          <w:lang w:val="en-US" w:eastAsia="zh-CN" w:bidi="ar-SA"/>
          <w14:textFill>
            <w14:solidFill>
              <w14:schemeClr w14:val="tx1"/>
            </w14:solidFill>
          </w14:textFill>
        </w:rPr>
        <w:t>》（华能澜沧江新能源有限公司2025年6月2日）；</w:t>
      </w:r>
    </w:p>
    <w:p w14:paraId="2ACDBBAD">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left"/>
        <w:textAlignment w:val="auto"/>
        <w:rPr>
          <w:rFonts w:hint="default" w:ascii="宋体" w:hAnsi="宋体" w:eastAsia="仿宋"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8.《华能澜沧江（景洪）新能源有限公司景洪市景讷乡大寨村云盘光伏电站65MW监理总结报告》（江西同济建设项目管理股份有限公司</w:t>
      </w:r>
      <w:r>
        <w:rPr>
          <w:rStyle w:val="24"/>
          <w:rFonts w:hint="eastAsia" w:ascii="宋体" w:hAnsi="宋体" w:eastAsia="宋体" w:cs="宋体"/>
          <w:b w:val="0"/>
          <w:bCs/>
          <w:color w:val="000000" w:themeColor="text1"/>
          <w:sz w:val="28"/>
          <w:szCs w:val="28"/>
          <w:u w:val="none"/>
          <w:lang w:val="en-US" w:eastAsia="zh-CN"/>
          <w14:textFill>
            <w14:solidFill>
              <w14:schemeClr w14:val="tx1"/>
            </w14:solidFill>
          </w14:textFill>
        </w:rPr>
        <w:t>202</w:t>
      </w:r>
      <w:r>
        <w:rPr>
          <w:rStyle w:val="24"/>
          <w:rFonts w:hint="eastAsia" w:ascii="宋体" w:hAnsi="宋体" w:cs="宋体"/>
          <w:b w:val="0"/>
          <w:bCs/>
          <w:color w:val="000000" w:themeColor="text1"/>
          <w:sz w:val="28"/>
          <w:szCs w:val="28"/>
          <w:u w:val="none"/>
          <w:lang w:val="en-US" w:eastAsia="zh-CN"/>
          <w14:textFill>
            <w14:solidFill>
              <w14:schemeClr w14:val="tx1"/>
            </w14:solidFill>
          </w14:textFill>
        </w:rPr>
        <w:t>5</w:t>
      </w:r>
      <w:r>
        <w:rPr>
          <w:rStyle w:val="24"/>
          <w:rFonts w:hint="eastAsia" w:ascii="宋体" w:hAnsi="宋体" w:eastAsia="宋体" w:cs="宋体"/>
          <w:b w:val="0"/>
          <w:bCs/>
          <w:color w:val="000000" w:themeColor="text1"/>
          <w:sz w:val="28"/>
          <w:szCs w:val="28"/>
          <w:u w:val="none"/>
          <w:lang w:val="en-US" w:eastAsia="zh-CN"/>
          <w14:textFill>
            <w14:solidFill>
              <w14:schemeClr w14:val="tx1"/>
            </w14:solidFill>
          </w14:textFill>
        </w:rPr>
        <w:t>年11月）</w:t>
      </w:r>
      <w:r>
        <w:rPr>
          <w:rStyle w:val="24"/>
          <w:rFonts w:hint="eastAsia" w:ascii="宋体" w:hAnsi="宋体" w:cs="宋体"/>
          <w:b w:val="0"/>
          <w:bCs/>
          <w:color w:val="000000" w:themeColor="text1"/>
          <w:sz w:val="28"/>
          <w:szCs w:val="28"/>
          <w:u w:val="none"/>
          <w:lang w:val="en-US" w:eastAsia="zh-CN"/>
          <w14:textFill>
            <w14:solidFill>
              <w14:schemeClr w14:val="tx1"/>
            </w14:solidFill>
          </w14:textFill>
        </w:rPr>
        <w:t>；</w:t>
      </w:r>
    </w:p>
    <w:p w14:paraId="0FB144AE">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kern w:val="2"/>
          <w:sz w:val="28"/>
          <w:szCs w:val="28"/>
          <w:lang w:val="en-US" w:eastAsia="zh-CN" w:bidi="ar-SA"/>
        </w:rPr>
      </w:pPr>
      <w:r>
        <w:rPr>
          <w:rFonts w:hint="eastAsia" w:ascii="宋体" w:hAnsi="宋体" w:cs="Times New Roman"/>
          <w:kern w:val="2"/>
          <w:sz w:val="28"/>
          <w:szCs w:val="28"/>
          <w:lang w:val="en-US" w:eastAsia="zh-CN" w:bidi="ar-SA"/>
        </w:rPr>
        <w:t>9.现场踏勘收集其他资料及企业提供的相关证照、图纸、有关技术资料等。</w:t>
      </w:r>
    </w:p>
    <w:p w14:paraId="55392AAE">
      <w:pPr>
        <w:pStyle w:val="3"/>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lang w:val="en-US" w:eastAsia="zh-CN"/>
        </w:rPr>
      </w:pPr>
      <w:bookmarkStart w:id="126" w:name="_Toc20361"/>
      <w:bookmarkStart w:id="127" w:name="_Toc31656"/>
      <w:bookmarkStart w:id="128" w:name="_Toc19083"/>
      <w:bookmarkStart w:id="129" w:name="_Toc13973"/>
      <w:r>
        <w:rPr>
          <w:rFonts w:hint="eastAsia" w:ascii="宋体" w:hAnsi="宋体" w:eastAsia="宋体" w:cs="宋体"/>
          <w:b/>
          <w:bCs/>
          <w:color w:val="000000"/>
          <w:lang w:val="en-US" w:eastAsia="zh-CN"/>
        </w:rPr>
        <w:t>1.5其他评价依据</w:t>
      </w:r>
      <w:bookmarkEnd w:id="126"/>
      <w:bookmarkEnd w:id="127"/>
      <w:bookmarkEnd w:id="128"/>
      <w:bookmarkEnd w:id="129"/>
    </w:p>
    <w:p w14:paraId="51FEE064">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1.华能澜沧江（景洪）新能源有限公司</w:t>
      </w:r>
      <w:r>
        <w:rPr>
          <w:rFonts w:hint="eastAsia" w:ascii="宋体" w:hAnsi="宋体" w:eastAsia="宋体" w:cs="宋体"/>
          <w:color w:val="auto"/>
          <w:kern w:val="0"/>
          <w:sz w:val="28"/>
          <w:szCs w:val="28"/>
          <w:lang w:val="en-US" w:eastAsia="zh-CN" w:bidi="ar"/>
        </w:rPr>
        <w:t>景讷乡大寨村云盘光伏</w:t>
      </w:r>
      <w:r>
        <w:rPr>
          <w:rFonts w:hint="eastAsia" w:ascii="宋体" w:hAnsi="宋体" w:cs="Times New Roman"/>
          <w:color w:val="000000" w:themeColor="text1"/>
          <w:kern w:val="2"/>
          <w:sz w:val="28"/>
          <w:szCs w:val="28"/>
          <w:lang w:val="en-US" w:eastAsia="zh-CN" w:bidi="ar-SA"/>
          <w14:textFill>
            <w14:solidFill>
              <w14:schemeClr w14:val="tx1"/>
            </w14:solidFill>
          </w14:textFill>
        </w:rPr>
        <w:t>发电项目安全设施验收评价委托书、材料真实性承诺书；</w:t>
      </w:r>
    </w:p>
    <w:p w14:paraId="23E23124">
      <w:pPr>
        <w:pageBreakBefore w:val="0"/>
        <w:widowControl w:val="0"/>
        <w:kinsoku/>
        <w:wordWrap/>
        <w:overflowPunct/>
        <w:topLinePunct w:val="0"/>
        <w:autoSpaceDE/>
        <w:autoSpaceDN/>
        <w:bidi w:val="0"/>
        <w:spacing w:line="420" w:lineRule="exact"/>
        <w:ind w:firstLine="560" w:firstLineChars="200"/>
        <w:textAlignment w:val="auto"/>
        <w:rPr>
          <w:rFonts w:hint="eastAsia"/>
          <w:color w:val="FF0000"/>
          <w:lang w:val="en-US" w:eastAsia="zh-CN"/>
        </w:rPr>
      </w:pPr>
      <w:r>
        <w:rPr>
          <w:rFonts w:hint="eastAsia" w:ascii="宋体" w:hAnsi="宋体" w:cs="Times New Roman"/>
          <w:color w:val="000000" w:themeColor="text1"/>
          <w:kern w:val="2"/>
          <w:sz w:val="28"/>
          <w:szCs w:val="28"/>
          <w:lang w:val="en-US" w:eastAsia="zh-CN" w:bidi="ar-SA"/>
          <w14:textFill>
            <w14:solidFill>
              <w14:schemeClr w14:val="tx1"/>
            </w14:solidFill>
          </w14:textFill>
        </w:rPr>
        <w:t>2.华能澜沧江（景洪）新能源有限公司</w:t>
      </w:r>
      <w:r>
        <w:rPr>
          <w:rFonts w:hint="eastAsia" w:ascii="宋体" w:hAnsi="宋体" w:eastAsia="宋体" w:cs="宋体"/>
          <w:color w:val="auto"/>
          <w:kern w:val="0"/>
          <w:sz w:val="28"/>
          <w:szCs w:val="28"/>
          <w:lang w:val="en-US" w:eastAsia="zh-CN" w:bidi="ar"/>
        </w:rPr>
        <w:t>景讷乡大寨村云盘光伏</w:t>
      </w:r>
      <w:r>
        <w:rPr>
          <w:rFonts w:hint="eastAsia" w:ascii="宋体" w:hAnsi="宋体" w:cs="Times New Roman"/>
          <w:color w:val="000000" w:themeColor="text1"/>
          <w:kern w:val="2"/>
          <w:sz w:val="28"/>
          <w:szCs w:val="28"/>
          <w:lang w:val="en-US" w:eastAsia="zh-CN" w:bidi="ar-SA"/>
          <w14:textFill>
            <w14:solidFill>
              <w14:schemeClr w14:val="tx1"/>
            </w14:solidFill>
          </w14:textFill>
        </w:rPr>
        <w:t>发电项目与</w:t>
      </w:r>
      <w:r>
        <w:rPr>
          <w:rFonts w:hint="eastAsia" w:ascii="宋体" w:hAnsi="宋体" w:cs="Times New Roman"/>
          <w:kern w:val="2"/>
          <w:sz w:val="28"/>
          <w:szCs w:val="28"/>
          <w:lang w:val="en-US" w:eastAsia="zh-CN" w:bidi="ar-SA"/>
        </w:rPr>
        <w:t>昭通市鼎安科技有限公司签订的合同书</w:t>
      </w:r>
      <w:r>
        <w:rPr>
          <w:rFonts w:hint="eastAsia" w:ascii="宋体" w:hAnsi="宋体" w:cs="Times New Roman"/>
          <w:color w:val="000000" w:themeColor="text1"/>
          <w:kern w:val="2"/>
          <w:sz w:val="28"/>
          <w:szCs w:val="28"/>
          <w:lang w:val="en-US" w:eastAsia="zh-CN" w:bidi="ar-SA"/>
          <w14:textFill>
            <w14:solidFill>
              <w14:schemeClr w14:val="tx1"/>
            </w14:solidFill>
          </w14:textFill>
        </w:rPr>
        <w:t>。</w:t>
      </w:r>
    </w:p>
    <w:p w14:paraId="7AF440EC">
      <w:pPr>
        <w:pStyle w:val="3"/>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lang w:val="en-US" w:eastAsia="zh-CN"/>
        </w:rPr>
      </w:pPr>
      <w:bookmarkStart w:id="130" w:name="_Toc29356"/>
      <w:bookmarkStart w:id="131" w:name="_Toc21046"/>
      <w:bookmarkStart w:id="132" w:name="_Toc22396"/>
      <w:bookmarkStart w:id="133" w:name="_Toc23386"/>
      <w:r>
        <w:rPr>
          <w:rFonts w:hint="eastAsia" w:ascii="宋体" w:hAnsi="宋体" w:eastAsia="宋体" w:cs="宋体"/>
          <w:b/>
          <w:bCs/>
          <w:color w:val="000000"/>
          <w:lang w:val="en-US" w:eastAsia="zh-CN"/>
        </w:rPr>
        <w:t>1.6评价原则</w:t>
      </w:r>
      <w:bookmarkEnd w:id="130"/>
      <w:bookmarkEnd w:id="131"/>
      <w:bookmarkEnd w:id="132"/>
      <w:bookmarkEnd w:id="133"/>
    </w:p>
    <w:p w14:paraId="0987345F">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kern w:val="2"/>
          <w:sz w:val="28"/>
          <w:szCs w:val="28"/>
          <w:lang w:val="en-US" w:eastAsia="zh-CN" w:bidi="ar-SA"/>
        </w:rPr>
      </w:pPr>
      <w:r>
        <w:rPr>
          <w:rFonts w:hint="eastAsia" w:ascii="宋体" w:hAnsi="宋体" w:cs="Times New Roman"/>
          <w:kern w:val="2"/>
          <w:sz w:val="28"/>
          <w:szCs w:val="28"/>
          <w:lang w:val="en-US" w:eastAsia="zh-CN" w:bidi="ar-SA"/>
        </w:rPr>
        <w:t>1.依据《安全评价通则》规定，安全评价基本原则是具备国家规定资质的安全评价机构科学、公正和合法的自主开展安全评价。</w:t>
      </w:r>
    </w:p>
    <w:p w14:paraId="7D622798">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kern w:val="2"/>
          <w:sz w:val="28"/>
          <w:szCs w:val="28"/>
          <w:lang w:val="en-US" w:eastAsia="zh-CN" w:bidi="ar-SA"/>
        </w:rPr>
      </w:pPr>
      <w:r>
        <w:rPr>
          <w:rFonts w:hint="eastAsia" w:ascii="宋体" w:hAnsi="宋体" w:cs="Times New Roman"/>
          <w:kern w:val="2"/>
          <w:sz w:val="28"/>
          <w:szCs w:val="28"/>
          <w:lang w:val="en-US" w:eastAsia="zh-CN" w:bidi="ar-SA"/>
        </w:rPr>
        <w:t>2.本报告将按国家现行有关劳动安全的法律、法规和标准要求对本项目进行安全评价。同时遵循下列原则：</w:t>
      </w:r>
    </w:p>
    <w:p w14:paraId="77D2B107">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kern w:val="2"/>
          <w:sz w:val="28"/>
          <w:szCs w:val="28"/>
          <w:lang w:val="en-US" w:eastAsia="zh-CN" w:bidi="ar-SA"/>
        </w:rPr>
      </w:pPr>
      <w:r>
        <w:rPr>
          <w:rFonts w:hint="eastAsia" w:ascii="宋体" w:hAnsi="宋体" w:cs="Times New Roman"/>
          <w:kern w:val="2"/>
          <w:sz w:val="28"/>
          <w:szCs w:val="28"/>
          <w:lang w:val="en-US" w:eastAsia="zh-CN" w:bidi="ar-SA"/>
        </w:rPr>
        <w:t>3.严格执行国家、地方与行业现行有关劳动安全方面的法律、法规和标准，保证评价的科学性、公正性、合法性和自主性。</w:t>
      </w:r>
    </w:p>
    <w:p w14:paraId="36224CB9">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kern w:val="2"/>
          <w:sz w:val="28"/>
          <w:szCs w:val="28"/>
          <w:lang w:val="en-US" w:eastAsia="zh-CN" w:bidi="ar-SA"/>
        </w:rPr>
      </w:pPr>
      <w:r>
        <w:rPr>
          <w:rFonts w:hint="eastAsia" w:ascii="宋体" w:hAnsi="宋体" w:cs="Times New Roman"/>
          <w:kern w:val="2"/>
          <w:sz w:val="28"/>
          <w:szCs w:val="28"/>
          <w:lang w:val="en-US" w:eastAsia="zh-CN" w:bidi="ar-SA"/>
        </w:rPr>
        <w:t>4.采用可靠、先进适用的评价技术，确保评价质量，突出重点。</w:t>
      </w:r>
    </w:p>
    <w:p w14:paraId="2F79E446">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kern w:val="2"/>
          <w:sz w:val="28"/>
          <w:szCs w:val="28"/>
          <w:lang w:val="en-US" w:eastAsia="zh-CN" w:bidi="ar-SA"/>
        </w:rPr>
      </w:pPr>
      <w:r>
        <w:rPr>
          <w:rFonts w:hint="eastAsia" w:ascii="宋体" w:hAnsi="宋体" w:cs="Times New Roman"/>
          <w:kern w:val="2"/>
          <w:sz w:val="28"/>
          <w:szCs w:val="28"/>
          <w:lang w:val="en-US" w:eastAsia="zh-CN" w:bidi="ar-SA"/>
        </w:rPr>
        <w:t>5.恪守职业道德，遵循诚实守信的原则，对评价企业的技术资料和商业运作保密。</w:t>
      </w:r>
    </w:p>
    <w:p w14:paraId="1ED3282F">
      <w:pPr>
        <w:pStyle w:val="3"/>
        <w:keepLines w:val="0"/>
        <w:pageBreakBefore w:val="0"/>
        <w:widowControl w:val="0"/>
        <w:kinsoku/>
        <w:wordWrap/>
        <w:overflowPunct/>
        <w:topLinePunct w:val="0"/>
        <w:autoSpaceDE/>
        <w:autoSpaceDN/>
        <w:bidi w:val="0"/>
        <w:adjustRightInd w:val="0"/>
        <w:spacing w:line="420" w:lineRule="exact"/>
        <w:textAlignment w:val="auto"/>
        <w:rPr>
          <w:rFonts w:hint="eastAsia" w:ascii="宋体" w:hAnsi="宋体" w:eastAsia="宋体" w:cs="宋体"/>
          <w:b/>
          <w:bCs/>
          <w:color w:val="000000"/>
          <w:lang w:val="en-US" w:eastAsia="zh-CN"/>
        </w:rPr>
      </w:pPr>
      <w:bookmarkStart w:id="134" w:name="_Toc4964"/>
      <w:bookmarkStart w:id="135" w:name="_Toc2402"/>
      <w:bookmarkStart w:id="136" w:name="_Toc516044447"/>
      <w:bookmarkStart w:id="137" w:name="_Toc23696"/>
      <w:bookmarkStart w:id="138" w:name="_Toc407974012"/>
      <w:bookmarkStart w:id="139" w:name="_Toc13326"/>
      <w:r>
        <w:rPr>
          <w:rFonts w:hint="eastAsia" w:ascii="宋体" w:hAnsi="宋体" w:eastAsia="宋体" w:cs="宋体"/>
          <w:b/>
          <w:bCs/>
          <w:color w:val="000000"/>
          <w:lang w:val="en-US" w:eastAsia="zh-CN"/>
        </w:rPr>
        <w:t>1.7评价程序</w:t>
      </w:r>
      <w:bookmarkEnd w:id="134"/>
      <w:bookmarkEnd w:id="135"/>
      <w:bookmarkEnd w:id="136"/>
      <w:bookmarkEnd w:id="137"/>
      <w:bookmarkEnd w:id="138"/>
      <w:bookmarkEnd w:id="139"/>
    </w:p>
    <w:p w14:paraId="44715A09">
      <w:pPr>
        <w:keepLines w:val="0"/>
        <w:pageBreakBefore w:val="0"/>
        <w:widowControl w:val="0"/>
        <w:kinsoku/>
        <w:wordWrap/>
        <w:overflowPunct/>
        <w:topLinePunct w:val="0"/>
        <w:autoSpaceDE/>
        <w:autoSpaceDN/>
        <w:bidi w:val="0"/>
        <w:spacing w:line="420" w:lineRule="exact"/>
        <w:ind w:firstLine="560" w:firstLineChars="200"/>
        <w:textAlignment w:val="auto"/>
        <w:rPr>
          <w:rFonts w:hint="default"/>
        </w:rPr>
      </w:pPr>
      <w:r>
        <w:rPr>
          <w:rFonts w:hint="eastAsia" w:ascii="宋体" w:hAnsi="宋体" w:cs="Times New Roman"/>
          <w:kern w:val="2"/>
          <w:sz w:val="28"/>
          <w:szCs w:val="28"/>
          <w:lang w:val="en-US" w:eastAsia="zh-CN" w:bidi="ar-SA"/>
        </w:rPr>
        <w:t>安全验收评价程序一般包括：前期准备；辨识与分析危险、有害因素；划分评价单元；选择评价方法；定性、定量评价；提出安全对策措施建议；做出评价结论；编制安全验收评价报告。安全验收评价程序框图如下图所示</w:t>
      </w:r>
      <w:r>
        <w:rPr>
          <w:rFonts w:hint="default" w:ascii="宋体" w:hAnsi="宋体" w:cs="Times New Roman"/>
          <w:kern w:val="2"/>
          <w:sz w:val="28"/>
          <w:szCs w:val="28"/>
          <w:lang w:val="en-US" w:eastAsia="zh-CN" w:bidi="ar-SA"/>
        </w:rPr>
        <w:t>。</w:t>
      </w:r>
    </w:p>
    <w:p w14:paraId="53FE850E">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cs="Times New Roman"/>
          <w:kern w:val="2"/>
          <w:sz w:val="28"/>
          <w:szCs w:val="28"/>
          <w:lang w:val="en-US" w:eastAsia="zh-CN" w:bidi="ar-SA"/>
        </w:rPr>
      </w:pPr>
      <w:r>
        <w:rPr>
          <w:rFonts w:hint="eastAsia" w:ascii="宋体" w:hAnsi="宋体" w:cs="Times New Roman"/>
          <w:kern w:val="2"/>
          <w:sz w:val="28"/>
          <w:szCs w:val="28"/>
          <w:lang w:val="en-US" w:eastAsia="zh-CN" w:bidi="ar-SA"/>
        </w:rPr>
        <w:drawing>
          <wp:anchor distT="0" distB="0" distL="114300" distR="114300" simplePos="0" relativeHeight="251659264" behindDoc="0" locked="0" layoutInCell="1" allowOverlap="1">
            <wp:simplePos x="0" y="0"/>
            <wp:positionH relativeFrom="column">
              <wp:posOffset>109220</wp:posOffset>
            </wp:positionH>
            <wp:positionV relativeFrom="page">
              <wp:posOffset>1184910</wp:posOffset>
            </wp:positionV>
            <wp:extent cx="5102225" cy="6132195"/>
            <wp:effectExtent l="0" t="0" r="0" b="0"/>
            <wp:wrapSquare wrapText="bothSides"/>
            <wp:docPr id="182" name="ECB019B1-382A-4266-B25C-5B523AA43C14-1"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ECB019B1-382A-4266-B25C-5B523AA43C14-1" descr="wps"/>
                    <pic:cNvPicPr>
                      <a:picLocks noChangeAspect="1"/>
                    </pic:cNvPicPr>
                  </pic:nvPicPr>
                  <pic:blipFill>
                    <a:blip r:embed="rId30"/>
                    <a:stretch>
                      <a:fillRect/>
                    </a:stretch>
                  </pic:blipFill>
                  <pic:spPr>
                    <a:xfrm>
                      <a:off x="0" y="0"/>
                      <a:ext cx="5102225" cy="6132195"/>
                    </a:xfrm>
                    <a:prstGeom prst="rect">
                      <a:avLst/>
                    </a:prstGeom>
                    <a:noFill/>
                    <a:ln>
                      <a:noFill/>
                    </a:ln>
                  </pic:spPr>
                </pic:pic>
              </a:graphicData>
            </a:graphic>
          </wp:anchor>
        </w:drawing>
      </w:r>
    </w:p>
    <w:p w14:paraId="79267150">
      <w:pPr>
        <w:bidi w:val="0"/>
        <w:rPr>
          <w:rFonts w:hint="default" w:ascii="Times New Roman" w:hAnsi="Times New Roman" w:eastAsia="宋体" w:cs="Times New Roman"/>
          <w:kern w:val="2"/>
          <w:sz w:val="21"/>
          <w:szCs w:val="24"/>
          <w:lang w:val="en-US" w:eastAsia="zh-CN" w:bidi="ar-SA"/>
        </w:rPr>
      </w:pPr>
    </w:p>
    <w:p w14:paraId="270BF0B5">
      <w:pPr>
        <w:bidi w:val="0"/>
        <w:rPr>
          <w:rFonts w:hint="default"/>
          <w:lang w:val="en-US" w:eastAsia="zh-CN"/>
        </w:rPr>
      </w:pPr>
    </w:p>
    <w:p w14:paraId="5C73FD7D">
      <w:pPr>
        <w:bidi w:val="0"/>
        <w:rPr>
          <w:rFonts w:hint="default"/>
          <w:lang w:val="en-US" w:eastAsia="zh-CN"/>
        </w:rPr>
      </w:pPr>
    </w:p>
    <w:p w14:paraId="6B6E4B9A">
      <w:pPr>
        <w:bidi w:val="0"/>
        <w:rPr>
          <w:rFonts w:hint="default"/>
          <w:lang w:val="en-US" w:eastAsia="zh-CN"/>
        </w:rPr>
      </w:pPr>
    </w:p>
    <w:p w14:paraId="1638562C">
      <w:pPr>
        <w:bidi w:val="0"/>
        <w:rPr>
          <w:rFonts w:hint="default"/>
          <w:lang w:val="en-US" w:eastAsia="zh-CN"/>
        </w:rPr>
      </w:pPr>
    </w:p>
    <w:p w14:paraId="070676F2">
      <w:pPr>
        <w:bidi w:val="0"/>
        <w:rPr>
          <w:rFonts w:hint="default"/>
          <w:lang w:val="en-US" w:eastAsia="zh-CN"/>
        </w:rPr>
      </w:pPr>
    </w:p>
    <w:p w14:paraId="702DDCB3">
      <w:pPr>
        <w:bidi w:val="0"/>
        <w:rPr>
          <w:rFonts w:hint="default"/>
          <w:lang w:val="en-US" w:eastAsia="zh-CN"/>
        </w:rPr>
      </w:pPr>
    </w:p>
    <w:p w14:paraId="0E6E179D">
      <w:pPr>
        <w:bidi w:val="0"/>
        <w:rPr>
          <w:rFonts w:hint="default"/>
          <w:lang w:val="en-US" w:eastAsia="zh-CN"/>
        </w:rPr>
      </w:pPr>
    </w:p>
    <w:p w14:paraId="565FCC5D">
      <w:pPr>
        <w:bidi w:val="0"/>
        <w:rPr>
          <w:rFonts w:hint="default"/>
          <w:lang w:val="en-US" w:eastAsia="zh-CN"/>
        </w:rPr>
      </w:pPr>
    </w:p>
    <w:p w14:paraId="72348EEF">
      <w:pPr>
        <w:bidi w:val="0"/>
        <w:rPr>
          <w:rFonts w:hint="default"/>
          <w:lang w:val="en-US" w:eastAsia="zh-CN"/>
        </w:rPr>
      </w:pPr>
    </w:p>
    <w:p w14:paraId="2D59F28C">
      <w:pPr>
        <w:bidi w:val="0"/>
        <w:rPr>
          <w:rFonts w:hint="default"/>
          <w:lang w:val="en-US" w:eastAsia="zh-CN"/>
        </w:rPr>
      </w:pPr>
    </w:p>
    <w:p w14:paraId="536FD314">
      <w:pPr>
        <w:bidi w:val="0"/>
        <w:rPr>
          <w:rFonts w:hint="default"/>
          <w:lang w:val="en-US" w:eastAsia="zh-CN"/>
        </w:rPr>
      </w:pPr>
    </w:p>
    <w:p w14:paraId="648F7D95">
      <w:pPr>
        <w:bidi w:val="0"/>
        <w:rPr>
          <w:rFonts w:hint="default"/>
          <w:lang w:val="en-US" w:eastAsia="zh-CN"/>
        </w:rPr>
      </w:pPr>
    </w:p>
    <w:p w14:paraId="0A619D1A">
      <w:pPr>
        <w:bidi w:val="0"/>
        <w:rPr>
          <w:rFonts w:hint="default"/>
          <w:lang w:val="en-US" w:eastAsia="zh-CN"/>
        </w:rPr>
      </w:pPr>
    </w:p>
    <w:p w14:paraId="6C397A3F">
      <w:pPr>
        <w:bidi w:val="0"/>
        <w:rPr>
          <w:rFonts w:hint="default"/>
          <w:lang w:val="en-US" w:eastAsia="zh-CN"/>
        </w:rPr>
      </w:pPr>
    </w:p>
    <w:p w14:paraId="38E1C726">
      <w:pPr>
        <w:bidi w:val="0"/>
        <w:rPr>
          <w:rFonts w:hint="default"/>
          <w:lang w:val="en-US" w:eastAsia="zh-CN"/>
        </w:rPr>
      </w:pPr>
    </w:p>
    <w:p w14:paraId="777F9AEA">
      <w:pPr>
        <w:bidi w:val="0"/>
        <w:rPr>
          <w:rFonts w:hint="default"/>
          <w:lang w:val="en-US" w:eastAsia="zh-CN"/>
        </w:rPr>
      </w:pPr>
    </w:p>
    <w:p w14:paraId="3C0E5777">
      <w:pPr>
        <w:bidi w:val="0"/>
        <w:rPr>
          <w:rFonts w:hint="default"/>
          <w:lang w:val="en-US" w:eastAsia="zh-CN"/>
        </w:rPr>
      </w:pPr>
    </w:p>
    <w:p w14:paraId="7BA9A18F">
      <w:pPr>
        <w:bidi w:val="0"/>
        <w:rPr>
          <w:rFonts w:hint="default"/>
          <w:lang w:val="en-US" w:eastAsia="zh-CN"/>
        </w:rPr>
      </w:pPr>
    </w:p>
    <w:p w14:paraId="16EA5497">
      <w:pPr>
        <w:bidi w:val="0"/>
        <w:rPr>
          <w:rFonts w:hint="default"/>
          <w:lang w:val="en-US" w:eastAsia="zh-CN"/>
        </w:rPr>
      </w:pPr>
    </w:p>
    <w:p w14:paraId="366D7E79">
      <w:pPr>
        <w:bidi w:val="0"/>
        <w:rPr>
          <w:rFonts w:hint="default"/>
          <w:lang w:val="en-US" w:eastAsia="zh-CN"/>
        </w:rPr>
      </w:pPr>
    </w:p>
    <w:p w14:paraId="34AD2D7A">
      <w:pPr>
        <w:bidi w:val="0"/>
        <w:rPr>
          <w:rFonts w:hint="default"/>
          <w:lang w:val="en-US" w:eastAsia="zh-CN"/>
        </w:rPr>
      </w:pPr>
    </w:p>
    <w:p w14:paraId="362A57E8">
      <w:pPr>
        <w:bidi w:val="0"/>
        <w:rPr>
          <w:rFonts w:hint="default"/>
          <w:lang w:val="en-US" w:eastAsia="zh-CN"/>
        </w:rPr>
      </w:pPr>
    </w:p>
    <w:p w14:paraId="434E7AFB">
      <w:pPr>
        <w:bidi w:val="0"/>
        <w:rPr>
          <w:rFonts w:hint="default"/>
          <w:lang w:val="en-US" w:eastAsia="zh-CN"/>
        </w:rPr>
      </w:pPr>
    </w:p>
    <w:p w14:paraId="1A8E32D0">
      <w:pPr>
        <w:bidi w:val="0"/>
        <w:rPr>
          <w:rFonts w:hint="default"/>
          <w:lang w:val="en-US" w:eastAsia="zh-CN"/>
        </w:rPr>
      </w:pPr>
    </w:p>
    <w:p w14:paraId="072FF947">
      <w:pPr>
        <w:bidi w:val="0"/>
        <w:rPr>
          <w:rFonts w:hint="default"/>
          <w:lang w:val="en-US" w:eastAsia="zh-CN"/>
        </w:rPr>
      </w:pPr>
    </w:p>
    <w:p w14:paraId="47B61C3B">
      <w:pPr>
        <w:bidi w:val="0"/>
        <w:rPr>
          <w:rFonts w:hint="default"/>
          <w:lang w:val="en-US" w:eastAsia="zh-CN"/>
        </w:rPr>
      </w:pPr>
    </w:p>
    <w:p w14:paraId="5EBA0DDF">
      <w:pPr>
        <w:bidi w:val="0"/>
        <w:rPr>
          <w:rFonts w:hint="default"/>
          <w:lang w:val="en-US" w:eastAsia="zh-CN"/>
        </w:rPr>
      </w:pPr>
    </w:p>
    <w:p w14:paraId="2F96063C">
      <w:pPr>
        <w:tabs>
          <w:tab w:val="right" w:pos="8902"/>
        </w:tabs>
        <w:bidi w:val="0"/>
        <w:jc w:val="left"/>
        <w:rPr>
          <w:rFonts w:hint="eastAsia"/>
          <w:lang w:val="en-US" w:eastAsia="zh-CN"/>
        </w:rPr>
      </w:pPr>
    </w:p>
    <w:p w14:paraId="38EA65E7">
      <w:pPr>
        <w:tabs>
          <w:tab w:val="right" w:pos="8902"/>
        </w:tabs>
        <w:bidi w:val="0"/>
        <w:jc w:val="left"/>
        <w:rPr>
          <w:rFonts w:hint="default"/>
          <w:lang w:val="en-US" w:eastAsia="zh-CN"/>
        </w:rPr>
      </w:pPr>
    </w:p>
    <w:p w14:paraId="23EB557B">
      <w:pPr>
        <w:bidi w:val="0"/>
        <w:rPr>
          <w:rFonts w:hint="default" w:ascii="Times New Roman" w:hAnsi="Times New Roman" w:eastAsia="宋体" w:cs="Times New Roman"/>
          <w:kern w:val="2"/>
          <w:sz w:val="21"/>
          <w:szCs w:val="24"/>
          <w:lang w:val="en-US" w:eastAsia="zh-CN" w:bidi="ar-SA"/>
        </w:rPr>
      </w:pPr>
    </w:p>
    <w:p w14:paraId="424054E0">
      <w:pPr>
        <w:bidi w:val="0"/>
        <w:rPr>
          <w:rFonts w:hint="default"/>
          <w:lang w:val="en-US" w:eastAsia="zh-CN"/>
        </w:rPr>
      </w:pPr>
    </w:p>
    <w:p w14:paraId="07940F83">
      <w:pPr>
        <w:bidi w:val="0"/>
        <w:rPr>
          <w:rFonts w:hint="default"/>
          <w:lang w:val="en-US" w:eastAsia="zh-CN"/>
        </w:rPr>
      </w:pPr>
    </w:p>
    <w:p w14:paraId="245B5D9A">
      <w:pPr>
        <w:tabs>
          <w:tab w:val="left" w:pos="2638"/>
        </w:tabs>
        <w:bidi w:val="0"/>
        <w:jc w:val="left"/>
        <w:outlineLvl w:val="9"/>
        <w:rPr>
          <w:rFonts w:hint="default"/>
          <w:lang w:val="en-US" w:eastAsia="zh-CN"/>
        </w:rPr>
        <w:sectPr>
          <w:headerReference r:id="rId12" w:type="default"/>
          <w:footerReference r:id="rId13" w:type="default"/>
          <w:pgSz w:w="11906" w:h="16838"/>
          <w:pgMar w:top="1417" w:right="1417" w:bottom="1417" w:left="1587" w:header="851" w:footer="992" w:gutter="0"/>
          <w:pgNumType w:fmt="decimal" w:start="1"/>
          <w:cols w:space="425" w:num="1"/>
          <w:docGrid w:type="lines" w:linePitch="312" w:charSpace="0"/>
        </w:sectPr>
      </w:pPr>
      <w:r>
        <w:rPr>
          <w:rFonts w:hint="eastAsia"/>
          <w:lang w:val="en-US" w:eastAsia="zh-CN"/>
        </w:rPr>
        <w:tab/>
      </w:r>
    </w:p>
    <w:p w14:paraId="24549135">
      <w:pPr>
        <w:pStyle w:val="3"/>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lang w:val="en-US" w:eastAsia="zh-CN"/>
        </w:rPr>
      </w:pPr>
      <w:bookmarkStart w:id="140" w:name="_Toc5651"/>
      <w:bookmarkStart w:id="141" w:name="_Toc5650"/>
      <w:bookmarkStart w:id="142" w:name="_Toc2707"/>
      <w:bookmarkStart w:id="143" w:name="_Toc23819"/>
      <w:bookmarkStart w:id="144" w:name="_Toc516044448"/>
      <w:bookmarkStart w:id="145" w:name="_Toc407974013"/>
      <w:r>
        <w:rPr>
          <w:rFonts w:hint="eastAsia" w:ascii="宋体" w:hAnsi="宋体" w:eastAsia="宋体" w:cs="宋体"/>
          <w:b/>
          <w:bCs/>
          <w:color w:val="000000"/>
          <w:lang w:val="en-US" w:eastAsia="zh-CN"/>
        </w:rPr>
        <w:t>1.8评价报告使用权声明</w:t>
      </w:r>
      <w:bookmarkEnd w:id="140"/>
      <w:bookmarkEnd w:id="141"/>
      <w:bookmarkEnd w:id="142"/>
      <w:bookmarkEnd w:id="143"/>
    </w:p>
    <w:p w14:paraId="54755672">
      <w:pPr>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本评价报告是受华能澜沧江（景洪）新能源有限公司</w:t>
      </w:r>
      <w:r>
        <w:rPr>
          <w:rFonts w:hint="eastAsia" w:ascii="宋体" w:hAnsi="宋体" w:eastAsia="宋体" w:cs="宋体"/>
          <w:color w:val="auto"/>
          <w:kern w:val="0"/>
          <w:sz w:val="28"/>
          <w:szCs w:val="28"/>
          <w:lang w:val="en-US" w:eastAsia="zh-CN" w:bidi="ar"/>
        </w:rPr>
        <w:t>景讷乡大寨村云盘光伏</w:t>
      </w:r>
      <w:r>
        <w:rPr>
          <w:rFonts w:hint="eastAsia" w:ascii="宋体" w:hAnsi="宋体" w:cs="Times New Roman"/>
          <w:color w:val="000000" w:themeColor="text1"/>
          <w:kern w:val="2"/>
          <w:sz w:val="28"/>
          <w:szCs w:val="28"/>
          <w:lang w:val="en-US" w:eastAsia="zh-CN" w:bidi="ar-SA"/>
          <w14:textFill>
            <w14:solidFill>
              <w14:schemeClr w14:val="tx1"/>
            </w14:solidFill>
          </w14:textFill>
        </w:rPr>
        <w:t>发电项目委托而编制的，专属委托方使用。除按规定上报各级应急部门外，</w:t>
      </w:r>
      <w:r>
        <w:rPr>
          <w:rFonts w:hint="eastAsia" w:ascii="宋体" w:hAnsi="宋体" w:cs="Times New Roman"/>
          <w:kern w:val="2"/>
          <w:sz w:val="28"/>
          <w:szCs w:val="28"/>
          <w:lang w:val="en-US" w:eastAsia="zh-CN" w:bidi="ar-SA"/>
        </w:rPr>
        <w:t>昭通市鼎安科技有限公司</w:t>
      </w:r>
      <w:r>
        <w:rPr>
          <w:rFonts w:hint="eastAsia" w:ascii="宋体" w:hAnsi="宋体" w:cs="Times New Roman"/>
          <w:color w:val="000000" w:themeColor="text1"/>
          <w:kern w:val="2"/>
          <w:sz w:val="28"/>
          <w:szCs w:val="28"/>
          <w:lang w:val="en-US" w:eastAsia="zh-CN" w:bidi="ar-SA"/>
          <w14:textFill>
            <w14:solidFill>
              <w14:schemeClr w14:val="tx1"/>
            </w14:solidFill>
          </w14:textFill>
        </w:rPr>
        <w:t>不会将本评价报告内容向其他任何单位和个人提供，也不会将本评价报告的全部或部分内容在媒体上或以其他形式公开发表（安全评价技术研究成果除外）。</w:t>
      </w:r>
    </w:p>
    <w:p w14:paraId="585A7E65">
      <w:pPr>
        <w:pStyle w:val="3"/>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lang w:val="en-US" w:eastAsia="zh-CN"/>
        </w:rPr>
      </w:pPr>
      <w:bookmarkStart w:id="146" w:name="_Toc28875"/>
      <w:bookmarkStart w:id="147" w:name="_Toc10317"/>
      <w:bookmarkStart w:id="148" w:name="_Toc6418"/>
      <w:bookmarkStart w:id="149" w:name="_Toc2901"/>
      <w:r>
        <w:rPr>
          <w:rFonts w:hint="eastAsia" w:ascii="宋体" w:hAnsi="宋体" w:eastAsia="宋体" w:cs="宋体"/>
          <w:b/>
          <w:bCs/>
          <w:color w:val="000000"/>
          <w:lang w:val="en-US" w:eastAsia="zh-CN"/>
        </w:rPr>
        <w:t>1.9评价基准日</w:t>
      </w:r>
      <w:bookmarkEnd w:id="144"/>
      <w:bookmarkEnd w:id="145"/>
      <w:bookmarkEnd w:id="146"/>
      <w:bookmarkEnd w:id="147"/>
      <w:bookmarkEnd w:id="148"/>
      <w:bookmarkEnd w:id="149"/>
    </w:p>
    <w:p w14:paraId="692235D2">
      <w:pPr>
        <w:keepLines w:val="0"/>
        <w:pageBreakBefore w:val="0"/>
        <w:widowControl w:val="0"/>
        <w:kinsoku/>
        <w:wordWrap/>
        <w:overflowPunct/>
        <w:topLinePunct w:val="0"/>
        <w:autoSpaceDE/>
        <w:autoSpaceDN/>
        <w:bidi w:val="0"/>
        <w:spacing w:line="420" w:lineRule="exact"/>
        <w:ind w:firstLine="560" w:firstLineChars="200"/>
        <w:jc w:val="left"/>
        <w:textAlignment w:val="auto"/>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评价基准日：</w:t>
      </w:r>
      <w:r>
        <w:rPr>
          <w:rFonts w:hint="eastAsia" w:ascii="宋体" w:hAnsi="宋体" w:cs="Times New Roman"/>
          <w:color w:val="000000" w:themeColor="text1"/>
          <w:kern w:val="2"/>
          <w:sz w:val="28"/>
          <w:szCs w:val="28"/>
          <w:highlight w:val="none"/>
          <w:lang w:val="en-US" w:eastAsia="zh-CN" w:bidi="ar-SA"/>
          <w14:textFill>
            <w14:solidFill>
              <w14:schemeClr w14:val="tx1"/>
            </w14:solidFill>
          </w14:textFill>
        </w:rPr>
        <w:t>2025年10月31日</w:t>
      </w:r>
      <w:r>
        <w:rPr>
          <w:rFonts w:hint="eastAsia" w:ascii="宋体" w:hAnsi="宋体" w:cs="Times New Roman"/>
          <w:color w:val="000000" w:themeColor="text1"/>
          <w:kern w:val="2"/>
          <w:sz w:val="28"/>
          <w:szCs w:val="28"/>
          <w:lang w:val="en-US" w:eastAsia="zh-CN" w:bidi="ar-SA"/>
          <w14:textFill>
            <w14:solidFill>
              <w14:schemeClr w14:val="tx1"/>
            </w14:solidFill>
          </w14:textFill>
        </w:rPr>
        <w:t>。</w:t>
      </w:r>
    </w:p>
    <w:p w14:paraId="65080ECD">
      <w:pPr>
        <w:keepLines w:val="0"/>
        <w:pageBreakBefore w:val="0"/>
        <w:widowControl w:val="0"/>
        <w:kinsoku/>
        <w:wordWrap/>
        <w:overflowPunct/>
        <w:topLinePunct w:val="0"/>
        <w:autoSpaceDE/>
        <w:autoSpaceDN/>
        <w:bidi w:val="0"/>
        <w:spacing w:line="420" w:lineRule="exact"/>
        <w:ind w:firstLine="560" w:firstLineChars="200"/>
        <w:jc w:val="left"/>
        <w:textAlignment w:val="auto"/>
        <w:rPr>
          <w:rFonts w:hint="eastAsia" w:ascii="宋体" w:hAnsi="宋体" w:cs="Times New Roman"/>
          <w:color w:val="0000FF"/>
          <w:kern w:val="2"/>
          <w:sz w:val="28"/>
          <w:szCs w:val="28"/>
          <w:lang w:val="en-US" w:eastAsia="zh-CN" w:bidi="ar-SA"/>
        </w:rPr>
        <w:sectPr>
          <w:pgSz w:w="11906" w:h="16838"/>
          <w:pgMar w:top="1417" w:right="1417" w:bottom="1417" w:left="1587" w:header="851" w:footer="992" w:gutter="0"/>
          <w:pgNumType w:fmt="decimal"/>
          <w:cols w:space="425" w:num="1"/>
          <w:docGrid w:type="lines" w:linePitch="312" w:charSpace="0"/>
        </w:sectPr>
      </w:pPr>
    </w:p>
    <w:p w14:paraId="522BA242">
      <w:pPr>
        <w:pStyle w:val="2"/>
        <w:keepNext w:val="0"/>
        <w:keepLines w:val="0"/>
        <w:pageBreakBefore w:val="0"/>
        <w:widowControl w:val="0"/>
        <w:kinsoku/>
        <w:wordWrap/>
        <w:overflowPunct/>
        <w:topLinePunct w:val="0"/>
        <w:autoSpaceDE/>
        <w:autoSpaceDN/>
        <w:bidi w:val="0"/>
        <w:spacing w:beforeLines="0" w:afterLines="0" w:line="420" w:lineRule="exact"/>
        <w:jc w:val="center"/>
        <w:textAlignment w:val="auto"/>
        <w:rPr>
          <w:rFonts w:hint="eastAsia" w:ascii="宋体" w:hAnsi="宋体" w:eastAsia="宋体" w:cs="宋体"/>
        </w:rPr>
      </w:pPr>
      <w:bookmarkStart w:id="150" w:name="_Toc29343"/>
      <w:bookmarkStart w:id="151" w:name="_Toc400711458"/>
      <w:bookmarkStart w:id="152" w:name="_Toc393960900"/>
      <w:r>
        <w:rPr>
          <w:rFonts w:hint="eastAsia" w:ascii="宋体" w:hAnsi="宋体" w:eastAsia="宋体" w:cs="宋体"/>
          <w:lang w:val="en-US" w:eastAsia="zh-CN"/>
        </w:rPr>
        <w:t>2</w:t>
      </w:r>
      <w:r>
        <w:rPr>
          <w:rFonts w:hint="eastAsia" w:ascii="宋体" w:hAnsi="宋体" w:eastAsia="宋体" w:cs="宋体"/>
        </w:rPr>
        <w:t xml:space="preserve"> </w:t>
      </w:r>
      <w:r>
        <w:rPr>
          <w:rFonts w:hint="eastAsia" w:ascii="宋体" w:hAnsi="宋体" w:eastAsia="宋体" w:cs="宋体"/>
          <w:lang w:val="en-US" w:eastAsia="zh-CN"/>
        </w:rPr>
        <w:t>建设</w:t>
      </w:r>
      <w:r>
        <w:rPr>
          <w:rFonts w:hint="eastAsia" w:ascii="宋体" w:hAnsi="宋体" w:eastAsia="宋体" w:cs="宋体"/>
        </w:rPr>
        <w:t>项目概述</w:t>
      </w:r>
      <w:bookmarkEnd w:id="150"/>
    </w:p>
    <w:bookmarkEnd w:id="151"/>
    <w:bookmarkEnd w:id="152"/>
    <w:p w14:paraId="4241F473">
      <w:pPr>
        <w:pStyle w:val="3"/>
        <w:keepNext w:val="0"/>
        <w:keepLines w:val="0"/>
        <w:pageBreakBefore w:val="0"/>
        <w:widowControl w:val="0"/>
        <w:kinsoku/>
        <w:wordWrap/>
        <w:overflowPunct/>
        <w:topLinePunct w:val="0"/>
        <w:autoSpaceDE/>
        <w:autoSpaceDN/>
        <w:bidi w:val="0"/>
        <w:adjustRightInd w:val="0"/>
        <w:snapToGrid w:val="0"/>
        <w:spacing w:line="420" w:lineRule="exact"/>
        <w:textAlignment w:val="auto"/>
        <w:rPr>
          <w:rFonts w:hint="eastAsia" w:ascii="宋体" w:hAnsi="宋体" w:eastAsia="宋体" w:cs="宋体"/>
          <w:color w:val="000000"/>
        </w:rPr>
      </w:pPr>
      <w:bookmarkStart w:id="153" w:name="_Toc11087"/>
      <w:bookmarkStart w:id="154" w:name="_Toc21623"/>
      <w:bookmarkStart w:id="155" w:name="_Toc23674"/>
      <w:r>
        <w:rPr>
          <w:rFonts w:hint="eastAsia" w:ascii="宋体" w:hAnsi="宋体" w:eastAsia="宋体" w:cs="宋体"/>
          <w:color w:val="000000"/>
        </w:rPr>
        <w:t>2</w:t>
      </w:r>
      <w:bookmarkStart w:id="156" w:name="_Toc393960901"/>
      <w:bookmarkStart w:id="157" w:name="_Toc400711459"/>
      <w:r>
        <w:rPr>
          <w:rFonts w:hint="eastAsia" w:ascii="宋体" w:hAnsi="宋体" w:eastAsia="宋体" w:cs="宋体"/>
          <w:color w:val="000000"/>
        </w:rPr>
        <w:t xml:space="preserve">.1 </w:t>
      </w:r>
      <w:r>
        <w:rPr>
          <w:rFonts w:hint="eastAsia" w:ascii="宋体" w:hAnsi="宋体" w:eastAsia="宋体" w:cs="宋体"/>
          <w:color w:val="000000"/>
          <w:lang w:val="en-US" w:eastAsia="zh-CN"/>
        </w:rPr>
        <w:t>建设单位概况</w:t>
      </w:r>
      <w:bookmarkEnd w:id="153"/>
      <w:bookmarkEnd w:id="154"/>
      <w:bookmarkEnd w:id="155"/>
      <w:bookmarkEnd w:id="156"/>
    </w:p>
    <w:bookmarkEnd w:id="157"/>
    <w:p w14:paraId="4459FF69">
      <w:pPr>
        <w:pStyle w:val="4"/>
        <w:keepNext w:val="0"/>
        <w:keepLines w:val="0"/>
        <w:pageBreakBefore w:val="0"/>
        <w:widowControl w:val="0"/>
        <w:kinsoku/>
        <w:wordWrap/>
        <w:overflowPunct/>
        <w:topLinePunct w:val="0"/>
        <w:autoSpaceDE/>
        <w:autoSpaceDN/>
        <w:bidi w:val="0"/>
        <w:adjustRightInd w:val="0"/>
        <w:snapToGrid w:val="0"/>
        <w:spacing w:line="420" w:lineRule="exact"/>
        <w:textAlignment w:val="auto"/>
        <w:rPr>
          <w:rFonts w:hint="eastAsia" w:ascii="宋体" w:hAnsi="宋体" w:eastAsia="宋体" w:cs="宋体"/>
          <w:b/>
        </w:rPr>
      </w:pPr>
      <w:bookmarkStart w:id="158" w:name="_Toc7472"/>
      <w:bookmarkStart w:id="159" w:name="_Toc4595"/>
      <w:bookmarkStart w:id="160" w:name="_Toc16221"/>
      <w:r>
        <w:rPr>
          <w:rFonts w:hint="eastAsia" w:ascii="宋体" w:hAnsi="宋体" w:eastAsia="宋体" w:cs="宋体"/>
          <w:b/>
        </w:rPr>
        <w:t>2</w:t>
      </w:r>
      <w:bookmarkStart w:id="161" w:name="_Toc400711460"/>
      <w:r>
        <w:rPr>
          <w:rFonts w:hint="eastAsia" w:ascii="宋体" w:hAnsi="宋体" w:eastAsia="宋体" w:cs="宋体"/>
          <w:b/>
        </w:rPr>
        <w:t>.1.1 建设单位基本情况</w:t>
      </w:r>
      <w:bookmarkEnd w:id="158"/>
      <w:bookmarkEnd w:id="159"/>
      <w:bookmarkEnd w:id="160"/>
    </w:p>
    <w:bookmarkEnd w:id="161"/>
    <w:p w14:paraId="09F575D4">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hint="eastAsia" w:ascii="宋体" w:hAnsi="宋体" w:eastAsia="宋体" w:cs="宋体"/>
          <w:b w:val="0"/>
          <w:bCs w:val="0"/>
          <w:color w:val="auto"/>
          <w:sz w:val="28"/>
          <w:szCs w:val="28"/>
          <w:lang w:eastAsia="zh-CN"/>
        </w:rPr>
      </w:pPr>
      <w:r>
        <w:rPr>
          <w:rFonts w:hint="eastAsia" w:ascii="宋体" w:hAnsi="宋体" w:eastAsia="宋体" w:cs="宋体"/>
          <w:b w:val="0"/>
          <w:bCs w:val="0"/>
          <w:color w:val="auto"/>
          <w:sz w:val="28"/>
          <w:szCs w:val="28"/>
          <w:lang w:eastAsia="zh-CN"/>
        </w:rPr>
        <w:t>统一社会信用代码：91532801MABN4NM888</w:t>
      </w:r>
    </w:p>
    <w:p w14:paraId="100C70C2">
      <w:pPr>
        <w:keepNext w:val="0"/>
        <w:keepLines w:val="0"/>
        <w:pageBreakBefore w:val="0"/>
        <w:widowControl w:val="0"/>
        <w:suppressLineNumbers w:val="0"/>
        <w:kinsoku/>
        <w:wordWrap/>
        <w:overflowPunct/>
        <w:topLinePunct w:val="0"/>
        <w:autoSpaceDE/>
        <w:autoSpaceDN/>
        <w:bidi w:val="0"/>
        <w:spacing w:line="42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b w:val="0"/>
          <w:bCs w:val="0"/>
          <w:color w:val="auto"/>
          <w:sz w:val="28"/>
          <w:szCs w:val="28"/>
          <w:lang w:eastAsia="zh-CN"/>
        </w:rPr>
        <w:t xml:space="preserve">名  </w:t>
      </w:r>
      <w:r>
        <w:rPr>
          <w:rFonts w:hint="eastAsia" w:ascii="宋体" w:hAnsi="宋体" w:eastAsia="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lang w:eastAsia="zh-CN"/>
        </w:rPr>
        <w:t>称：</w:t>
      </w:r>
      <w:r>
        <w:rPr>
          <w:rFonts w:hint="eastAsia" w:ascii="宋体" w:hAnsi="宋体" w:eastAsia="宋体" w:cs="宋体"/>
          <w:color w:val="000000"/>
          <w:kern w:val="0"/>
          <w:sz w:val="28"/>
          <w:szCs w:val="28"/>
          <w:lang w:val="en-US" w:eastAsia="zh-CN" w:bidi="ar"/>
        </w:rPr>
        <w:t>华能澜沧江（景洪）新能源有限公司</w:t>
      </w:r>
    </w:p>
    <w:p w14:paraId="673D8E46">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eastAsia="zh-CN"/>
        </w:rPr>
        <w:t xml:space="preserve">类  </w:t>
      </w:r>
      <w:r>
        <w:rPr>
          <w:rFonts w:hint="eastAsia" w:ascii="宋体" w:hAnsi="宋体" w:eastAsia="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lang w:eastAsia="zh-CN"/>
        </w:rPr>
        <w:t>型：</w:t>
      </w:r>
      <w:r>
        <w:rPr>
          <w:rFonts w:hint="eastAsia" w:ascii="宋体" w:hAnsi="宋体" w:eastAsia="宋体" w:cs="宋体"/>
          <w:color w:val="000000"/>
          <w:kern w:val="0"/>
          <w:sz w:val="28"/>
          <w:szCs w:val="28"/>
          <w:lang w:val="en-US" w:eastAsia="zh-CN" w:bidi="ar"/>
        </w:rPr>
        <w:t>有限责任公司(港澳台投资、非独资)(外资比例低25%)</w:t>
      </w:r>
    </w:p>
    <w:p w14:paraId="0A0A180D">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eastAsia="zh-CN"/>
        </w:rPr>
        <w:t>法定代表人：</w:t>
      </w:r>
      <w:r>
        <w:rPr>
          <w:rFonts w:hint="eastAsia" w:ascii="宋体" w:hAnsi="宋体" w:eastAsia="宋体" w:cs="宋体"/>
          <w:b w:val="0"/>
          <w:bCs w:val="0"/>
          <w:color w:val="auto"/>
          <w:sz w:val="28"/>
          <w:szCs w:val="28"/>
          <w:lang w:val="en-US" w:eastAsia="zh-CN"/>
        </w:rPr>
        <w:t>李增明</w:t>
      </w:r>
    </w:p>
    <w:p w14:paraId="2E71CB8C">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eastAsia="zh-CN"/>
        </w:rPr>
        <w:t>注册资本：</w:t>
      </w:r>
      <w:r>
        <w:rPr>
          <w:rFonts w:hint="eastAsia" w:ascii="宋体" w:hAnsi="宋体" w:eastAsia="宋体" w:cs="宋体"/>
          <w:b w:val="0"/>
          <w:bCs w:val="0"/>
          <w:color w:val="auto"/>
          <w:sz w:val="28"/>
          <w:szCs w:val="28"/>
          <w:lang w:val="en-US" w:eastAsia="zh-CN"/>
        </w:rPr>
        <w:t>60000.000000</w:t>
      </w:r>
    </w:p>
    <w:p w14:paraId="6AB9504C">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hint="eastAsia" w:ascii="宋体" w:hAnsi="宋体" w:eastAsia="宋体" w:cs="宋体"/>
          <w:b w:val="0"/>
          <w:bCs w:val="0"/>
          <w:color w:val="auto"/>
          <w:sz w:val="28"/>
          <w:szCs w:val="28"/>
          <w:lang w:eastAsia="zh-CN"/>
        </w:rPr>
      </w:pPr>
      <w:r>
        <w:rPr>
          <w:rFonts w:hint="eastAsia" w:ascii="宋体" w:hAnsi="宋体" w:eastAsia="宋体" w:cs="宋体"/>
          <w:b w:val="0"/>
          <w:bCs w:val="0"/>
          <w:color w:val="auto"/>
          <w:sz w:val="28"/>
          <w:szCs w:val="28"/>
          <w:lang w:eastAsia="zh-CN"/>
        </w:rPr>
        <w:t>成立日期：202</w:t>
      </w:r>
      <w:r>
        <w:rPr>
          <w:rFonts w:hint="eastAsia" w:ascii="宋体" w:hAnsi="宋体" w:eastAsia="宋体" w:cs="宋体"/>
          <w:b w:val="0"/>
          <w:bCs w:val="0"/>
          <w:color w:val="auto"/>
          <w:sz w:val="28"/>
          <w:szCs w:val="28"/>
          <w:lang w:val="en-US" w:eastAsia="zh-CN"/>
        </w:rPr>
        <w:t>2</w:t>
      </w:r>
      <w:r>
        <w:rPr>
          <w:rFonts w:hint="eastAsia" w:ascii="宋体" w:hAnsi="宋体" w:eastAsia="宋体" w:cs="宋体"/>
          <w:b w:val="0"/>
          <w:bCs w:val="0"/>
          <w:color w:val="auto"/>
          <w:sz w:val="28"/>
          <w:szCs w:val="28"/>
          <w:lang w:eastAsia="zh-CN"/>
        </w:rPr>
        <w:t>年</w:t>
      </w:r>
      <w:r>
        <w:rPr>
          <w:rFonts w:hint="eastAsia" w:ascii="宋体" w:hAnsi="宋体" w:eastAsia="宋体" w:cs="宋体"/>
          <w:b w:val="0"/>
          <w:bCs w:val="0"/>
          <w:color w:val="auto"/>
          <w:sz w:val="28"/>
          <w:szCs w:val="28"/>
          <w:lang w:val="en-US" w:eastAsia="zh-CN"/>
        </w:rPr>
        <w:t>05</w:t>
      </w:r>
      <w:r>
        <w:rPr>
          <w:rFonts w:hint="eastAsia" w:ascii="宋体" w:hAnsi="宋体" w:eastAsia="宋体" w:cs="宋体"/>
          <w:b w:val="0"/>
          <w:bCs w:val="0"/>
          <w:color w:val="auto"/>
          <w:sz w:val="28"/>
          <w:szCs w:val="28"/>
          <w:lang w:eastAsia="zh-CN"/>
        </w:rPr>
        <w:t>月</w:t>
      </w:r>
      <w:r>
        <w:rPr>
          <w:rFonts w:hint="eastAsia" w:ascii="宋体" w:hAnsi="宋体" w:eastAsia="宋体" w:cs="宋体"/>
          <w:b w:val="0"/>
          <w:bCs w:val="0"/>
          <w:color w:val="auto"/>
          <w:sz w:val="28"/>
          <w:szCs w:val="28"/>
          <w:lang w:val="en-US" w:eastAsia="zh-CN"/>
        </w:rPr>
        <w:t>11</w:t>
      </w:r>
      <w:r>
        <w:rPr>
          <w:rFonts w:hint="eastAsia" w:ascii="宋体" w:hAnsi="宋体" w:eastAsia="宋体" w:cs="宋体"/>
          <w:b w:val="0"/>
          <w:bCs w:val="0"/>
          <w:color w:val="auto"/>
          <w:sz w:val="28"/>
          <w:szCs w:val="28"/>
          <w:lang w:eastAsia="zh-CN"/>
        </w:rPr>
        <w:t>日</w:t>
      </w:r>
    </w:p>
    <w:p w14:paraId="56414EEC">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hint="eastAsia" w:ascii="宋体" w:hAnsi="宋体" w:eastAsia="宋体" w:cs="宋体"/>
          <w:b w:val="0"/>
          <w:bCs w:val="0"/>
          <w:color w:val="auto"/>
          <w:sz w:val="28"/>
          <w:szCs w:val="28"/>
          <w:lang w:eastAsia="zh-CN"/>
        </w:rPr>
      </w:pPr>
      <w:r>
        <w:rPr>
          <w:rFonts w:hint="eastAsia" w:ascii="宋体" w:hAnsi="宋体" w:eastAsia="宋体" w:cs="宋体"/>
          <w:b w:val="0"/>
          <w:bCs w:val="0"/>
          <w:color w:val="auto"/>
          <w:sz w:val="28"/>
          <w:szCs w:val="28"/>
          <w:lang w:eastAsia="zh-CN"/>
        </w:rPr>
        <w:t>营业期限：202</w:t>
      </w:r>
      <w:r>
        <w:rPr>
          <w:rFonts w:hint="eastAsia" w:ascii="宋体" w:hAnsi="宋体" w:eastAsia="宋体" w:cs="宋体"/>
          <w:b w:val="0"/>
          <w:bCs w:val="0"/>
          <w:color w:val="auto"/>
          <w:sz w:val="28"/>
          <w:szCs w:val="28"/>
          <w:lang w:val="en-US" w:eastAsia="zh-CN"/>
        </w:rPr>
        <w:t>2</w:t>
      </w:r>
      <w:r>
        <w:rPr>
          <w:rFonts w:hint="eastAsia" w:ascii="宋体" w:hAnsi="宋体" w:eastAsia="宋体" w:cs="宋体"/>
          <w:b w:val="0"/>
          <w:bCs w:val="0"/>
          <w:color w:val="auto"/>
          <w:sz w:val="28"/>
          <w:szCs w:val="28"/>
          <w:lang w:eastAsia="zh-CN"/>
        </w:rPr>
        <w:t>年</w:t>
      </w:r>
      <w:r>
        <w:rPr>
          <w:rFonts w:hint="eastAsia" w:ascii="宋体" w:hAnsi="宋体" w:eastAsia="宋体" w:cs="宋体"/>
          <w:b w:val="0"/>
          <w:bCs w:val="0"/>
          <w:color w:val="auto"/>
          <w:sz w:val="28"/>
          <w:szCs w:val="28"/>
          <w:lang w:val="en-US" w:eastAsia="zh-CN"/>
        </w:rPr>
        <w:t>05</w:t>
      </w:r>
      <w:r>
        <w:rPr>
          <w:rFonts w:hint="eastAsia" w:ascii="宋体" w:hAnsi="宋体" w:eastAsia="宋体" w:cs="宋体"/>
          <w:b w:val="0"/>
          <w:bCs w:val="0"/>
          <w:color w:val="auto"/>
          <w:sz w:val="28"/>
          <w:szCs w:val="28"/>
          <w:lang w:eastAsia="zh-CN"/>
        </w:rPr>
        <w:t>月</w:t>
      </w:r>
      <w:r>
        <w:rPr>
          <w:rFonts w:hint="eastAsia" w:ascii="宋体" w:hAnsi="宋体" w:eastAsia="宋体" w:cs="宋体"/>
          <w:b w:val="0"/>
          <w:bCs w:val="0"/>
          <w:color w:val="auto"/>
          <w:sz w:val="28"/>
          <w:szCs w:val="28"/>
          <w:lang w:val="en-US" w:eastAsia="zh-CN"/>
        </w:rPr>
        <w:t>11</w:t>
      </w:r>
      <w:r>
        <w:rPr>
          <w:rFonts w:hint="eastAsia" w:ascii="宋体" w:hAnsi="宋体" w:eastAsia="宋体" w:cs="宋体"/>
          <w:b w:val="0"/>
          <w:bCs w:val="0"/>
          <w:color w:val="auto"/>
          <w:sz w:val="28"/>
          <w:szCs w:val="28"/>
          <w:lang w:eastAsia="zh-CN"/>
        </w:rPr>
        <w:t>日至长期</w:t>
      </w:r>
    </w:p>
    <w:p w14:paraId="3670F4AA">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hint="eastAsia" w:ascii="宋体" w:hAnsi="宋体" w:eastAsia="宋体" w:cs="宋体"/>
          <w:b w:val="0"/>
          <w:bCs w:val="0"/>
          <w:color w:val="auto"/>
          <w:sz w:val="28"/>
          <w:szCs w:val="28"/>
          <w:lang w:eastAsia="zh-CN"/>
        </w:rPr>
      </w:pPr>
      <w:r>
        <w:rPr>
          <w:rFonts w:hint="eastAsia" w:ascii="宋体" w:hAnsi="宋体" w:eastAsia="宋体" w:cs="宋体"/>
          <w:b w:val="0"/>
          <w:bCs w:val="0"/>
          <w:color w:val="auto"/>
          <w:sz w:val="28"/>
          <w:szCs w:val="28"/>
          <w:lang w:eastAsia="zh-CN"/>
        </w:rPr>
        <w:t xml:space="preserve">住  </w:t>
      </w:r>
      <w:r>
        <w:rPr>
          <w:rFonts w:hint="eastAsia" w:ascii="宋体" w:hAnsi="宋体" w:eastAsia="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lang w:eastAsia="zh-CN"/>
        </w:rPr>
        <w:t xml:space="preserve"> 所：云南省西双版纳傣族自治州景洪市勐遮路4号(华能景洪水电建设管理局)</w:t>
      </w:r>
    </w:p>
    <w:p w14:paraId="481E4838">
      <w:pPr>
        <w:keepNext w:val="0"/>
        <w:keepLines w:val="0"/>
        <w:pageBreakBefore w:val="0"/>
        <w:widowControl w:val="0"/>
        <w:suppressLineNumbers w:val="0"/>
        <w:kinsoku/>
        <w:wordWrap/>
        <w:overflowPunct/>
        <w:topLinePunct w:val="0"/>
        <w:autoSpaceDE/>
        <w:autoSpaceDN/>
        <w:bidi w:val="0"/>
        <w:spacing w:line="420" w:lineRule="exact"/>
        <w:ind w:firstLine="560" w:firstLineChars="200"/>
        <w:jc w:val="left"/>
        <w:textAlignment w:val="auto"/>
        <w:rPr>
          <w:rFonts w:hint="eastAsia" w:ascii="宋体" w:hAnsi="宋体" w:eastAsia="宋体" w:cs="宋体"/>
          <w:b w:val="0"/>
          <w:bCs w:val="0"/>
          <w:color w:val="auto"/>
          <w:szCs w:val="28"/>
          <w:lang w:val="en-US" w:eastAsia="zh-CN"/>
        </w:rPr>
      </w:pPr>
      <w:r>
        <w:rPr>
          <w:rFonts w:hint="eastAsia" w:ascii="宋体" w:hAnsi="宋体" w:eastAsia="宋体" w:cs="宋体"/>
          <w:b w:val="0"/>
          <w:bCs w:val="0"/>
          <w:color w:val="auto"/>
          <w:sz w:val="28"/>
          <w:szCs w:val="28"/>
          <w:lang w:eastAsia="zh-CN"/>
        </w:rPr>
        <w:t>经营范围：</w:t>
      </w:r>
      <w:r>
        <w:rPr>
          <w:rFonts w:hint="eastAsia" w:ascii="宋体" w:hAnsi="宋体" w:eastAsia="宋体" w:cs="宋体"/>
          <w:color w:val="000000"/>
          <w:kern w:val="0"/>
          <w:sz w:val="28"/>
          <w:szCs w:val="28"/>
          <w:lang w:val="en-US" w:eastAsia="zh-CN" w:bidi="ar"/>
        </w:rPr>
        <w:t>发电业务、输电业务、供(配）电业务，输电。供电、受电电力设施的安装、维修和试验(依法须经批准的项目，经相关部门批准后方可开展经营活动，具体经营项目以相关部门批准文件或许可证件为准)一般项目：电气设备修理：电动汽车充电基础设施运营，新兴能源技术研发，风力发电技术服务，太阳能发电技术服务，发电技术服务，工程管理服务(除依法须经批准的项目外，凭营业执照依法自主开展经营活动)。</w:t>
      </w:r>
    </w:p>
    <w:p w14:paraId="1010959C">
      <w:pPr>
        <w:keepNext w:val="0"/>
        <w:keepLines w:val="0"/>
        <w:pageBreakBefore w:val="0"/>
        <w:widowControl w:val="0"/>
        <w:kinsoku/>
        <w:wordWrap/>
        <w:overflowPunct/>
        <w:topLinePunct w:val="0"/>
        <w:autoSpaceDE/>
        <w:autoSpaceDN/>
        <w:bidi w:val="0"/>
        <w:adjustRightInd w:val="0"/>
        <w:snapToGrid w:val="0"/>
        <w:spacing w:line="420" w:lineRule="exact"/>
        <w:textAlignment w:val="auto"/>
        <w:outlineLvl w:val="2"/>
        <w:rPr>
          <w:rFonts w:hint="eastAsia" w:ascii="宋体" w:hAnsi="宋体" w:eastAsia="宋体" w:cs="宋体"/>
          <w:b/>
          <w:bCs w:val="0"/>
          <w:color w:val="auto"/>
          <w:sz w:val="28"/>
          <w:szCs w:val="28"/>
          <w:lang w:val="en-US" w:eastAsia="zh-CN"/>
        </w:rPr>
      </w:pPr>
      <w:bookmarkStart w:id="162" w:name="_Toc14890"/>
      <w:bookmarkStart w:id="163" w:name="_Toc2027"/>
      <w:bookmarkStart w:id="164" w:name="_Toc18898"/>
      <w:r>
        <w:rPr>
          <w:rFonts w:hint="eastAsia" w:ascii="宋体" w:hAnsi="宋体" w:eastAsia="宋体" w:cs="宋体"/>
          <w:b/>
          <w:bCs w:val="0"/>
          <w:sz w:val="28"/>
          <w:szCs w:val="28"/>
        </w:rPr>
        <w:t>2.1.2建设项目概况</w:t>
      </w:r>
      <w:bookmarkEnd w:id="162"/>
      <w:bookmarkEnd w:id="163"/>
      <w:bookmarkEnd w:id="164"/>
    </w:p>
    <w:p w14:paraId="6F0F00A6">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项目名称：华能澜沧江（景洪）新能源有限公司</w:t>
      </w:r>
      <w:r>
        <w:rPr>
          <w:rFonts w:hint="eastAsia" w:ascii="宋体" w:hAnsi="宋体" w:eastAsia="宋体" w:cs="宋体"/>
          <w:color w:val="auto"/>
          <w:kern w:val="0"/>
          <w:sz w:val="28"/>
          <w:szCs w:val="28"/>
          <w:lang w:val="en-US" w:eastAsia="zh-CN" w:bidi="ar"/>
        </w:rPr>
        <w:t>景讷乡大寨村云盘光伏</w:t>
      </w:r>
      <w:r>
        <w:rPr>
          <w:rFonts w:hint="eastAsia" w:ascii="宋体" w:hAnsi="宋体" w:cs="宋体"/>
          <w:color w:val="auto"/>
          <w:kern w:val="0"/>
          <w:sz w:val="28"/>
          <w:szCs w:val="28"/>
          <w:lang w:val="en-US" w:eastAsia="zh-CN" w:bidi="ar"/>
        </w:rPr>
        <w:t>电站</w:t>
      </w:r>
    </w:p>
    <w:p w14:paraId="63347BC6">
      <w:pPr>
        <w:keepNext w:val="0"/>
        <w:keepLines w:val="0"/>
        <w:pageBreakBefore w:val="0"/>
        <w:widowControl w:val="0"/>
        <w:suppressLineNumbers w:val="0"/>
        <w:kinsoku/>
        <w:wordWrap/>
        <w:overflowPunct/>
        <w:topLinePunct w:val="0"/>
        <w:autoSpaceDE/>
        <w:autoSpaceDN/>
        <w:bidi w:val="0"/>
        <w:spacing w:line="420" w:lineRule="exact"/>
        <w:ind w:firstLine="560" w:firstLineChars="200"/>
        <w:jc w:val="left"/>
        <w:textAlignment w:val="auto"/>
        <w:rPr>
          <w:rFonts w:hint="default" w:ascii="宋体" w:hAnsi="宋体" w:eastAsia="宋体" w:cs="宋体"/>
          <w:sz w:val="28"/>
          <w:szCs w:val="28"/>
          <w:lang w:val="en-US"/>
        </w:rPr>
      </w:pPr>
      <w:r>
        <w:rPr>
          <w:rFonts w:hint="eastAsia" w:ascii="宋体" w:hAnsi="宋体" w:eastAsia="宋体" w:cs="宋体"/>
          <w:color w:val="auto"/>
          <w:sz w:val="28"/>
          <w:szCs w:val="28"/>
          <w:lang w:val="en-US" w:eastAsia="zh-CN"/>
        </w:rPr>
        <w:t>建设地点：</w:t>
      </w:r>
      <w:r>
        <w:rPr>
          <w:rFonts w:hint="eastAsia" w:ascii="宋体" w:hAnsi="宋体" w:eastAsia="宋体" w:cs="宋体"/>
          <w:color w:val="000000"/>
          <w:kern w:val="0"/>
          <w:sz w:val="28"/>
          <w:szCs w:val="28"/>
          <w:lang w:val="en-US" w:eastAsia="zh-CN" w:bidi="ar"/>
        </w:rPr>
        <w:t>云南省西双版纳治州景洪市</w:t>
      </w:r>
      <w:r>
        <w:rPr>
          <w:rFonts w:hint="eastAsia" w:ascii="宋体" w:hAnsi="宋体" w:eastAsia="宋体" w:cs="宋体"/>
          <w:color w:val="auto"/>
          <w:kern w:val="0"/>
          <w:sz w:val="28"/>
          <w:szCs w:val="28"/>
          <w:lang w:val="en-US" w:eastAsia="zh-CN" w:bidi="ar"/>
        </w:rPr>
        <w:t>景讷乡大寨村</w:t>
      </w:r>
      <w:r>
        <w:rPr>
          <w:rFonts w:hint="eastAsia" w:ascii="宋体" w:hAnsi="宋体" w:cs="宋体"/>
          <w:color w:val="000000"/>
          <w:kern w:val="0"/>
          <w:sz w:val="28"/>
          <w:szCs w:val="28"/>
          <w:lang w:val="en-US" w:eastAsia="zh-CN" w:bidi="ar"/>
        </w:rPr>
        <w:t>附近</w:t>
      </w:r>
    </w:p>
    <w:p w14:paraId="36AD0DA0">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hint="default" w:ascii="宋体" w:hAnsi="宋体" w:eastAsia="宋体" w:cs="Times New Roman"/>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auto"/>
          <w:sz w:val="28"/>
          <w:szCs w:val="28"/>
          <w:lang w:val="en-US" w:eastAsia="zh-CN"/>
        </w:rPr>
        <w:t>项目性质：新建</w:t>
      </w:r>
    </w:p>
    <w:p w14:paraId="7560BE18">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项目投资：</w:t>
      </w:r>
      <w:r>
        <w:rPr>
          <w:rFonts w:hint="eastAsia" w:ascii="宋体" w:hAnsi="宋体" w:cs="Times New Roman"/>
          <w:kern w:val="2"/>
          <w:sz w:val="28"/>
          <w:szCs w:val="28"/>
          <w:lang w:val="en-US" w:eastAsia="zh-CN" w:bidi="ar-SA"/>
        </w:rPr>
        <w:t>39007</w:t>
      </w:r>
      <w:r>
        <w:rPr>
          <w:rFonts w:hint="eastAsia" w:ascii="宋体" w:hAnsi="宋体" w:eastAsia="宋体" w:cs="Times New Roman"/>
          <w:color w:val="000000" w:themeColor="text1"/>
          <w:kern w:val="2"/>
          <w:sz w:val="28"/>
          <w:szCs w:val="28"/>
          <w:lang w:val="en-US" w:eastAsia="zh-CN" w:bidi="ar-SA"/>
          <w14:textFill>
            <w14:solidFill>
              <w14:schemeClr w14:val="tx1"/>
            </w14:solidFill>
          </w14:textFill>
        </w:rPr>
        <w:t>万元</w:t>
      </w:r>
    </w:p>
    <w:p w14:paraId="3088FF97">
      <w:pPr>
        <w:keepNext w:val="0"/>
        <w:keepLines w:val="0"/>
        <w:pageBreakBefore w:val="0"/>
        <w:widowControl w:val="0"/>
        <w:kinsoku/>
        <w:wordWrap/>
        <w:overflowPunct/>
        <w:topLinePunct w:val="0"/>
        <w:autoSpaceDE/>
        <w:autoSpaceDN/>
        <w:bidi w:val="0"/>
        <w:spacing w:line="420" w:lineRule="exact"/>
        <w:ind w:firstLine="560" w:firstLineChars="200"/>
        <w:jc w:val="left"/>
        <w:textAlignment w:val="auto"/>
        <w:rPr>
          <w:rFonts w:hint="eastAsia" w:ascii="宋体" w:hAnsi="宋体" w:eastAsia="宋体" w:cs="Times New Roman"/>
          <w:color w:val="0000FF"/>
          <w:kern w:val="2"/>
          <w:sz w:val="28"/>
          <w:szCs w:val="28"/>
          <w:lang w:val="en-US" w:eastAsia="zh-CN" w:bidi="ar-SA"/>
        </w:rPr>
      </w:pPr>
      <w:r>
        <w:rPr>
          <w:rFonts w:hint="eastAsia" w:ascii="宋体" w:hAnsi="宋体" w:eastAsia="宋体" w:cs="Times New Roman"/>
          <w:kern w:val="2"/>
          <w:sz w:val="28"/>
          <w:szCs w:val="28"/>
          <w:lang w:val="en-US" w:eastAsia="zh-CN" w:bidi="ar-SA"/>
        </w:rPr>
        <w:t>建设规模及内容：</w:t>
      </w:r>
      <w:r>
        <w:rPr>
          <w:rFonts w:hint="eastAsia" w:ascii="宋体" w:hAnsi="宋体" w:cs="Times New Roman"/>
          <w:kern w:val="2"/>
          <w:sz w:val="28"/>
          <w:szCs w:val="28"/>
          <w:lang w:val="en-US" w:eastAsia="zh-CN" w:bidi="ar-SA"/>
        </w:rPr>
        <w:t xml:space="preserve">本项目装机容量65MW, </w:t>
      </w:r>
      <w:r>
        <w:rPr>
          <w:rFonts w:hint="eastAsia"/>
          <w:color w:val="000000" w:themeColor="text1"/>
          <w:sz w:val="28"/>
          <w:szCs w:val="28"/>
          <w:lang w:val="zh-CN"/>
          <w14:textFill>
            <w14:solidFill>
              <w14:schemeClr w14:val="tx1"/>
            </w14:solidFill>
          </w14:textFill>
        </w:rPr>
        <w:t>占地面积</w:t>
      </w:r>
      <w:r>
        <w:rPr>
          <w:rFonts w:hint="eastAsia"/>
          <w:color w:val="000000" w:themeColor="text1"/>
          <w:sz w:val="28"/>
          <w:szCs w:val="28"/>
          <w:lang w:val="en-US" w:eastAsia="zh-CN"/>
          <w14:textFill>
            <w14:solidFill>
              <w14:schemeClr w14:val="tx1"/>
            </w14:solidFill>
          </w14:textFill>
        </w:rPr>
        <w:t>3250</w:t>
      </w:r>
      <w:r>
        <w:rPr>
          <w:rFonts w:hint="eastAsia"/>
          <w:color w:val="000000" w:themeColor="text1"/>
          <w:sz w:val="28"/>
          <w:szCs w:val="28"/>
          <w:lang w:val="zh-CN"/>
          <w14:textFill>
            <w14:solidFill>
              <w14:schemeClr w14:val="tx1"/>
            </w14:solidFill>
          </w14:textFill>
        </w:rPr>
        <w:t>亩，</w:t>
      </w:r>
      <w:r>
        <w:rPr>
          <w:rFonts w:hint="eastAsia"/>
          <w:color w:val="000000" w:themeColor="text1"/>
          <w:sz w:val="28"/>
          <w:szCs w:val="28"/>
          <w:lang w:val="en-US" w:eastAsia="zh-CN"/>
          <w14:textFill>
            <w14:solidFill>
              <w14:schemeClr w14:val="tx1"/>
            </w14:solidFill>
          </w14:textFill>
        </w:rPr>
        <w:t>拟新建一座110kv升压站及全部配套设施、道路，临时用地包括新建临时弃渣场、临时堆料场、临时施工便道等。</w:t>
      </w:r>
    </w:p>
    <w:p w14:paraId="4D665CAC">
      <w:pPr>
        <w:keepNext w:val="0"/>
        <w:keepLines w:val="0"/>
        <w:pageBreakBefore w:val="0"/>
        <w:widowControl w:val="0"/>
        <w:kinsoku/>
        <w:wordWrap/>
        <w:overflowPunct/>
        <w:topLinePunct w:val="0"/>
        <w:autoSpaceDE/>
        <w:autoSpaceDN/>
        <w:bidi w:val="0"/>
        <w:adjustRightInd/>
        <w:snapToGrid/>
        <w:spacing w:line="420" w:lineRule="exact"/>
        <w:textAlignment w:val="auto"/>
        <w:outlineLvl w:val="2"/>
        <w:rPr>
          <w:rFonts w:hint="default"/>
          <w:lang w:val="en-US" w:eastAsia="zh-CN"/>
        </w:rPr>
      </w:pPr>
      <w:bookmarkStart w:id="165" w:name="_Toc2578"/>
      <w:r>
        <w:rPr>
          <w:rFonts w:hint="eastAsia" w:ascii="宋体" w:hAnsi="宋体" w:eastAsia="宋体" w:cs="宋体"/>
          <w:b/>
          <w:bCs w:val="0"/>
          <w:color w:val="000000"/>
          <w:sz w:val="28"/>
          <w:szCs w:val="28"/>
        </w:rPr>
        <w:t>2.</w:t>
      </w:r>
      <w:r>
        <w:rPr>
          <w:rFonts w:hint="eastAsia" w:ascii="宋体" w:hAnsi="宋体" w:eastAsia="宋体" w:cs="宋体"/>
          <w:b/>
          <w:bCs w:val="0"/>
          <w:color w:val="000000"/>
          <w:sz w:val="28"/>
          <w:szCs w:val="28"/>
          <w:lang w:val="en-US" w:eastAsia="zh-CN"/>
        </w:rPr>
        <w:t>1</w:t>
      </w:r>
      <w:r>
        <w:rPr>
          <w:rFonts w:hint="eastAsia" w:ascii="宋体" w:hAnsi="宋体" w:eastAsia="宋体" w:cs="宋体"/>
          <w:b/>
          <w:bCs w:val="0"/>
          <w:color w:val="000000"/>
          <w:sz w:val="28"/>
          <w:szCs w:val="28"/>
        </w:rPr>
        <w:t>.</w:t>
      </w:r>
      <w:r>
        <w:rPr>
          <w:rFonts w:hint="eastAsia" w:ascii="宋体" w:hAnsi="宋体" w:eastAsia="宋体" w:cs="宋体"/>
          <w:b/>
          <w:bCs w:val="0"/>
          <w:color w:val="000000"/>
          <w:sz w:val="28"/>
          <w:szCs w:val="28"/>
          <w:lang w:val="en-US" w:eastAsia="zh-CN"/>
        </w:rPr>
        <w:t>3</w:t>
      </w:r>
      <w:r>
        <w:rPr>
          <w:rFonts w:hint="eastAsia" w:ascii="宋体" w:hAnsi="宋体" w:eastAsia="宋体" w:cs="宋体"/>
          <w:b/>
          <w:bCs w:val="0"/>
          <w:color w:val="000000"/>
          <w:sz w:val="28"/>
          <w:szCs w:val="28"/>
        </w:rPr>
        <w:t xml:space="preserve"> </w:t>
      </w:r>
      <w:r>
        <w:rPr>
          <w:rFonts w:hint="eastAsia" w:ascii="宋体" w:hAnsi="宋体" w:cs="宋体"/>
          <w:b/>
          <w:bCs w:val="0"/>
          <w:color w:val="000000"/>
          <w:sz w:val="28"/>
          <w:szCs w:val="28"/>
          <w:lang w:val="en-US" w:eastAsia="zh-CN"/>
        </w:rPr>
        <w:t>主要建设内容</w:t>
      </w:r>
      <w:bookmarkEnd w:id="165"/>
    </w:p>
    <w:p w14:paraId="20377187">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rPr>
          <w:rFonts w:hint="eastAsia" w:ascii="宋体" w:hAnsi="宋体" w:eastAsia="宋体" w:cs="Times New Roman"/>
          <w:kern w:val="2"/>
          <w:sz w:val="28"/>
          <w:szCs w:val="28"/>
          <w:lang w:val="en-US" w:eastAsia="zh-CN" w:bidi="ar-SA"/>
        </w:rPr>
      </w:pPr>
      <w:r>
        <w:rPr>
          <w:rFonts w:hint="eastAsia" w:ascii="宋体" w:hAnsi="宋体" w:cs="宋体"/>
          <w:color w:val="000000"/>
          <w:kern w:val="0"/>
          <w:sz w:val="28"/>
          <w:szCs w:val="28"/>
          <w:lang w:val="en-US" w:eastAsia="zh-CN" w:bidi="ar"/>
        </w:rPr>
        <w:t>建设项目</w:t>
      </w:r>
      <w:r>
        <w:rPr>
          <w:rFonts w:hint="eastAsia" w:ascii="宋体" w:hAnsi="宋体" w:eastAsia="宋体" w:cs="宋体"/>
          <w:color w:val="000000"/>
          <w:kern w:val="0"/>
          <w:sz w:val="28"/>
          <w:szCs w:val="28"/>
          <w:lang w:val="en-US" w:eastAsia="zh-CN" w:bidi="ar"/>
        </w:rPr>
        <w:t>额定容量为</w:t>
      </w:r>
      <w:r>
        <w:rPr>
          <w:rFonts w:hint="eastAsia" w:ascii="宋体" w:hAnsi="宋体" w:cs="宋体"/>
          <w:color w:val="000000"/>
          <w:kern w:val="0"/>
          <w:sz w:val="28"/>
          <w:szCs w:val="28"/>
          <w:lang w:val="en-US" w:eastAsia="zh-CN" w:bidi="ar"/>
        </w:rPr>
        <w:t>65</w:t>
      </w:r>
      <w:r>
        <w:rPr>
          <w:rFonts w:hint="eastAsia" w:ascii="宋体" w:hAnsi="宋体" w:eastAsia="宋体" w:cs="宋体"/>
          <w:color w:val="000000"/>
          <w:kern w:val="0"/>
          <w:sz w:val="28"/>
          <w:szCs w:val="28"/>
          <w:lang w:val="en-US" w:eastAsia="zh-CN" w:bidi="ar"/>
        </w:rPr>
        <w:t>MWac，组件安装容量为</w:t>
      </w:r>
      <w:r>
        <w:rPr>
          <w:rFonts w:hint="eastAsia" w:ascii="宋体" w:hAnsi="宋体" w:cs="宋体"/>
          <w:color w:val="000000"/>
          <w:kern w:val="0"/>
          <w:sz w:val="28"/>
          <w:szCs w:val="28"/>
          <w:lang w:val="en-US" w:eastAsia="zh-CN" w:bidi="ar"/>
        </w:rPr>
        <w:t>81.26118</w:t>
      </w:r>
      <w:r>
        <w:rPr>
          <w:rFonts w:hint="eastAsia" w:ascii="宋体" w:hAnsi="宋体" w:eastAsia="宋体" w:cs="宋体"/>
          <w:color w:val="000000"/>
          <w:kern w:val="0"/>
          <w:sz w:val="28"/>
          <w:szCs w:val="28"/>
          <w:lang w:val="en-US" w:eastAsia="zh-CN" w:bidi="ar"/>
        </w:rPr>
        <w:t>MWp。采用585Wp 单晶硅电池组件</w:t>
      </w:r>
      <w:r>
        <w:rPr>
          <w:rFonts w:hint="eastAsia" w:ascii="宋体" w:hAnsi="宋体" w:cs="宋体"/>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共有</w:t>
      </w:r>
      <w:r>
        <w:rPr>
          <w:rFonts w:hint="default" w:ascii="Times New Roman" w:hAnsi="Times New Roman" w:eastAsia="宋体" w:cs="Times New Roman"/>
          <w:color w:val="000000"/>
          <w:kern w:val="0"/>
          <w:sz w:val="28"/>
          <w:szCs w:val="28"/>
          <w:lang w:val="en-US" w:eastAsia="zh-CN" w:bidi="ar"/>
        </w:rPr>
        <w:t>18</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3.2MW</w:t>
      </w:r>
      <w:r>
        <w:rPr>
          <w:rFonts w:hint="eastAsia" w:ascii="宋体" w:hAnsi="宋体" w:eastAsia="宋体" w:cs="宋体"/>
          <w:color w:val="000000"/>
          <w:kern w:val="0"/>
          <w:sz w:val="28"/>
          <w:szCs w:val="28"/>
          <w:lang w:val="en-US" w:eastAsia="zh-CN" w:bidi="ar"/>
        </w:rPr>
        <w:t>的方阵、</w:t>
      </w:r>
      <w:r>
        <w:rPr>
          <w:rFonts w:hint="default" w:ascii="Times New Roman" w:hAnsi="Times New Roman" w:eastAsia="宋体" w:cs="Times New Roman"/>
          <w:color w:val="000000"/>
          <w:kern w:val="0"/>
          <w:sz w:val="28"/>
          <w:szCs w:val="28"/>
          <w:lang w:val="en-US" w:eastAsia="zh-CN" w:bidi="ar"/>
        </w:rPr>
        <w:t>1</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2.6MW</w:t>
      </w:r>
      <w:r>
        <w:rPr>
          <w:rFonts w:hint="eastAsia" w:ascii="宋体" w:hAnsi="宋体" w:eastAsia="宋体" w:cs="宋体"/>
          <w:color w:val="000000"/>
          <w:kern w:val="0"/>
          <w:sz w:val="28"/>
          <w:szCs w:val="28"/>
          <w:lang w:val="en-US" w:eastAsia="zh-CN" w:bidi="ar"/>
        </w:rPr>
        <w:t>的方阵、</w:t>
      </w:r>
      <w:r>
        <w:rPr>
          <w:rFonts w:hint="default" w:ascii="Times New Roman" w:hAnsi="Times New Roman" w:eastAsia="宋体" w:cs="Times New Roman"/>
          <w:color w:val="000000"/>
          <w:kern w:val="0"/>
          <w:sz w:val="28"/>
          <w:szCs w:val="28"/>
          <w:lang w:val="en-US" w:eastAsia="zh-CN" w:bidi="ar"/>
        </w:rPr>
        <w:t>2</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2.0MW</w:t>
      </w:r>
      <w:r>
        <w:rPr>
          <w:rFonts w:hint="eastAsia" w:ascii="宋体" w:hAnsi="宋体" w:eastAsia="宋体" w:cs="宋体"/>
          <w:color w:val="000000"/>
          <w:kern w:val="0"/>
          <w:sz w:val="28"/>
          <w:szCs w:val="28"/>
          <w:lang w:val="en-US" w:eastAsia="zh-CN" w:bidi="ar"/>
        </w:rPr>
        <w:t>的方阵和</w:t>
      </w:r>
      <w:r>
        <w:rPr>
          <w:rFonts w:hint="default" w:ascii="Times New Roman" w:hAnsi="Times New Roman" w:eastAsia="宋体" w:cs="Times New Roman"/>
          <w:color w:val="000000"/>
          <w:kern w:val="0"/>
          <w:sz w:val="28"/>
          <w:szCs w:val="28"/>
          <w:lang w:val="en-US" w:eastAsia="zh-CN" w:bidi="ar"/>
        </w:rPr>
        <w:t>1</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1.6MW</w:t>
      </w:r>
      <w:r>
        <w:rPr>
          <w:rFonts w:hint="eastAsia" w:ascii="宋体" w:hAnsi="宋体" w:eastAsia="宋体" w:cs="宋体"/>
          <w:color w:val="000000"/>
          <w:kern w:val="0"/>
          <w:sz w:val="28"/>
          <w:szCs w:val="28"/>
          <w:lang w:val="en-US" w:eastAsia="zh-CN" w:bidi="ar"/>
        </w:rPr>
        <w:t>的方阵，合计</w:t>
      </w:r>
      <w:r>
        <w:rPr>
          <w:rFonts w:hint="default" w:ascii="Times New Roman" w:hAnsi="Times New Roman" w:eastAsia="宋体" w:cs="Times New Roman"/>
          <w:color w:val="000000"/>
          <w:kern w:val="0"/>
          <w:sz w:val="28"/>
          <w:szCs w:val="28"/>
          <w:lang w:val="en-US" w:eastAsia="zh-CN" w:bidi="ar"/>
        </w:rPr>
        <w:t>22</w:t>
      </w:r>
      <w:r>
        <w:rPr>
          <w:rFonts w:hint="eastAsia" w:ascii="宋体" w:hAnsi="宋体" w:eastAsia="宋体" w:cs="宋体"/>
          <w:color w:val="000000"/>
          <w:kern w:val="0"/>
          <w:sz w:val="28"/>
          <w:szCs w:val="28"/>
          <w:lang w:val="en-US" w:eastAsia="zh-CN" w:bidi="ar"/>
        </w:rPr>
        <w:t>个方阵。每个</w:t>
      </w:r>
      <w:r>
        <w:rPr>
          <w:rFonts w:hint="default" w:ascii="Times New Roman" w:hAnsi="Times New Roman" w:eastAsia="宋体" w:cs="Times New Roman"/>
          <w:color w:val="000000"/>
          <w:kern w:val="0"/>
          <w:sz w:val="28"/>
          <w:szCs w:val="28"/>
          <w:lang w:val="en-US" w:eastAsia="zh-CN" w:bidi="ar"/>
        </w:rPr>
        <w:t>3.2MW</w:t>
      </w:r>
      <w:r>
        <w:rPr>
          <w:rFonts w:hint="eastAsia" w:ascii="宋体" w:hAnsi="宋体" w:eastAsia="宋体" w:cs="宋体"/>
          <w:color w:val="000000"/>
          <w:kern w:val="0"/>
          <w:sz w:val="28"/>
          <w:szCs w:val="28"/>
          <w:lang w:val="en-US" w:eastAsia="zh-CN" w:bidi="ar"/>
        </w:rPr>
        <w:t>光伏方阵包含</w:t>
      </w:r>
      <w:r>
        <w:rPr>
          <w:rFonts w:hint="default" w:ascii="Times New Roman" w:hAnsi="Times New Roman" w:eastAsia="宋体" w:cs="Times New Roman"/>
          <w:color w:val="000000"/>
          <w:kern w:val="0"/>
          <w:sz w:val="28"/>
          <w:szCs w:val="28"/>
          <w:lang w:val="en-US" w:eastAsia="zh-CN" w:bidi="ar"/>
        </w:rPr>
        <w:t>10</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 xml:space="preserve">320kW </w:t>
      </w:r>
      <w:r>
        <w:rPr>
          <w:rFonts w:hint="eastAsia" w:ascii="宋体" w:hAnsi="宋体" w:eastAsia="宋体" w:cs="宋体"/>
          <w:color w:val="000000"/>
          <w:kern w:val="0"/>
          <w:sz w:val="28"/>
          <w:szCs w:val="28"/>
          <w:lang w:val="en-US" w:eastAsia="zh-CN" w:bidi="ar"/>
        </w:rPr>
        <w:t>发电单元；每个</w:t>
      </w:r>
      <w:r>
        <w:rPr>
          <w:rFonts w:hint="default" w:ascii="Times New Roman" w:hAnsi="Times New Roman" w:eastAsia="宋体" w:cs="Times New Roman"/>
          <w:color w:val="000000"/>
          <w:kern w:val="0"/>
          <w:sz w:val="28"/>
          <w:szCs w:val="28"/>
          <w:lang w:val="en-US" w:eastAsia="zh-CN" w:bidi="ar"/>
        </w:rPr>
        <w:t>2.6MW</w:t>
      </w:r>
      <w:r>
        <w:rPr>
          <w:rFonts w:hint="eastAsia" w:ascii="宋体" w:hAnsi="宋体" w:eastAsia="宋体" w:cs="宋体"/>
          <w:color w:val="000000"/>
          <w:kern w:val="0"/>
          <w:sz w:val="28"/>
          <w:szCs w:val="28"/>
          <w:lang w:val="en-US" w:eastAsia="zh-CN" w:bidi="ar"/>
        </w:rPr>
        <w:t>光伏方阵包含</w:t>
      </w:r>
      <w:r>
        <w:rPr>
          <w:rFonts w:hint="default" w:ascii="Times New Roman" w:hAnsi="Times New Roman" w:eastAsia="宋体" w:cs="Times New Roman"/>
          <w:color w:val="000000"/>
          <w:kern w:val="0"/>
          <w:sz w:val="28"/>
          <w:szCs w:val="28"/>
          <w:lang w:val="en-US" w:eastAsia="zh-CN" w:bidi="ar"/>
        </w:rPr>
        <w:t>8</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320kW</w:t>
      </w:r>
      <w:r>
        <w:rPr>
          <w:rFonts w:hint="eastAsia" w:ascii="宋体" w:hAnsi="宋体" w:eastAsia="宋体" w:cs="宋体"/>
          <w:color w:val="000000"/>
          <w:kern w:val="0"/>
          <w:sz w:val="28"/>
          <w:szCs w:val="28"/>
          <w:lang w:val="en-US" w:eastAsia="zh-CN" w:bidi="ar"/>
        </w:rPr>
        <w:t>发电单元；每个</w:t>
      </w:r>
      <w:r>
        <w:rPr>
          <w:rFonts w:hint="default" w:ascii="Times New Roman" w:hAnsi="Times New Roman" w:eastAsia="宋体" w:cs="Times New Roman"/>
          <w:color w:val="000000"/>
          <w:kern w:val="0"/>
          <w:sz w:val="28"/>
          <w:szCs w:val="28"/>
          <w:lang w:val="en-US" w:eastAsia="zh-CN" w:bidi="ar"/>
        </w:rPr>
        <w:t>2.0MW</w:t>
      </w:r>
      <w:r>
        <w:rPr>
          <w:rFonts w:hint="eastAsia" w:ascii="宋体" w:hAnsi="宋体" w:eastAsia="宋体" w:cs="宋体"/>
          <w:color w:val="000000"/>
          <w:kern w:val="0"/>
          <w:sz w:val="28"/>
          <w:szCs w:val="28"/>
          <w:lang w:val="en-US" w:eastAsia="zh-CN" w:bidi="ar"/>
        </w:rPr>
        <w:t>光伏方阵包含</w:t>
      </w:r>
      <w:r>
        <w:rPr>
          <w:rFonts w:hint="default" w:ascii="Times New Roman" w:hAnsi="Times New Roman" w:eastAsia="宋体" w:cs="Times New Roman"/>
          <w:color w:val="000000"/>
          <w:kern w:val="0"/>
          <w:sz w:val="28"/>
          <w:szCs w:val="28"/>
          <w:lang w:val="en-US" w:eastAsia="zh-CN" w:bidi="ar"/>
        </w:rPr>
        <w:t>6</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320kW</w:t>
      </w:r>
      <w:r>
        <w:rPr>
          <w:rFonts w:hint="eastAsia" w:ascii="宋体" w:hAnsi="宋体" w:eastAsia="宋体" w:cs="宋体"/>
          <w:color w:val="000000"/>
          <w:kern w:val="0"/>
          <w:sz w:val="28"/>
          <w:szCs w:val="28"/>
          <w:lang w:val="en-US" w:eastAsia="zh-CN" w:bidi="ar"/>
        </w:rPr>
        <w:t>发电单元；每个</w:t>
      </w:r>
      <w:r>
        <w:rPr>
          <w:rFonts w:hint="default" w:ascii="Times New Roman" w:hAnsi="Times New Roman" w:eastAsia="宋体" w:cs="Times New Roman"/>
          <w:color w:val="000000"/>
          <w:kern w:val="0"/>
          <w:sz w:val="28"/>
          <w:szCs w:val="28"/>
          <w:lang w:val="en-US" w:eastAsia="zh-CN" w:bidi="ar"/>
        </w:rPr>
        <w:t>1.60MW</w:t>
      </w:r>
      <w:r>
        <w:rPr>
          <w:rFonts w:hint="eastAsia" w:ascii="宋体" w:hAnsi="宋体" w:eastAsia="宋体" w:cs="宋体"/>
          <w:color w:val="000000"/>
          <w:kern w:val="0"/>
          <w:sz w:val="28"/>
          <w:szCs w:val="28"/>
          <w:lang w:val="en-US" w:eastAsia="zh-CN" w:bidi="ar"/>
        </w:rPr>
        <w:t>光伏方阵包含</w:t>
      </w:r>
      <w:r>
        <w:rPr>
          <w:rFonts w:hint="default" w:ascii="Times New Roman" w:hAnsi="Times New Roman" w:eastAsia="宋体" w:cs="Times New Roman"/>
          <w:color w:val="000000"/>
          <w:kern w:val="0"/>
          <w:sz w:val="28"/>
          <w:szCs w:val="28"/>
          <w:lang w:val="en-US" w:eastAsia="zh-CN" w:bidi="ar"/>
        </w:rPr>
        <w:t>5</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320kW</w:t>
      </w:r>
      <w:r>
        <w:rPr>
          <w:rFonts w:hint="eastAsia" w:ascii="宋体" w:hAnsi="宋体" w:eastAsia="宋体" w:cs="宋体"/>
          <w:color w:val="000000"/>
          <w:kern w:val="0"/>
          <w:sz w:val="28"/>
          <w:szCs w:val="28"/>
          <w:lang w:val="en-US" w:eastAsia="zh-CN" w:bidi="ar"/>
        </w:rPr>
        <w:t xml:space="preserve">发电单元。本工程在曼景缅光伏电站 </w:t>
      </w:r>
      <w:r>
        <w:rPr>
          <w:rFonts w:hint="default" w:ascii="Times New Roman" w:hAnsi="Times New Roman" w:eastAsia="宋体" w:cs="Times New Roman"/>
          <w:color w:val="000000"/>
          <w:kern w:val="0"/>
          <w:sz w:val="28"/>
          <w:szCs w:val="28"/>
          <w:lang w:val="en-US" w:eastAsia="zh-CN" w:bidi="ar"/>
        </w:rPr>
        <w:t>220kV</w:t>
      </w:r>
      <w:r>
        <w:rPr>
          <w:rFonts w:hint="eastAsia" w:ascii="宋体" w:hAnsi="宋体" w:eastAsia="宋体" w:cs="宋体"/>
          <w:color w:val="000000"/>
          <w:kern w:val="0"/>
          <w:sz w:val="28"/>
          <w:szCs w:val="28"/>
          <w:lang w:val="en-US" w:eastAsia="zh-CN" w:bidi="ar"/>
        </w:rPr>
        <w:t>升压站内扩建</w:t>
      </w:r>
      <w:r>
        <w:rPr>
          <w:rFonts w:hint="default" w:ascii="Times New Roman" w:hAnsi="Times New Roman" w:eastAsia="宋体" w:cs="Times New Roman"/>
          <w:color w:val="000000"/>
          <w:kern w:val="0"/>
          <w:sz w:val="28"/>
          <w:szCs w:val="28"/>
          <w:lang w:val="en-US" w:eastAsia="zh-CN" w:bidi="ar"/>
        </w:rPr>
        <w:t>1</w:t>
      </w:r>
      <w:r>
        <w:rPr>
          <w:rFonts w:hint="eastAsia" w:ascii="宋体" w:hAnsi="宋体" w:eastAsia="宋体" w:cs="宋体"/>
          <w:color w:val="000000"/>
          <w:kern w:val="0"/>
          <w:sz w:val="28"/>
          <w:szCs w:val="28"/>
          <w:lang w:val="en-US" w:eastAsia="zh-CN" w:bidi="ar"/>
        </w:rPr>
        <w:t>台</w:t>
      </w:r>
      <w:r>
        <w:rPr>
          <w:rFonts w:hint="default" w:ascii="Times New Roman" w:hAnsi="Times New Roman" w:eastAsia="宋体" w:cs="Times New Roman"/>
          <w:color w:val="000000"/>
          <w:kern w:val="0"/>
          <w:sz w:val="28"/>
          <w:szCs w:val="28"/>
          <w:lang w:val="en-US" w:eastAsia="zh-CN" w:bidi="ar"/>
        </w:rPr>
        <w:t>220kV</w:t>
      </w:r>
      <w:r>
        <w:rPr>
          <w:rFonts w:hint="eastAsia" w:ascii="宋体" w:hAnsi="宋体" w:eastAsia="宋体" w:cs="宋体"/>
          <w:color w:val="000000"/>
          <w:kern w:val="0"/>
          <w:sz w:val="28"/>
          <w:szCs w:val="28"/>
          <w:lang w:val="en-US" w:eastAsia="zh-CN" w:bidi="ar"/>
        </w:rPr>
        <w:t>变压器及各电压等级配电装置，最终通过现有</w:t>
      </w:r>
      <w:r>
        <w:rPr>
          <w:rFonts w:hint="default" w:ascii="Times New Roman" w:hAnsi="Times New Roman" w:eastAsia="宋体" w:cs="Times New Roman"/>
          <w:color w:val="000000"/>
          <w:kern w:val="0"/>
          <w:sz w:val="28"/>
          <w:szCs w:val="28"/>
          <w:lang w:val="en-US" w:eastAsia="zh-CN" w:bidi="ar"/>
        </w:rPr>
        <w:t>220kV</w:t>
      </w:r>
      <w:r>
        <w:rPr>
          <w:rFonts w:hint="eastAsia" w:ascii="宋体" w:hAnsi="宋体" w:eastAsia="宋体" w:cs="宋体"/>
          <w:color w:val="000000"/>
          <w:kern w:val="0"/>
          <w:sz w:val="28"/>
          <w:szCs w:val="28"/>
          <w:lang w:val="en-US" w:eastAsia="zh-CN" w:bidi="ar"/>
        </w:rPr>
        <w:t>青缅线接入</w:t>
      </w:r>
      <w:r>
        <w:rPr>
          <w:rFonts w:hint="default" w:ascii="Times New Roman" w:hAnsi="Times New Roman" w:eastAsia="宋体" w:cs="Times New Roman"/>
          <w:color w:val="000000"/>
          <w:kern w:val="0"/>
          <w:sz w:val="28"/>
          <w:szCs w:val="28"/>
          <w:lang w:val="en-US" w:eastAsia="zh-CN" w:bidi="ar"/>
        </w:rPr>
        <w:t>220kV</w:t>
      </w:r>
      <w:r>
        <w:rPr>
          <w:rFonts w:hint="eastAsia" w:ascii="宋体" w:hAnsi="宋体" w:eastAsia="宋体" w:cs="宋体"/>
          <w:color w:val="000000"/>
          <w:kern w:val="0"/>
          <w:sz w:val="28"/>
          <w:szCs w:val="28"/>
          <w:lang w:val="en-US" w:eastAsia="zh-CN" w:bidi="ar"/>
        </w:rPr>
        <w:t>青云开关站。</w:t>
      </w:r>
    </w:p>
    <w:p w14:paraId="38933A97">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outlineLvl w:val="2"/>
        <w:rPr>
          <w:rFonts w:hint="eastAsia" w:ascii="宋体" w:hAnsi="宋体" w:eastAsia="宋体" w:cs="宋体"/>
          <w:b/>
          <w:bCs w:val="0"/>
          <w:color w:val="000000"/>
          <w:sz w:val="28"/>
          <w:szCs w:val="28"/>
          <w:lang w:val="en-US" w:eastAsia="zh-CN"/>
        </w:rPr>
      </w:pPr>
      <w:bookmarkStart w:id="166" w:name="_Toc8646"/>
      <w:r>
        <w:rPr>
          <w:rFonts w:hint="eastAsia" w:ascii="宋体" w:hAnsi="宋体" w:eastAsia="宋体" w:cs="宋体"/>
          <w:b/>
          <w:bCs w:val="0"/>
          <w:color w:val="000000"/>
          <w:sz w:val="28"/>
          <w:szCs w:val="28"/>
        </w:rPr>
        <w:t>2.</w:t>
      </w:r>
      <w:r>
        <w:rPr>
          <w:rFonts w:hint="eastAsia" w:ascii="宋体" w:hAnsi="宋体" w:eastAsia="宋体" w:cs="宋体"/>
          <w:b/>
          <w:bCs w:val="0"/>
          <w:color w:val="000000"/>
          <w:sz w:val="28"/>
          <w:szCs w:val="28"/>
          <w:lang w:val="en-US" w:eastAsia="zh-CN"/>
        </w:rPr>
        <w:t>1</w:t>
      </w:r>
      <w:r>
        <w:rPr>
          <w:rFonts w:hint="eastAsia" w:ascii="宋体" w:hAnsi="宋体" w:eastAsia="宋体" w:cs="宋体"/>
          <w:b/>
          <w:bCs w:val="0"/>
          <w:color w:val="000000"/>
          <w:sz w:val="28"/>
          <w:szCs w:val="28"/>
        </w:rPr>
        <w:t>.</w:t>
      </w:r>
      <w:r>
        <w:rPr>
          <w:rFonts w:hint="eastAsia" w:ascii="宋体" w:hAnsi="宋体" w:cs="宋体"/>
          <w:b/>
          <w:bCs w:val="0"/>
          <w:color w:val="000000"/>
          <w:sz w:val="28"/>
          <w:szCs w:val="28"/>
          <w:lang w:val="en-US" w:eastAsia="zh-CN"/>
        </w:rPr>
        <w:t>4</w:t>
      </w:r>
      <w:r>
        <w:rPr>
          <w:rFonts w:hint="eastAsia" w:ascii="宋体" w:hAnsi="宋体" w:eastAsia="宋体" w:cs="宋体"/>
          <w:b/>
          <w:bCs w:val="0"/>
          <w:color w:val="000000"/>
          <w:sz w:val="28"/>
          <w:szCs w:val="28"/>
        </w:rPr>
        <w:t xml:space="preserve"> </w:t>
      </w:r>
      <w:r>
        <w:rPr>
          <w:rFonts w:hint="eastAsia" w:ascii="宋体" w:hAnsi="宋体" w:eastAsia="宋体" w:cs="宋体"/>
          <w:b/>
          <w:bCs w:val="0"/>
          <w:color w:val="000000"/>
          <w:sz w:val="28"/>
          <w:szCs w:val="28"/>
          <w:lang w:val="en-US" w:eastAsia="zh-CN"/>
        </w:rPr>
        <w:t>建设历程</w:t>
      </w:r>
      <w:bookmarkEnd w:id="166"/>
    </w:p>
    <w:p w14:paraId="541ED108">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rPr>
          <w:rFonts w:hint="default" w:ascii="宋体" w:hAnsi="宋体" w:eastAsia="宋体" w:cs="宋体"/>
          <w:color w:val="auto"/>
          <w:sz w:val="28"/>
          <w:szCs w:val="28"/>
          <w:lang w:val="en-US" w:eastAsia="zh-CN"/>
        </w:rPr>
      </w:pPr>
      <w:r>
        <w:rPr>
          <w:rFonts w:hint="eastAsia"/>
          <w:color w:val="000000" w:themeColor="text1"/>
          <w:sz w:val="28"/>
          <w:szCs w:val="28"/>
          <w:lang w:eastAsia="zh-CN"/>
          <w14:textFill>
            <w14:solidFill>
              <w14:schemeClr w14:val="tx1"/>
            </w14:solidFill>
          </w14:textFill>
        </w:rPr>
        <w:t>《华能澜沧江（景洪）新能源有限公司</w:t>
      </w:r>
      <w:r>
        <w:rPr>
          <w:rFonts w:hint="eastAsia" w:ascii="宋体" w:hAnsi="宋体" w:eastAsia="宋体" w:cs="宋体"/>
          <w:color w:val="auto"/>
          <w:kern w:val="0"/>
          <w:sz w:val="28"/>
          <w:szCs w:val="28"/>
          <w:lang w:val="en-US" w:eastAsia="zh-CN" w:bidi="ar"/>
        </w:rPr>
        <w:t>景讷乡大寨村云盘光伏</w:t>
      </w:r>
      <w:r>
        <w:rPr>
          <w:rFonts w:hint="eastAsia" w:ascii="宋体" w:hAnsi="宋体" w:cs="宋体"/>
          <w:color w:val="auto"/>
          <w:kern w:val="0"/>
          <w:sz w:val="28"/>
          <w:szCs w:val="28"/>
          <w:lang w:val="en-US" w:eastAsia="zh-CN" w:bidi="ar"/>
        </w:rPr>
        <w:t>电站</w:t>
      </w:r>
    </w:p>
    <w:p w14:paraId="24D43EE4">
      <w:pPr>
        <w:keepNext w:val="0"/>
        <w:keepLines w:val="0"/>
        <w:pageBreakBefore w:val="0"/>
        <w:widowControl w:val="0"/>
        <w:kinsoku/>
        <w:wordWrap/>
        <w:overflowPunct/>
        <w:topLinePunct w:val="0"/>
        <w:autoSpaceDE/>
        <w:autoSpaceDN/>
        <w:bidi w:val="0"/>
        <w:adjustRightInd/>
        <w:snapToGrid/>
        <w:spacing w:line="420" w:lineRule="exact"/>
        <w:ind w:firstLine="280" w:firstLineChars="100"/>
        <w:textAlignment w:val="auto"/>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建设历程如下：</w:t>
      </w:r>
    </w:p>
    <w:p w14:paraId="464547C8">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560" w:firstLineChars="200"/>
        <w:textAlignment w:val="auto"/>
        <w:rPr>
          <w:rFonts w:hint="eastAsia" w:ascii="宋体" w:hAnsi="宋体" w:eastAsia="宋体" w:cs="宋体"/>
          <w:color w:val="0000FF"/>
          <w:sz w:val="28"/>
          <w:szCs w:val="28"/>
          <w:lang w:val="en-US" w:eastAsia="zh-CN"/>
        </w:rPr>
      </w:pPr>
      <w:r>
        <w:rPr>
          <w:rFonts w:hint="eastAsia" w:ascii="宋体" w:hAnsi="宋体" w:cs="宋体"/>
          <w:color w:val="000000" w:themeColor="text1"/>
          <w:sz w:val="28"/>
          <w:szCs w:val="28"/>
          <w:lang w:val="en-US" w:eastAsia="zh-CN"/>
          <w14:textFill>
            <w14:solidFill>
              <w14:schemeClr w14:val="tx1"/>
            </w14:solidFill>
          </w14:textFill>
        </w:rPr>
        <w:t>1.</w:t>
      </w:r>
      <w:r>
        <w:rPr>
          <w:rFonts w:hint="eastAsia" w:ascii="宋体" w:hAnsi="宋体" w:eastAsia="宋体" w:cs="宋体"/>
          <w:color w:val="000000" w:themeColor="text1"/>
          <w:sz w:val="28"/>
          <w:szCs w:val="28"/>
          <w:lang w:eastAsia="zh-CN"/>
          <w14:textFill>
            <w14:solidFill>
              <w14:schemeClr w14:val="tx1"/>
            </w14:solidFill>
          </w14:textFill>
        </w:rPr>
        <w:t>2022年08月02日，</w:t>
      </w:r>
      <w:r>
        <w:rPr>
          <w:rFonts w:hint="eastAsia" w:ascii="宋体" w:hAnsi="宋体" w:eastAsia="宋体" w:cs="宋体"/>
          <w:color w:val="000000" w:themeColor="text1"/>
          <w:sz w:val="28"/>
          <w:szCs w:val="28"/>
          <w:lang w:val="en-US" w:eastAsia="zh-CN"/>
          <w14:textFill>
            <w14:solidFill>
              <w14:schemeClr w14:val="tx1"/>
            </w14:solidFill>
          </w14:textFill>
        </w:rPr>
        <w:t>取得</w:t>
      </w:r>
      <w:r>
        <w:rPr>
          <w:rFonts w:hint="eastAsia" w:ascii="宋体" w:hAnsi="宋体" w:eastAsia="宋体" w:cs="宋体"/>
          <w:color w:val="000000" w:themeColor="text1"/>
          <w:sz w:val="28"/>
          <w:szCs w:val="28"/>
          <w:lang w:eastAsia="zh-CN"/>
          <w14:textFill>
            <w14:solidFill>
              <w14:schemeClr w14:val="tx1"/>
            </w14:solidFill>
          </w14:textFill>
        </w:rPr>
        <w:t>景洪市发展和改革局《云南省</w:t>
      </w:r>
      <w:r>
        <w:rPr>
          <w:rFonts w:hint="eastAsia" w:ascii="宋体" w:hAnsi="宋体" w:eastAsia="宋体" w:cs="宋体"/>
          <w:color w:val="000000" w:themeColor="text1"/>
          <w:sz w:val="28"/>
          <w:szCs w:val="28"/>
          <w:lang w:val="en-US" w:eastAsia="zh-CN"/>
          <w14:textFill>
            <w14:solidFill>
              <w14:schemeClr w14:val="tx1"/>
            </w14:solidFill>
          </w14:textFill>
        </w:rPr>
        <w:t>固定资产投资</w:t>
      </w:r>
      <w:r>
        <w:rPr>
          <w:rFonts w:hint="eastAsia" w:ascii="宋体" w:hAnsi="宋体" w:eastAsia="宋体" w:cs="宋体"/>
          <w:color w:val="000000" w:themeColor="text1"/>
          <w:sz w:val="28"/>
          <w:szCs w:val="28"/>
          <w:lang w:eastAsia="zh-CN"/>
          <w14:textFill>
            <w14:solidFill>
              <w14:schemeClr w14:val="tx1"/>
            </w14:solidFill>
          </w14:textFill>
        </w:rPr>
        <w:t>项目备案证》（备案号：2208-532801-04-01-</w:t>
      </w:r>
      <w:r>
        <w:rPr>
          <w:rFonts w:hint="eastAsia" w:ascii="宋体" w:hAnsi="宋体" w:cs="宋体"/>
          <w:color w:val="000000" w:themeColor="text1"/>
          <w:sz w:val="28"/>
          <w:szCs w:val="28"/>
          <w:lang w:val="en-US" w:eastAsia="zh-CN"/>
          <w14:textFill>
            <w14:solidFill>
              <w14:schemeClr w14:val="tx1"/>
            </w14:solidFill>
          </w14:textFill>
        </w:rPr>
        <w:t>507389</w:t>
      </w:r>
      <w:r>
        <w:rPr>
          <w:rFonts w:hint="eastAsia" w:ascii="宋体" w:hAnsi="宋体" w:eastAsia="宋体" w:cs="宋体"/>
          <w:color w:val="000000" w:themeColor="text1"/>
          <w:sz w:val="28"/>
          <w:szCs w:val="28"/>
          <w:lang w:eastAsia="zh-CN"/>
          <w14:textFill>
            <w14:solidFill>
              <w14:schemeClr w14:val="tx1"/>
            </w14:solidFill>
          </w14:textFill>
        </w:rPr>
        <w:t>）；</w:t>
      </w:r>
    </w:p>
    <w:p w14:paraId="032824EE">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lang w:val="zh-CN" w:eastAsia="zh-CN"/>
          <w14:textFill>
            <w14:solidFill>
              <w14:schemeClr w14:val="tx1"/>
            </w14:solidFill>
          </w14:textFill>
        </w:rPr>
        <w:t>202</w:t>
      </w:r>
      <w:r>
        <w:rPr>
          <w:rFonts w:hint="eastAsia" w:ascii="宋体" w:hAnsi="宋体" w:cs="宋体"/>
          <w:color w:val="000000" w:themeColor="text1"/>
          <w:sz w:val="28"/>
          <w:szCs w:val="28"/>
          <w:lang w:val="en-US" w:eastAsia="zh-CN"/>
          <w14:textFill>
            <w14:solidFill>
              <w14:schemeClr w14:val="tx1"/>
            </w14:solidFill>
          </w14:textFill>
        </w:rPr>
        <w:t>3</w:t>
      </w:r>
      <w:r>
        <w:rPr>
          <w:rFonts w:hint="eastAsia" w:ascii="宋体" w:hAnsi="宋体" w:eastAsia="宋体" w:cs="宋体"/>
          <w:color w:val="000000" w:themeColor="text1"/>
          <w:sz w:val="28"/>
          <w:szCs w:val="28"/>
          <w:lang w:val="zh-CN" w:eastAsia="zh-CN"/>
          <w14:textFill>
            <w14:solidFill>
              <w14:schemeClr w14:val="tx1"/>
            </w14:solidFill>
          </w14:textFill>
        </w:rPr>
        <w:t>年</w:t>
      </w:r>
      <w:r>
        <w:rPr>
          <w:rFonts w:hint="eastAsia" w:ascii="宋体" w:hAnsi="宋体" w:cs="宋体"/>
          <w:color w:val="000000" w:themeColor="text1"/>
          <w:sz w:val="28"/>
          <w:szCs w:val="28"/>
          <w:lang w:val="en-US" w:eastAsia="zh-CN"/>
          <w14:textFill>
            <w14:solidFill>
              <w14:schemeClr w14:val="tx1"/>
            </w14:solidFill>
          </w14:textFill>
        </w:rPr>
        <w:t>08</w:t>
      </w:r>
      <w:r>
        <w:rPr>
          <w:rFonts w:hint="eastAsia" w:ascii="宋体" w:hAnsi="宋体" w:eastAsia="宋体" w:cs="宋体"/>
          <w:color w:val="000000" w:themeColor="text1"/>
          <w:sz w:val="28"/>
          <w:szCs w:val="28"/>
          <w:lang w:val="zh-CN" w:eastAsia="zh-CN"/>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委托</w:t>
      </w:r>
      <w:r>
        <w:rPr>
          <w:rFonts w:hint="eastAsia" w:ascii="宋体" w:hAnsi="宋体" w:cs="宋体"/>
          <w:color w:val="000000" w:themeColor="text1"/>
          <w:sz w:val="28"/>
          <w:szCs w:val="28"/>
          <w:lang w:val="en-US" w:eastAsia="zh-CN"/>
          <w14:textFill>
            <w14:solidFill>
              <w14:schemeClr w14:val="tx1"/>
            </w14:solidFill>
          </w14:textFill>
        </w:rPr>
        <w:t>大理恒泰安全科技有限公司</w:t>
      </w:r>
      <w:r>
        <w:rPr>
          <w:rFonts w:hint="eastAsia" w:ascii="宋体" w:hAnsi="宋体" w:eastAsia="宋体" w:cs="宋体"/>
          <w:color w:val="000000" w:themeColor="text1"/>
          <w:sz w:val="28"/>
          <w:szCs w:val="28"/>
          <w:lang w:val="en-US" w:eastAsia="zh-CN"/>
          <w14:textFill>
            <w14:solidFill>
              <w14:schemeClr w14:val="tx1"/>
            </w14:solidFill>
          </w14:textFill>
        </w:rPr>
        <w:t>编制完成</w:t>
      </w:r>
      <w:r>
        <w:rPr>
          <w:rFonts w:hint="eastAsia" w:ascii="宋体" w:hAnsi="宋体" w:eastAsia="宋体" w:cs="宋体"/>
          <w:color w:val="000000" w:themeColor="text1"/>
          <w:sz w:val="28"/>
          <w:szCs w:val="28"/>
          <w:lang w:val="zh-CN" w:eastAsia="zh-CN"/>
          <w14:textFill>
            <w14:solidFill>
              <w14:schemeClr w14:val="tx1"/>
            </w14:solidFill>
          </w14:textFill>
        </w:rPr>
        <w:t>《华能澜沧江(景洪)新能源有限公司</w:t>
      </w:r>
      <w:r>
        <w:rPr>
          <w:rFonts w:hint="eastAsia" w:ascii="宋体" w:hAnsi="宋体" w:eastAsia="宋体" w:cs="宋体"/>
          <w:color w:val="auto"/>
          <w:kern w:val="0"/>
          <w:sz w:val="28"/>
          <w:szCs w:val="28"/>
          <w:lang w:val="en-US" w:eastAsia="zh-CN" w:bidi="ar"/>
        </w:rPr>
        <w:t>景讷乡大寨村云盘光伏</w:t>
      </w:r>
      <w:r>
        <w:rPr>
          <w:rFonts w:hint="eastAsia" w:ascii="宋体" w:hAnsi="宋体" w:cs="宋体"/>
          <w:color w:val="auto"/>
          <w:kern w:val="0"/>
          <w:sz w:val="28"/>
          <w:szCs w:val="28"/>
          <w:lang w:val="en-US" w:eastAsia="zh-CN" w:bidi="ar"/>
        </w:rPr>
        <w:t>电站</w:t>
      </w:r>
      <w:r>
        <w:rPr>
          <w:rFonts w:hint="eastAsia" w:ascii="宋体" w:hAnsi="宋体" w:eastAsia="宋体" w:cs="宋体"/>
          <w:color w:val="000000" w:themeColor="text1"/>
          <w:sz w:val="28"/>
          <w:szCs w:val="28"/>
          <w:lang w:val="zh-CN" w:eastAsia="zh-CN"/>
          <w14:textFill>
            <w14:solidFill>
              <w14:schemeClr w14:val="tx1"/>
            </w14:solidFill>
          </w14:textFill>
        </w:rPr>
        <w:t>安全生产条件和设施综合分析报告》；</w:t>
      </w:r>
    </w:p>
    <w:p w14:paraId="19CA0DBA">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3.</w:t>
      </w:r>
      <w:r>
        <w:rPr>
          <w:rFonts w:hint="eastAsia" w:ascii="宋体" w:hAnsi="宋体" w:eastAsia="宋体" w:cs="宋体"/>
          <w:color w:val="000000" w:themeColor="text1"/>
          <w:sz w:val="28"/>
          <w:szCs w:val="28"/>
          <w:lang w:val="en-US" w:eastAsia="zh-CN"/>
          <w14:textFill>
            <w14:solidFill>
              <w14:schemeClr w14:val="tx1"/>
            </w14:solidFill>
          </w14:textFill>
        </w:rPr>
        <w:t>2024年</w:t>
      </w:r>
      <w:r>
        <w:rPr>
          <w:rFonts w:hint="eastAsia" w:ascii="宋体" w:hAnsi="宋体" w:cs="宋体"/>
          <w:color w:val="000000" w:themeColor="text1"/>
          <w:sz w:val="28"/>
          <w:szCs w:val="28"/>
          <w:lang w:val="en-US" w:eastAsia="zh-CN"/>
          <w14:textFill>
            <w14:solidFill>
              <w14:schemeClr w14:val="tx1"/>
            </w14:solidFill>
          </w14:textFill>
        </w:rPr>
        <w:t>8</w:t>
      </w:r>
      <w:r>
        <w:rPr>
          <w:rFonts w:hint="eastAsia" w:ascii="宋体" w:hAnsi="宋体" w:eastAsia="宋体" w:cs="宋体"/>
          <w:color w:val="000000" w:themeColor="text1"/>
          <w:sz w:val="28"/>
          <w:szCs w:val="28"/>
          <w:lang w:val="en-US" w:eastAsia="zh-CN"/>
          <w14:textFill>
            <w14:solidFill>
              <w14:schemeClr w14:val="tx1"/>
            </w14:solidFill>
          </w14:textFill>
        </w:rPr>
        <w:t>月，委托</w:t>
      </w:r>
      <w:r>
        <w:rPr>
          <w:rFonts w:hint="eastAsia" w:ascii="宋体" w:hAnsi="宋体" w:eastAsia="宋体" w:cs="宋体"/>
          <w:color w:val="000000" w:themeColor="text1"/>
          <w:sz w:val="28"/>
          <w:szCs w:val="28"/>
          <w:lang w:val="zh-CN" w:eastAsia="zh-CN"/>
          <w14:textFill>
            <w14:solidFill>
              <w14:schemeClr w14:val="tx1"/>
            </w14:solidFill>
          </w14:textFill>
        </w:rPr>
        <w:t>中舜国际工程设计有限公司</w:t>
      </w:r>
      <w:r>
        <w:rPr>
          <w:rFonts w:hint="eastAsia" w:ascii="宋体" w:hAnsi="宋体" w:eastAsia="宋体" w:cs="宋体"/>
          <w:color w:val="000000" w:themeColor="text1"/>
          <w:sz w:val="28"/>
          <w:szCs w:val="28"/>
          <w:lang w:val="en-US" w:eastAsia="zh-CN"/>
          <w14:textFill>
            <w14:solidFill>
              <w14:schemeClr w14:val="tx1"/>
            </w14:solidFill>
          </w14:textFill>
        </w:rPr>
        <w:t>编制完成</w:t>
      </w:r>
      <w:r>
        <w:rPr>
          <w:rFonts w:hint="eastAsia" w:ascii="宋体" w:hAnsi="宋体" w:eastAsia="宋体" w:cs="宋体"/>
          <w:color w:val="000000" w:themeColor="text1"/>
          <w:sz w:val="28"/>
          <w:szCs w:val="28"/>
          <w:lang w:val="zh-CN" w:eastAsia="zh-CN"/>
          <w14:textFill>
            <w14:solidFill>
              <w14:schemeClr w14:val="tx1"/>
            </w14:solidFill>
          </w14:textFill>
        </w:rPr>
        <w:t>《华能澜沧江（景洪）新能源有限公司</w:t>
      </w:r>
      <w:r>
        <w:rPr>
          <w:rFonts w:hint="eastAsia" w:ascii="宋体" w:hAnsi="宋体" w:eastAsia="宋体" w:cs="宋体"/>
          <w:color w:val="auto"/>
          <w:kern w:val="0"/>
          <w:sz w:val="28"/>
          <w:szCs w:val="28"/>
          <w:lang w:val="en-US" w:eastAsia="zh-CN" w:bidi="ar"/>
        </w:rPr>
        <w:t>景讷乡大寨村云盘光伏</w:t>
      </w:r>
      <w:r>
        <w:rPr>
          <w:rFonts w:hint="eastAsia" w:ascii="宋体" w:hAnsi="宋体" w:cs="宋体"/>
          <w:color w:val="auto"/>
          <w:kern w:val="0"/>
          <w:sz w:val="28"/>
          <w:szCs w:val="28"/>
          <w:lang w:val="en-US" w:eastAsia="zh-CN" w:bidi="ar"/>
        </w:rPr>
        <w:t>电站</w:t>
      </w:r>
      <w:r>
        <w:rPr>
          <w:rFonts w:hint="eastAsia" w:ascii="宋体" w:hAnsi="宋体" w:eastAsia="宋体" w:cs="宋体"/>
          <w:color w:val="000000" w:themeColor="text1"/>
          <w:sz w:val="28"/>
          <w:szCs w:val="28"/>
          <w:lang w:val="en-US" w:eastAsia="zh-CN"/>
          <w14:textFill>
            <w14:solidFill>
              <w14:schemeClr w14:val="tx1"/>
            </w14:solidFill>
          </w14:textFill>
        </w:rPr>
        <w:t>安全设施设计</w:t>
      </w:r>
      <w:r>
        <w:rPr>
          <w:rFonts w:hint="eastAsia" w:ascii="宋体" w:hAnsi="宋体" w:eastAsia="宋体" w:cs="宋体"/>
          <w:color w:val="000000" w:themeColor="text1"/>
          <w:sz w:val="28"/>
          <w:szCs w:val="28"/>
          <w:lang w:val="zh-CN" w:eastAsia="zh-CN"/>
          <w14:textFill>
            <w14:solidFill>
              <w14:schemeClr w14:val="tx1"/>
            </w14:solidFill>
          </w14:textFill>
        </w:rPr>
        <w:t>》</w:t>
      </w:r>
      <w:r>
        <w:rPr>
          <w:rFonts w:hint="eastAsia" w:ascii="宋体" w:hAnsi="宋体" w:cs="宋体"/>
          <w:color w:val="000000" w:themeColor="text1"/>
          <w:sz w:val="28"/>
          <w:szCs w:val="28"/>
          <w:lang w:val="zh-CN" w:eastAsia="zh-CN"/>
          <w14:textFill>
            <w14:solidFill>
              <w14:schemeClr w14:val="tx1"/>
            </w14:solidFill>
          </w14:textFill>
        </w:rPr>
        <w:t>；</w:t>
      </w:r>
    </w:p>
    <w:p w14:paraId="3C9C0F14">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560" w:firstLineChars="200"/>
        <w:textAlignment w:val="auto"/>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4.2024年8月委托华东勘测设计研究院有限公司编制完成《景洪市景讷乡大寨村云盘光伏发电项目岩土工程勘察报告（详细勘察）》。</w:t>
      </w:r>
    </w:p>
    <w:p w14:paraId="362D6F5C">
      <w:pPr>
        <w:keepNext w:val="0"/>
        <w:keepLines w:val="0"/>
        <w:pageBreakBefore w:val="0"/>
        <w:widowControl w:val="0"/>
        <w:suppressLineNumbers w:val="0"/>
        <w:kinsoku/>
        <w:wordWrap/>
        <w:overflowPunct/>
        <w:topLinePunct w:val="0"/>
        <w:autoSpaceDE/>
        <w:autoSpaceDN/>
        <w:bidi w:val="0"/>
        <w:spacing w:line="420" w:lineRule="exact"/>
        <w:ind w:firstLine="560" w:firstLineChars="200"/>
        <w:jc w:val="left"/>
        <w:textAlignment w:val="auto"/>
        <w:rPr>
          <w:rFonts w:hint="default" w:ascii="宋体" w:hAnsi="宋体" w:eastAsia="宋体" w:cs="宋体"/>
          <w:b/>
          <w:bCs w:val="0"/>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项目于2024年8月开工，于</w:t>
      </w:r>
      <w:r>
        <w:rPr>
          <w:rFonts w:hint="eastAsia" w:ascii="宋体" w:hAnsi="宋体" w:eastAsia="宋体" w:cs="宋体"/>
          <w:color w:val="000000" w:themeColor="text1"/>
          <w:sz w:val="28"/>
          <w:szCs w:val="28"/>
          <w:highlight w:val="none"/>
          <w14:textFill>
            <w14:solidFill>
              <w14:schemeClr w14:val="tx1"/>
            </w14:solidFill>
          </w14:textFill>
        </w:rPr>
        <w:t>202</w:t>
      </w:r>
      <w:r>
        <w:rPr>
          <w:rFonts w:hint="eastAsia" w:ascii="宋体" w:hAnsi="宋体" w:eastAsia="宋体" w:cs="宋体"/>
          <w:color w:val="000000" w:themeColor="text1"/>
          <w:sz w:val="28"/>
          <w:szCs w:val="28"/>
          <w:highlight w:val="none"/>
          <w:lang w:val="en-US" w:eastAsia="zh-CN"/>
          <w14:textFill>
            <w14:solidFill>
              <w14:schemeClr w14:val="tx1"/>
            </w14:solidFill>
          </w14:textFill>
        </w:rPr>
        <w:t>4</w:t>
      </w:r>
      <w:r>
        <w:rPr>
          <w:rFonts w:hint="eastAsia" w:ascii="宋体" w:hAnsi="宋体" w:eastAsia="宋体" w:cs="宋体"/>
          <w:color w:val="000000" w:themeColor="text1"/>
          <w:sz w:val="28"/>
          <w:szCs w:val="28"/>
          <w:highlight w:val="none"/>
          <w14:textFill>
            <w14:solidFill>
              <w14:schemeClr w14:val="tx1"/>
            </w14:solidFill>
          </w14:textFill>
        </w:rPr>
        <w:t>年</w:t>
      </w:r>
      <w:r>
        <w:rPr>
          <w:rFonts w:hint="eastAsia" w:ascii="宋体" w:hAnsi="宋体" w:cs="宋体"/>
          <w:color w:val="000000" w:themeColor="text1"/>
          <w:sz w:val="28"/>
          <w:szCs w:val="28"/>
          <w:highlight w:val="none"/>
          <w:lang w:val="en-US" w:eastAsia="zh-CN"/>
          <w14:textFill>
            <w14:solidFill>
              <w14:schemeClr w14:val="tx1"/>
            </w14:solidFill>
          </w14:textFill>
        </w:rPr>
        <w:t>12</w:t>
      </w:r>
      <w:r>
        <w:rPr>
          <w:rFonts w:hint="eastAsia" w:ascii="宋体" w:hAnsi="宋体" w:eastAsia="宋体" w:cs="宋体"/>
          <w:color w:val="000000" w:themeColor="text1"/>
          <w:sz w:val="28"/>
          <w:szCs w:val="28"/>
          <w:highlight w:val="none"/>
          <w14:textFill>
            <w14:solidFill>
              <w14:schemeClr w14:val="tx1"/>
            </w14:solidFill>
          </w14:textFill>
        </w:rPr>
        <w:t>月</w:t>
      </w:r>
      <w:r>
        <w:rPr>
          <w:rFonts w:hint="eastAsia" w:ascii="宋体" w:hAnsi="宋体" w:eastAsia="宋体" w:cs="宋体"/>
          <w:color w:val="000000" w:themeColor="text1"/>
          <w:sz w:val="28"/>
          <w:szCs w:val="28"/>
          <w:highlight w:val="none"/>
          <w:lang w:val="en-US" w:eastAsia="zh-CN"/>
          <w14:textFill>
            <w14:solidFill>
              <w14:schemeClr w14:val="tx1"/>
            </w14:solidFill>
          </w14:textFill>
        </w:rPr>
        <w:t>2</w:t>
      </w:r>
      <w:r>
        <w:rPr>
          <w:rFonts w:hint="eastAsia" w:ascii="宋体" w:hAnsi="宋体" w:cs="宋体"/>
          <w:color w:val="000000" w:themeColor="text1"/>
          <w:sz w:val="28"/>
          <w:szCs w:val="28"/>
          <w:highlight w:val="none"/>
          <w:lang w:val="en-US" w:eastAsia="zh-CN"/>
          <w14:textFill>
            <w14:solidFill>
              <w14:schemeClr w14:val="tx1"/>
            </w14:solidFill>
          </w14:textFill>
        </w:rPr>
        <w:t>9</w:t>
      </w:r>
      <w:r>
        <w:rPr>
          <w:rFonts w:hint="eastAsia" w:ascii="宋体" w:hAnsi="宋体" w:eastAsia="宋体" w:cs="宋体"/>
          <w:color w:val="000000" w:themeColor="text1"/>
          <w:sz w:val="28"/>
          <w:szCs w:val="28"/>
          <w:highlight w:val="none"/>
          <w14:textFill>
            <w14:solidFill>
              <w14:schemeClr w14:val="tx1"/>
            </w14:solidFill>
          </w14:textFill>
        </w:rPr>
        <w:t>日</w:t>
      </w:r>
      <w:r>
        <w:rPr>
          <w:rFonts w:hint="eastAsia" w:ascii="宋体" w:hAnsi="宋体" w:eastAsia="宋体" w:cs="宋体"/>
          <w:color w:val="000000" w:themeColor="text1"/>
          <w:sz w:val="28"/>
          <w:szCs w:val="28"/>
          <w:highlight w:val="none"/>
          <w:lang w:val="en-US" w:eastAsia="zh-CN"/>
          <w14:textFill>
            <w14:solidFill>
              <w14:schemeClr w14:val="tx1"/>
            </w14:solidFill>
          </w14:textFill>
        </w:rPr>
        <w:t>完成机组投运前工程验收，</w:t>
      </w:r>
      <w:r>
        <w:rPr>
          <w:rFonts w:hint="eastAsia" w:ascii="宋体" w:hAnsi="宋体" w:cs="宋体"/>
          <w:color w:val="000000" w:themeColor="text1"/>
          <w:sz w:val="28"/>
          <w:szCs w:val="28"/>
          <w:highlight w:val="none"/>
          <w:lang w:val="en-US" w:eastAsia="zh-CN"/>
          <w14:textFill>
            <w14:solidFill>
              <w14:schemeClr w14:val="tx1"/>
            </w14:solidFill>
          </w14:textFill>
        </w:rPr>
        <w:t>2024年12</w:t>
      </w:r>
      <w:r>
        <w:rPr>
          <w:rFonts w:hint="eastAsia" w:ascii="宋体" w:hAnsi="宋体" w:eastAsia="宋体" w:cs="宋体"/>
          <w:color w:val="000000" w:themeColor="text1"/>
          <w:sz w:val="28"/>
          <w:szCs w:val="28"/>
          <w:highlight w:val="none"/>
          <w:lang w:val="en-US" w:eastAsia="zh-CN"/>
          <w14:textFill>
            <w14:solidFill>
              <w14:schemeClr w14:val="tx1"/>
            </w14:solidFill>
          </w14:textFill>
        </w:rPr>
        <w:t>月</w:t>
      </w:r>
      <w:r>
        <w:rPr>
          <w:rFonts w:hint="eastAsia" w:ascii="宋体" w:hAnsi="宋体" w:cs="宋体"/>
          <w:color w:val="000000" w:themeColor="text1"/>
          <w:sz w:val="28"/>
          <w:szCs w:val="28"/>
          <w:highlight w:val="none"/>
          <w:lang w:val="en-US" w:eastAsia="zh-CN"/>
          <w14:textFill>
            <w14:solidFill>
              <w14:schemeClr w14:val="tx1"/>
            </w14:solidFill>
          </w14:textFill>
        </w:rPr>
        <w:t>31</w:t>
      </w:r>
      <w:r>
        <w:rPr>
          <w:rFonts w:hint="eastAsia" w:ascii="宋体" w:hAnsi="宋体" w:eastAsia="宋体" w:cs="宋体"/>
          <w:color w:val="000000" w:themeColor="text1"/>
          <w:sz w:val="28"/>
          <w:szCs w:val="28"/>
          <w:highlight w:val="none"/>
          <w:lang w:val="en-US" w:eastAsia="zh-CN"/>
          <w14:textFill>
            <w14:solidFill>
              <w14:schemeClr w14:val="tx1"/>
            </w14:solidFill>
          </w14:textFill>
        </w:rPr>
        <w:t>日</w:t>
      </w:r>
      <w:r>
        <w:rPr>
          <w:rFonts w:hint="eastAsia" w:ascii="宋体" w:hAnsi="宋体" w:cs="宋体"/>
          <w:color w:val="000000" w:themeColor="text1"/>
          <w:sz w:val="28"/>
          <w:szCs w:val="28"/>
          <w:highlight w:val="none"/>
          <w:lang w:val="en-US" w:eastAsia="zh-CN"/>
          <w14:textFill>
            <w14:solidFill>
              <w14:schemeClr w14:val="tx1"/>
            </w14:solidFill>
          </w14:textFill>
        </w:rPr>
        <w:t>首次</w:t>
      </w:r>
      <w:r>
        <w:rPr>
          <w:rFonts w:hint="eastAsia" w:ascii="宋体" w:hAnsi="宋体" w:eastAsia="宋体" w:cs="宋体"/>
          <w:color w:val="000000" w:themeColor="text1"/>
          <w:sz w:val="28"/>
          <w:szCs w:val="28"/>
          <w:highlight w:val="none"/>
          <w:lang w:val="en-US" w:eastAsia="zh-CN"/>
          <w14:textFill>
            <w14:solidFill>
              <w14:schemeClr w14:val="tx1"/>
            </w14:solidFill>
          </w14:textFill>
        </w:rPr>
        <w:t>接入</w:t>
      </w:r>
      <w:r>
        <w:rPr>
          <w:rFonts w:hint="eastAsia" w:ascii="宋体" w:hAnsi="宋体" w:cs="宋体"/>
          <w:color w:val="000000" w:themeColor="text1"/>
          <w:sz w:val="28"/>
          <w:szCs w:val="28"/>
          <w:highlight w:val="none"/>
          <w:lang w:val="en-US" w:eastAsia="zh-CN"/>
          <w14:textFill>
            <w14:solidFill>
              <w14:schemeClr w14:val="tx1"/>
            </w14:solidFill>
          </w14:textFill>
        </w:rPr>
        <w:t>西双版纳</w:t>
      </w:r>
      <w:r>
        <w:rPr>
          <w:rFonts w:hint="eastAsia" w:ascii="宋体" w:hAnsi="宋体" w:eastAsia="宋体" w:cs="宋体"/>
          <w:color w:val="000000" w:themeColor="text1"/>
          <w:sz w:val="28"/>
          <w:szCs w:val="28"/>
          <w:highlight w:val="none"/>
          <w:lang w:val="en-US" w:eastAsia="zh-CN"/>
          <w14:textFill>
            <w14:solidFill>
              <w14:schemeClr w14:val="tx1"/>
            </w14:solidFill>
          </w14:textFill>
        </w:rPr>
        <w:t>电网并网调试运行</w:t>
      </w:r>
      <w:r>
        <w:rPr>
          <w:rFonts w:hint="eastAsia" w:ascii="宋体" w:hAnsi="宋体" w:cs="宋体"/>
          <w:color w:val="000000" w:themeColor="text1"/>
          <w:sz w:val="28"/>
          <w:szCs w:val="28"/>
          <w:highlight w:val="none"/>
          <w:lang w:val="en-US" w:eastAsia="zh-CN"/>
          <w14:textFill>
            <w14:solidFill>
              <w14:schemeClr w14:val="tx1"/>
            </w14:solidFill>
          </w14:textFill>
        </w:rPr>
        <w:t>，</w:t>
      </w:r>
      <w:r>
        <w:rPr>
          <w:rFonts w:hint="eastAsia" w:ascii="宋体" w:hAnsi="宋体" w:eastAsia="宋体" w:cs="宋体"/>
          <w:color w:val="000000" w:themeColor="text1"/>
          <w:kern w:val="0"/>
          <w:sz w:val="28"/>
          <w:szCs w:val="28"/>
          <w:lang w:val="en-US" w:eastAsia="zh-CN" w:bidi="ar"/>
          <w14:textFill>
            <w14:solidFill>
              <w14:schemeClr w14:val="tx1"/>
            </w14:solidFill>
          </w14:textFill>
        </w:rPr>
        <w:t>2025年5月</w:t>
      </w:r>
      <w:r>
        <w:rPr>
          <w:rFonts w:hint="eastAsia" w:ascii="宋体" w:hAnsi="宋体" w:cs="宋体"/>
          <w:color w:val="000000" w:themeColor="text1"/>
          <w:kern w:val="0"/>
          <w:sz w:val="28"/>
          <w:szCs w:val="28"/>
          <w:lang w:val="en-US" w:eastAsia="zh-CN" w:bidi="ar"/>
          <w14:textFill>
            <w14:solidFill>
              <w14:schemeClr w14:val="tx1"/>
            </w14:solidFill>
          </w14:textFill>
        </w:rPr>
        <w:t>7</w:t>
      </w:r>
      <w:r>
        <w:rPr>
          <w:rFonts w:hint="eastAsia" w:ascii="宋体" w:hAnsi="宋体" w:eastAsia="宋体" w:cs="宋体"/>
          <w:color w:val="000000" w:themeColor="text1"/>
          <w:kern w:val="0"/>
          <w:sz w:val="28"/>
          <w:szCs w:val="28"/>
          <w:lang w:val="en-US" w:eastAsia="zh-CN" w:bidi="ar"/>
          <w14:textFill>
            <w14:solidFill>
              <w14:schemeClr w14:val="tx1"/>
            </w14:solidFill>
          </w14:textFill>
        </w:rPr>
        <w:t>日完成电网运行必需的涉网试验项目</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r>
        <w:rPr>
          <w:rFonts w:hint="eastAsia" w:ascii="宋体" w:hAnsi="宋体" w:eastAsia="宋体" w:cs="宋体"/>
          <w:color w:val="000000" w:themeColor="text1"/>
          <w:sz w:val="28"/>
          <w:szCs w:val="28"/>
          <w:lang w:eastAsia="zh-CN"/>
          <w14:textFill>
            <w14:solidFill>
              <w14:schemeClr w14:val="tx1"/>
            </w14:solidFill>
          </w14:textFill>
        </w:rPr>
        <w:t>项目前期按照要求完善安全设施三同时手续。202</w:t>
      </w: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lang w:eastAsia="zh-CN"/>
          <w14:textFill>
            <w14:solidFill>
              <w14:schemeClr w14:val="tx1"/>
            </w14:solidFill>
          </w14:textFill>
        </w:rPr>
        <w:t>年</w:t>
      </w:r>
      <w:r>
        <w:rPr>
          <w:rFonts w:hint="eastAsia" w:ascii="宋体" w:hAnsi="宋体" w:cs="宋体"/>
          <w:color w:val="000000" w:themeColor="text1"/>
          <w:sz w:val="28"/>
          <w:szCs w:val="28"/>
          <w:lang w:val="en-US" w:eastAsia="zh-CN"/>
          <w14:textFill>
            <w14:solidFill>
              <w14:schemeClr w14:val="tx1"/>
            </w14:solidFill>
          </w14:textFill>
        </w:rPr>
        <w:t>8</w:t>
      </w:r>
      <w:r>
        <w:rPr>
          <w:rFonts w:hint="eastAsia" w:ascii="宋体" w:hAnsi="宋体" w:eastAsia="宋体" w:cs="宋体"/>
          <w:color w:val="000000" w:themeColor="text1"/>
          <w:sz w:val="28"/>
          <w:szCs w:val="28"/>
          <w:lang w:eastAsia="zh-CN"/>
          <w14:textFill>
            <w14:solidFill>
              <w14:schemeClr w14:val="tx1"/>
            </w14:solidFill>
          </w14:textFill>
        </w:rPr>
        <w:t>月</w:t>
      </w:r>
      <w:r>
        <w:rPr>
          <w:rFonts w:hint="eastAsia" w:ascii="宋体" w:hAnsi="宋体" w:eastAsia="宋体" w:cs="宋体"/>
          <w:color w:val="000000" w:themeColor="text1"/>
          <w:sz w:val="28"/>
          <w:szCs w:val="28"/>
          <w:lang w:val="zh-CN" w:eastAsia="zh-CN"/>
          <w14:textFill>
            <w14:solidFill>
              <w14:schemeClr w14:val="tx1"/>
            </w14:solidFill>
          </w14:textFill>
        </w:rPr>
        <w:t>中舜国际工程设计有限公司</w:t>
      </w:r>
      <w:r>
        <w:rPr>
          <w:rFonts w:hint="eastAsia" w:ascii="宋体" w:hAnsi="宋体" w:eastAsia="宋体" w:cs="宋体"/>
          <w:color w:val="000000" w:themeColor="text1"/>
          <w:sz w:val="28"/>
          <w:szCs w:val="28"/>
          <w:lang w:eastAsia="zh-CN"/>
          <w14:textFill>
            <w14:solidFill>
              <w14:schemeClr w14:val="tx1"/>
            </w14:solidFill>
          </w14:textFill>
        </w:rPr>
        <w:t>完成项目安全设施设计编制，</w:t>
      </w:r>
      <w:r>
        <w:rPr>
          <w:rFonts w:hint="eastAsia" w:ascii="宋体" w:hAnsi="宋体" w:eastAsia="宋体" w:cs="宋体"/>
          <w:color w:val="000000" w:themeColor="text1"/>
          <w:sz w:val="28"/>
          <w:szCs w:val="28"/>
          <w:lang w:val="en-US" w:eastAsia="zh-CN"/>
          <w14:textFill>
            <w14:solidFill>
              <w14:schemeClr w14:val="tx1"/>
            </w14:solidFill>
          </w14:textFill>
        </w:rPr>
        <w:t>并于</w:t>
      </w:r>
      <w:r>
        <w:rPr>
          <w:rFonts w:hint="eastAsia" w:ascii="宋体" w:hAnsi="宋体" w:eastAsia="宋体" w:cs="宋体"/>
          <w:color w:val="000000" w:themeColor="text1"/>
          <w:sz w:val="28"/>
          <w:szCs w:val="28"/>
          <w:lang w:eastAsia="zh-CN"/>
          <w14:textFill>
            <w14:solidFill>
              <w14:schemeClr w14:val="tx1"/>
            </w14:solidFill>
          </w14:textFill>
        </w:rPr>
        <w:t>202</w:t>
      </w: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lang w:eastAsia="zh-CN"/>
          <w14:textFill>
            <w14:solidFill>
              <w14:schemeClr w14:val="tx1"/>
            </w14:solidFill>
          </w14:textFill>
        </w:rPr>
        <w:t>年</w:t>
      </w:r>
      <w:r>
        <w:rPr>
          <w:rFonts w:hint="eastAsia" w:ascii="宋体" w:hAnsi="宋体" w:cs="宋体"/>
          <w:color w:val="000000" w:themeColor="text1"/>
          <w:sz w:val="28"/>
          <w:szCs w:val="28"/>
          <w:lang w:val="en-US" w:eastAsia="zh-CN"/>
          <w14:textFill>
            <w14:solidFill>
              <w14:schemeClr w14:val="tx1"/>
            </w14:solidFill>
          </w14:textFill>
        </w:rPr>
        <w:t>8</w:t>
      </w:r>
      <w:r>
        <w:rPr>
          <w:rFonts w:hint="eastAsia" w:ascii="宋体" w:hAnsi="宋体" w:eastAsia="宋体" w:cs="宋体"/>
          <w:color w:val="000000" w:themeColor="text1"/>
          <w:sz w:val="28"/>
          <w:szCs w:val="28"/>
          <w:lang w:eastAsia="zh-CN"/>
          <w14:textFill>
            <w14:solidFill>
              <w14:schemeClr w14:val="tx1"/>
            </w14:solidFill>
          </w14:textFill>
        </w:rPr>
        <w:t>月</w:t>
      </w:r>
      <w:r>
        <w:rPr>
          <w:rFonts w:hint="eastAsia" w:ascii="宋体" w:hAnsi="宋体" w:cs="宋体"/>
          <w:color w:val="000000" w:themeColor="text1"/>
          <w:sz w:val="28"/>
          <w:szCs w:val="28"/>
          <w:lang w:val="en-US" w:eastAsia="zh-CN"/>
          <w14:textFill>
            <w14:solidFill>
              <w14:schemeClr w14:val="tx1"/>
            </w14:solidFill>
          </w14:textFill>
        </w:rPr>
        <w:t>5</w:t>
      </w:r>
      <w:r>
        <w:rPr>
          <w:rFonts w:hint="eastAsia" w:ascii="宋体" w:hAnsi="宋体" w:eastAsia="宋体" w:cs="宋体"/>
          <w:color w:val="000000" w:themeColor="text1"/>
          <w:sz w:val="28"/>
          <w:szCs w:val="28"/>
          <w:lang w:val="en-US" w:eastAsia="zh-CN"/>
          <w14:textFill>
            <w14:solidFill>
              <w14:schemeClr w14:val="tx1"/>
            </w14:solidFill>
          </w14:textFill>
        </w:rPr>
        <w:t>日通过专家组审查。</w:t>
      </w:r>
      <w:r>
        <w:rPr>
          <w:rFonts w:hint="eastAsia" w:ascii="宋体" w:hAnsi="宋体" w:eastAsia="宋体" w:cs="宋体"/>
          <w:color w:val="000000" w:themeColor="text1"/>
          <w:sz w:val="28"/>
          <w:szCs w:val="28"/>
          <w:lang w:eastAsia="zh-CN"/>
          <w14:textFill>
            <w14:solidFill>
              <w14:schemeClr w14:val="tx1"/>
            </w14:solidFill>
          </w14:textFill>
        </w:rPr>
        <w:t>施工单位</w:t>
      </w:r>
      <w:r>
        <w:rPr>
          <w:rFonts w:hint="eastAsia" w:ascii="宋体" w:hAnsi="宋体" w:eastAsia="宋体" w:cs="宋体"/>
          <w:color w:val="000000" w:themeColor="text1"/>
          <w:sz w:val="28"/>
          <w:szCs w:val="28"/>
          <w:lang w:val="en-US" w:eastAsia="zh-CN"/>
          <w14:textFill>
            <w14:solidFill>
              <w14:schemeClr w14:val="tx1"/>
            </w14:solidFill>
          </w14:textFill>
        </w:rPr>
        <w:t>中国水利水电第九工程局有限公司</w:t>
      </w:r>
      <w:r>
        <w:rPr>
          <w:rFonts w:hint="eastAsia" w:ascii="宋体" w:hAnsi="宋体" w:eastAsia="宋体" w:cs="宋体"/>
          <w:color w:val="000000" w:themeColor="text1"/>
          <w:sz w:val="28"/>
          <w:szCs w:val="28"/>
          <w:lang w:eastAsia="zh-CN"/>
          <w14:textFill>
            <w14:solidFill>
              <w14:schemeClr w14:val="tx1"/>
            </w14:solidFill>
          </w14:textFill>
        </w:rPr>
        <w:t>出具了项目施工总结报告。监理单位</w:t>
      </w:r>
      <w:r>
        <w:rPr>
          <w:rFonts w:hint="eastAsia" w:ascii="宋体" w:hAnsi="宋体" w:eastAsia="宋体" w:cs="宋体"/>
          <w:color w:val="000000" w:themeColor="text1"/>
          <w:sz w:val="28"/>
          <w:szCs w:val="28"/>
          <w:lang w:val="en-US" w:eastAsia="zh-CN"/>
          <w14:textFill>
            <w14:solidFill>
              <w14:schemeClr w14:val="tx1"/>
            </w14:solidFill>
          </w14:textFill>
        </w:rPr>
        <w:t>江西同济建设项目管理股份有限公司</w:t>
      </w:r>
      <w:r>
        <w:rPr>
          <w:rFonts w:hint="eastAsia" w:ascii="宋体" w:hAnsi="宋体" w:eastAsia="宋体" w:cs="宋体"/>
          <w:color w:val="000000" w:themeColor="text1"/>
          <w:sz w:val="28"/>
          <w:szCs w:val="28"/>
          <w:lang w:eastAsia="zh-CN"/>
          <w14:textFill>
            <w14:solidFill>
              <w14:schemeClr w14:val="tx1"/>
            </w14:solidFill>
          </w14:textFill>
        </w:rPr>
        <w:t>出具了项目监理工作总结。</w:t>
      </w:r>
      <w:r>
        <w:rPr>
          <w:rFonts w:hint="eastAsia" w:ascii="宋体" w:hAnsi="宋体" w:eastAsia="宋体" w:cs="宋体"/>
          <w:color w:val="000000" w:themeColor="text1"/>
          <w:sz w:val="28"/>
          <w:szCs w:val="28"/>
          <w:lang w:val="en-US" w:eastAsia="zh-CN"/>
          <w14:textFill>
            <w14:solidFill>
              <w14:schemeClr w14:val="tx1"/>
            </w14:solidFill>
          </w14:textFill>
        </w:rPr>
        <w:t>项目于</w:t>
      </w:r>
      <w:r>
        <w:rPr>
          <w:rFonts w:hint="eastAsia" w:ascii="宋体" w:hAnsi="宋体" w:eastAsia="宋体" w:cs="宋体"/>
          <w:color w:val="000000" w:themeColor="text1"/>
          <w:sz w:val="28"/>
          <w:szCs w:val="28"/>
          <w:highlight w:val="none"/>
          <w14:textFill>
            <w14:solidFill>
              <w14:schemeClr w14:val="tx1"/>
            </w14:solidFill>
          </w14:textFill>
        </w:rPr>
        <w:t>202</w:t>
      </w:r>
      <w:r>
        <w:rPr>
          <w:rFonts w:hint="eastAsia" w:ascii="宋体" w:hAnsi="宋体" w:cs="宋体"/>
          <w:color w:val="000000" w:themeColor="text1"/>
          <w:sz w:val="28"/>
          <w:szCs w:val="28"/>
          <w:highlight w:val="none"/>
          <w:lang w:val="en-US" w:eastAsia="zh-CN"/>
          <w14:textFill>
            <w14:solidFill>
              <w14:schemeClr w14:val="tx1"/>
            </w14:solidFill>
          </w14:textFill>
        </w:rPr>
        <w:t>5</w:t>
      </w:r>
      <w:r>
        <w:rPr>
          <w:rFonts w:hint="eastAsia" w:ascii="宋体" w:hAnsi="宋体" w:eastAsia="宋体" w:cs="宋体"/>
          <w:color w:val="000000" w:themeColor="text1"/>
          <w:sz w:val="28"/>
          <w:szCs w:val="28"/>
          <w:highlight w:val="none"/>
          <w14:textFill>
            <w14:solidFill>
              <w14:schemeClr w14:val="tx1"/>
            </w14:solidFill>
          </w14:textFill>
        </w:rPr>
        <w:t>年</w:t>
      </w:r>
      <w:r>
        <w:rPr>
          <w:rFonts w:hint="eastAsia" w:ascii="宋体" w:hAnsi="宋体" w:cs="宋体"/>
          <w:color w:val="000000" w:themeColor="text1"/>
          <w:sz w:val="28"/>
          <w:szCs w:val="28"/>
          <w:highlight w:val="none"/>
          <w:lang w:val="en-US" w:eastAsia="zh-CN"/>
          <w14:textFill>
            <w14:solidFill>
              <w14:schemeClr w14:val="tx1"/>
            </w14:solidFill>
          </w14:textFill>
        </w:rPr>
        <w:t>1</w:t>
      </w:r>
      <w:r>
        <w:rPr>
          <w:rFonts w:hint="eastAsia" w:ascii="宋体" w:hAnsi="宋体" w:eastAsia="宋体" w:cs="宋体"/>
          <w:color w:val="000000" w:themeColor="text1"/>
          <w:sz w:val="28"/>
          <w:szCs w:val="28"/>
          <w:highlight w:val="none"/>
          <w14:textFill>
            <w14:solidFill>
              <w14:schemeClr w14:val="tx1"/>
            </w14:solidFill>
          </w14:textFill>
        </w:rPr>
        <w:t>月</w:t>
      </w:r>
      <w:r>
        <w:rPr>
          <w:rFonts w:hint="eastAsia" w:ascii="宋体" w:hAnsi="宋体" w:cs="宋体"/>
          <w:color w:val="000000" w:themeColor="text1"/>
          <w:sz w:val="28"/>
          <w:szCs w:val="28"/>
          <w:highlight w:val="none"/>
          <w:lang w:val="en-US" w:eastAsia="zh-CN"/>
          <w14:textFill>
            <w14:solidFill>
              <w14:schemeClr w14:val="tx1"/>
            </w14:solidFill>
          </w14:textFill>
        </w:rPr>
        <w:t>17</w:t>
      </w:r>
      <w:r>
        <w:rPr>
          <w:rFonts w:hint="eastAsia" w:ascii="宋体" w:hAnsi="宋体" w:eastAsia="宋体" w:cs="宋体"/>
          <w:color w:val="000000" w:themeColor="text1"/>
          <w:sz w:val="28"/>
          <w:szCs w:val="28"/>
          <w:highlight w:val="none"/>
          <w14:textFill>
            <w14:solidFill>
              <w14:schemeClr w14:val="tx1"/>
            </w14:solidFill>
          </w14:textFill>
        </w:rPr>
        <w:t>日开始试运行</w:t>
      </w:r>
      <w:r>
        <w:rPr>
          <w:rFonts w:hint="eastAsia" w:ascii="宋体" w:hAnsi="宋体" w:cs="宋体"/>
          <w:color w:val="000000" w:themeColor="text1"/>
          <w:sz w:val="28"/>
          <w:szCs w:val="28"/>
          <w:highlight w:val="none"/>
          <w:lang w:val="en-US" w:eastAsia="zh-CN"/>
          <w14:textFill>
            <w14:solidFill>
              <w14:schemeClr w14:val="tx1"/>
            </w14:solidFill>
          </w14:textFill>
        </w:rPr>
        <w:t>到</w:t>
      </w:r>
      <w:r>
        <w:rPr>
          <w:rFonts w:hint="eastAsia" w:ascii="宋体" w:hAnsi="宋体" w:eastAsia="宋体" w:cs="宋体"/>
          <w:color w:val="000000" w:themeColor="text1"/>
          <w:sz w:val="28"/>
          <w:szCs w:val="28"/>
          <w:highlight w:val="none"/>
          <w14:textFill>
            <w14:solidFill>
              <w14:schemeClr w14:val="tx1"/>
            </w14:solidFill>
          </w14:textFill>
        </w:rPr>
        <w:t>。</w:t>
      </w:r>
    </w:p>
    <w:p w14:paraId="569D2417">
      <w:pPr>
        <w:pStyle w:val="4"/>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rPr>
      </w:pPr>
      <w:bookmarkStart w:id="167" w:name="_Toc4256"/>
      <w:bookmarkStart w:id="168" w:name="_Toc24711"/>
      <w:bookmarkStart w:id="169" w:name="_Toc30162"/>
      <w:r>
        <w:rPr>
          <w:rFonts w:hint="eastAsia" w:ascii="宋体" w:hAnsi="宋体" w:eastAsia="宋体" w:cs="宋体"/>
          <w:b/>
          <w:bCs w:val="0"/>
          <w:color w:val="000000"/>
        </w:rPr>
        <w:t>2.</w:t>
      </w:r>
      <w:r>
        <w:rPr>
          <w:rFonts w:hint="eastAsia" w:ascii="宋体" w:hAnsi="宋体" w:eastAsia="宋体" w:cs="宋体"/>
          <w:b/>
          <w:bCs w:val="0"/>
          <w:color w:val="000000"/>
          <w:lang w:val="en-US" w:eastAsia="zh-CN"/>
        </w:rPr>
        <w:t>1</w:t>
      </w:r>
      <w:r>
        <w:rPr>
          <w:rFonts w:hint="eastAsia" w:ascii="宋体" w:hAnsi="宋体" w:eastAsia="宋体" w:cs="宋体"/>
          <w:b/>
          <w:bCs w:val="0"/>
          <w:color w:val="000000"/>
        </w:rPr>
        <w:t>.</w:t>
      </w:r>
      <w:r>
        <w:rPr>
          <w:rFonts w:hint="eastAsia" w:ascii="宋体" w:hAnsi="宋体" w:eastAsia="宋体" w:cs="宋体"/>
          <w:b/>
          <w:bCs w:val="0"/>
          <w:color w:val="000000"/>
          <w:lang w:val="en-US" w:eastAsia="zh-CN"/>
        </w:rPr>
        <w:t>5</w:t>
      </w:r>
      <w:r>
        <w:rPr>
          <w:rFonts w:hint="eastAsia" w:ascii="宋体" w:hAnsi="宋体" w:eastAsia="宋体" w:cs="宋体"/>
          <w:b/>
          <w:bCs w:val="0"/>
          <w:color w:val="000000"/>
        </w:rPr>
        <w:t xml:space="preserve"> 主要原料消耗和产品</w:t>
      </w:r>
      <w:bookmarkEnd w:id="167"/>
      <w:bookmarkEnd w:id="168"/>
      <w:bookmarkEnd w:id="169"/>
    </w:p>
    <w:p w14:paraId="582F900E">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本项目为光伏发电项目，为太阳能利用项目，产品为电能。</w:t>
      </w:r>
    </w:p>
    <w:p w14:paraId="7DA71E3F">
      <w:pPr>
        <w:pStyle w:val="4"/>
        <w:keepNext w:val="0"/>
        <w:keepLines w:val="0"/>
        <w:pageBreakBefore w:val="0"/>
        <w:widowControl w:val="0"/>
        <w:kinsoku/>
        <w:wordWrap/>
        <w:overflowPunct/>
        <w:topLinePunct w:val="0"/>
        <w:autoSpaceDE/>
        <w:autoSpaceDN/>
        <w:bidi w:val="0"/>
        <w:snapToGrid w:val="0"/>
        <w:spacing w:line="420" w:lineRule="exact"/>
        <w:textAlignment w:val="auto"/>
        <w:rPr>
          <w:rFonts w:hint="eastAsia" w:ascii="宋体" w:hAnsi="宋体" w:eastAsia="宋体" w:cs="宋体"/>
          <w:b/>
          <w:bCs w:val="0"/>
          <w:color w:val="000000"/>
        </w:rPr>
      </w:pPr>
      <w:bookmarkStart w:id="170" w:name="_Toc12517"/>
      <w:bookmarkStart w:id="171" w:name="_Toc28782"/>
      <w:bookmarkStart w:id="172" w:name="_Toc418"/>
      <w:r>
        <w:rPr>
          <w:rFonts w:hint="eastAsia" w:ascii="宋体" w:hAnsi="宋体" w:eastAsia="宋体" w:cs="宋体"/>
          <w:b/>
          <w:bCs w:val="0"/>
          <w:color w:val="000000"/>
        </w:rPr>
        <w:t>2.</w:t>
      </w:r>
      <w:r>
        <w:rPr>
          <w:rFonts w:hint="eastAsia" w:ascii="宋体" w:hAnsi="宋体" w:eastAsia="宋体" w:cs="宋体"/>
          <w:b/>
          <w:bCs w:val="0"/>
          <w:color w:val="000000"/>
          <w:lang w:val="en-US" w:eastAsia="zh-CN"/>
        </w:rPr>
        <w:t>1</w:t>
      </w:r>
      <w:r>
        <w:rPr>
          <w:rFonts w:hint="eastAsia" w:ascii="宋体" w:hAnsi="宋体" w:eastAsia="宋体" w:cs="宋体"/>
          <w:b/>
          <w:bCs w:val="0"/>
          <w:color w:val="000000"/>
        </w:rPr>
        <w:t>.</w:t>
      </w:r>
      <w:r>
        <w:rPr>
          <w:rFonts w:hint="eastAsia" w:ascii="宋体" w:hAnsi="宋体" w:eastAsia="宋体" w:cs="宋体"/>
          <w:b/>
          <w:bCs w:val="0"/>
          <w:color w:val="000000"/>
          <w:lang w:val="en-US" w:eastAsia="zh-CN"/>
        </w:rPr>
        <w:t>6项目建设情况</w:t>
      </w:r>
      <w:bookmarkEnd w:id="170"/>
      <w:bookmarkEnd w:id="171"/>
      <w:bookmarkEnd w:id="172"/>
    </w:p>
    <w:p w14:paraId="02C2E452">
      <w:pPr>
        <w:pStyle w:val="19"/>
        <w:keepNext w:val="0"/>
        <w:keepLines w:val="0"/>
        <w:pageBreakBefore w:val="0"/>
        <w:widowControl w:val="0"/>
        <w:kinsoku/>
        <w:wordWrap/>
        <w:overflowPunct/>
        <w:topLinePunct w:val="0"/>
        <w:autoSpaceDE/>
        <w:autoSpaceDN/>
        <w:bidi w:val="0"/>
        <w:snapToGrid w:val="0"/>
        <w:spacing w:line="420" w:lineRule="exact"/>
        <w:ind w:firstLine="560" w:firstLineChars="200"/>
        <w:textAlignment w:val="auto"/>
        <w:rPr>
          <w:rFonts w:hint="default" w:ascii="宋体" w:hAnsi="宋体" w:cs="Times New Roman"/>
          <w:kern w:val="2"/>
          <w:sz w:val="28"/>
          <w:szCs w:val="28"/>
          <w:lang w:val="en-US" w:eastAsia="zh-CN" w:bidi="ar-SA"/>
        </w:rPr>
      </w:pPr>
      <w:r>
        <w:rPr>
          <w:rFonts w:hint="eastAsia" w:ascii="宋体" w:hAnsi="宋体" w:cs="Times New Roman"/>
          <w:kern w:val="2"/>
          <w:sz w:val="28"/>
          <w:szCs w:val="28"/>
          <w:lang w:val="en-US" w:eastAsia="zh-CN" w:bidi="ar-SA"/>
        </w:rPr>
        <w:t>华能澜沧江（景洪）新能源有限公司景洪市</w:t>
      </w:r>
      <w:r>
        <w:rPr>
          <w:rFonts w:hint="eastAsia" w:ascii="宋体" w:hAnsi="宋体" w:eastAsia="宋体" w:cs="宋体"/>
          <w:color w:val="auto"/>
          <w:kern w:val="0"/>
          <w:sz w:val="28"/>
          <w:szCs w:val="28"/>
          <w:lang w:val="en-US" w:eastAsia="zh-CN" w:bidi="ar"/>
        </w:rPr>
        <w:t>景讷乡大寨村云盘光伏</w:t>
      </w:r>
      <w:r>
        <w:rPr>
          <w:rFonts w:hint="eastAsia" w:ascii="宋体" w:hAnsi="宋体" w:cs="Times New Roman"/>
          <w:kern w:val="2"/>
          <w:sz w:val="28"/>
          <w:szCs w:val="28"/>
          <w:lang w:val="en-US" w:eastAsia="zh-CN" w:bidi="ar-SA"/>
        </w:rPr>
        <w:t>发电项目；</w:t>
      </w:r>
    </w:p>
    <w:p w14:paraId="621999D4">
      <w:pPr>
        <w:pStyle w:val="19"/>
        <w:keepNext w:val="0"/>
        <w:keepLines w:val="0"/>
        <w:pageBreakBefore w:val="0"/>
        <w:widowControl w:val="0"/>
        <w:kinsoku/>
        <w:wordWrap/>
        <w:overflowPunct/>
        <w:topLinePunct w:val="0"/>
        <w:autoSpaceDE/>
        <w:autoSpaceDN/>
        <w:bidi w:val="0"/>
        <w:snapToGrid w:val="0"/>
        <w:spacing w:line="420" w:lineRule="exact"/>
        <w:ind w:firstLine="560" w:firstLineChars="200"/>
        <w:textAlignment w:val="auto"/>
        <w:rPr>
          <w:rFonts w:hint="eastAsia" w:ascii="宋体" w:hAnsi="宋体" w:cs="Times New Roman"/>
          <w:kern w:val="2"/>
          <w:sz w:val="28"/>
          <w:szCs w:val="28"/>
          <w:lang w:val="en-US" w:eastAsia="zh-CN" w:bidi="ar-SA"/>
        </w:rPr>
      </w:pPr>
      <w:r>
        <w:rPr>
          <w:rFonts w:hint="eastAsia" w:ascii="微软雅黑" w:hAnsi="微软雅黑" w:eastAsia="微软雅黑" w:cs="微软雅黑"/>
          <w:kern w:val="2"/>
          <w:sz w:val="28"/>
          <w:szCs w:val="28"/>
          <w:lang w:val="en-US" w:eastAsia="zh-CN" w:bidi="ar-SA"/>
        </w:rPr>
        <w:t>①</w:t>
      </w:r>
      <w:r>
        <w:rPr>
          <w:rFonts w:hint="eastAsia" w:ascii="宋体" w:hAnsi="宋体" w:cs="Times New Roman"/>
          <w:kern w:val="2"/>
          <w:sz w:val="28"/>
          <w:szCs w:val="28"/>
          <w:lang w:val="en-US" w:eastAsia="zh-CN" w:bidi="ar-SA"/>
        </w:rPr>
        <w:t>建设单位为华能澜沧江（景洪）新能源有限公司；</w:t>
      </w:r>
    </w:p>
    <w:p w14:paraId="67B07498">
      <w:pPr>
        <w:pStyle w:val="19"/>
        <w:keepNext w:val="0"/>
        <w:keepLines w:val="0"/>
        <w:pageBreakBefore w:val="0"/>
        <w:widowControl w:val="0"/>
        <w:kinsoku/>
        <w:wordWrap/>
        <w:overflowPunct/>
        <w:topLinePunct w:val="0"/>
        <w:autoSpaceDE/>
        <w:autoSpaceDN/>
        <w:bidi w:val="0"/>
        <w:snapToGrid w:val="0"/>
        <w:spacing w:line="420" w:lineRule="exact"/>
        <w:ind w:firstLine="560" w:firstLineChars="200"/>
        <w:textAlignment w:val="auto"/>
        <w:rPr>
          <w:rFonts w:hint="eastAsia" w:ascii="宋体" w:hAnsi="宋体" w:cs="Times New Roman"/>
          <w:kern w:val="2"/>
          <w:sz w:val="28"/>
          <w:szCs w:val="28"/>
          <w:lang w:val="en-US" w:eastAsia="zh-CN" w:bidi="ar-SA"/>
        </w:rPr>
      </w:pPr>
      <w:r>
        <w:rPr>
          <w:rFonts w:hint="eastAsia" w:ascii="微软雅黑" w:hAnsi="微软雅黑" w:eastAsia="微软雅黑" w:cs="微软雅黑"/>
          <w:kern w:val="2"/>
          <w:sz w:val="28"/>
          <w:szCs w:val="28"/>
          <w:lang w:val="en-US" w:eastAsia="zh-CN" w:bidi="ar-SA"/>
        </w:rPr>
        <w:t>②</w:t>
      </w:r>
      <w:r>
        <w:rPr>
          <w:rFonts w:hint="eastAsia" w:ascii="宋体" w:hAnsi="宋体" w:cs="Times New Roman"/>
          <w:kern w:val="2"/>
          <w:sz w:val="28"/>
          <w:szCs w:val="28"/>
          <w:lang w:val="en-US" w:eastAsia="zh-CN" w:bidi="ar-SA"/>
        </w:rPr>
        <w:t>项目</w:t>
      </w:r>
      <w:r>
        <w:rPr>
          <w:rFonts w:hint="eastAsia" w:ascii="宋体" w:hAnsi="宋体" w:cs="Times New Roman"/>
          <w:color w:val="auto"/>
          <w:kern w:val="2"/>
          <w:sz w:val="28"/>
          <w:szCs w:val="28"/>
          <w:lang w:val="en-US" w:eastAsia="zh-CN" w:bidi="ar-SA"/>
        </w:rPr>
        <w:t>施工单位</w:t>
      </w:r>
      <w:r>
        <w:rPr>
          <w:rFonts w:hint="eastAsia" w:ascii="宋体" w:hAnsi="宋体" w:cs="Times New Roman"/>
          <w:kern w:val="2"/>
          <w:sz w:val="28"/>
          <w:szCs w:val="28"/>
          <w:lang w:val="en-US" w:eastAsia="zh-CN" w:bidi="ar-SA"/>
        </w:rPr>
        <w:t>为中国水利水电第九工程局有限公司；</w:t>
      </w:r>
    </w:p>
    <w:p w14:paraId="7E593441">
      <w:pPr>
        <w:pStyle w:val="19"/>
        <w:keepNext w:val="0"/>
        <w:keepLines w:val="0"/>
        <w:pageBreakBefore w:val="0"/>
        <w:widowControl w:val="0"/>
        <w:kinsoku/>
        <w:wordWrap/>
        <w:overflowPunct/>
        <w:topLinePunct w:val="0"/>
        <w:autoSpaceDE/>
        <w:autoSpaceDN/>
        <w:bidi w:val="0"/>
        <w:snapToGrid w:val="0"/>
        <w:spacing w:line="420" w:lineRule="exact"/>
        <w:ind w:firstLine="560" w:firstLineChars="200"/>
        <w:textAlignment w:val="auto"/>
        <w:rPr>
          <w:rFonts w:hint="eastAsia" w:ascii="宋体" w:hAnsi="宋体" w:cs="Times New Roman"/>
          <w:kern w:val="2"/>
          <w:sz w:val="28"/>
          <w:szCs w:val="28"/>
          <w:lang w:val="en-US" w:eastAsia="zh-CN" w:bidi="ar-SA"/>
        </w:rPr>
      </w:pPr>
      <w:r>
        <w:rPr>
          <w:rFonts w:hint="eastAsia" w:ascii="微软雅黑" w:hAnsi="微软雅黑" w:eastAsia="微软雅黑" w:cs="微软雅黑"/>
          <w:kern w:val="2"/>
          <w:sz w:val="28"/>
          <w:szCs w:val="28"/>
          <w:lang w:val="en-US" w:eastAsia="zh-CN" w:bidi="ar-SA"/>
        </w:rPr>
        <w:t>③</w:t>
      </w:r>
      <w:r>
        <w:rPr>
          <w:rFonts w:hint="eastAsia" w:ascii="宋体" w:hAnsi="宋体" w:cs="Times New Roman"/>
          <w:kern w:val="2"/>
          <w:sz w:val="28"/>
          <w:szCs w:val="28"/>
          <w:lang w:val="en-US" w:eastAsia="zh-CN" w:bidi="ar-SA"/>
        </w:rPr>
        <w:t>设计单位为中舜国际工程设计有限公司；</w:t>
      </w:r>
    </w:p>
    <w:p w14:paraId="4731194A">
      <w:pPr>
        <w:pStyle w:val="19"/>
        <w:keepNext w:val="0"/>
        <w:keepLines w:val="0"/>
        <w:pageBreakBefore w:val="0"/>
        <w:widowControl w:val="0"/>
        <w:kinsoku/>
        <w:wordWrap/>
        <w:overflowPunct/>
        <w:topLinePunct w:val="0"/>
        <w:autoSpaceDE/>
        <w:autoSpaceDN/>
        <w:bidi w:val="0"/>
        <w:snapToGrid w:val="0"/>
        <w:spacing w:line="420" w:lineRule="exact"/>
        <w:ind w:firstLine="560" w:firstLineChars="200"/>
        <w:textAlignment w:val="auto"/>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kern w:val="2"/>
          <w:sz w:val="28"/>
          <w:szCs w:val="28"/>
          <w:lang w:val="en-US" w:eastAsia="zh-CN" w:bidi="ar-SA"/>
          <w14:textFill>
            <w14:solidFill>
              <w14:schemeClr w14:val="tx1"/>
            </w14:solidFill>
          </w14:textFill>
        </w:rPr>
        <w:t>④监理单位为</w:t>
      </w:r>
      <w:r>
        <w:rPr>
          <w:rFonts w:hint="eastAsia" w:ascii="宋体" w:hAnsi="宋体" w:eastAsia="宋体" w:cs="宋体"/>
          <w:color w:val="000000" w:themeColor="text1"/>
          <w:sz w:val="28"/>
          <w:szCs w:val="28"/>
          <w:lang w:val="en-US" w:eastAsia="zh-CN"/>
          <w14:textFill>
            <w14:solidFill>
              <w14:schemeClr w14:val="tx1"/>
            </w14:solidFill>
          </w14:textFill>
        </w:rPr>
        <w:t>江西同济建设项目管理股份有限公司</w:t>
      </w:r>
      <w:r>
        <w:rPr>
          <w:rFonts w:hint="eastAsia" w:ascii="宋体" w:hAnsi="宋体" w:eastAsia="宋体" w:cs="宋体"/>
          <w:color w:val="000000" w:themeColor="text1"/>
          <w:kern w:val="2"/>
          <w:sz w:val="28"/>
          <w:szCs w:val="28"/>
          <w:lang w:val="en-US" w:eastAsia="zh-CN" w:bidi="ar-SA"/>
          <w14:textFill>
            <w14:solidFill>
              <w14:schemeClr w14:val="tx1"/>
            </w14:solidFill>
          </w14:textFill>
        </w:rPr>
        <w:t>。</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5"/>
        <w:gridCol w:w="1118"/>
        <w:gridCol w:w="1290"/>
        <w:gridCol w:w="989"/>
        <w:gridCol w:w="1388"/>
        <w:gridCol w:w="2488"/>
      </w:tblGrid>
      <w:tr w14:paraId="75553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5" w:type="dxa"/>
          </w:tcPr>
          <w:p w14:paraId="77514B8B">
            <w:pPr>
              <w:jc w:val="center"/>
              <w:rPr>
                <w:rFonts w:hint="default"/>
                <w:b/>
                <w:bCs/>
                <w:vertAlign w:val="baseline"/>
                <w:lang w:val="en-US" w:eastAsia="zh-CN"/>
              </w:rPr>
            </w:pPr>
            <w:r>
              <w:rPr>
                <w:rFonts w:hint="eastAsia"/>
                <w:b/>
                <w:bCs/>
                <w:vertAlign w:val="baseline"/>
                <w:lang w:val="en-US" w:eastAsia="zh-CN"/>
              </w:rPr>
              <w:t>单位名称</w:t>
            </w:r>
          </w:p>
        </w:tc>
        <w:tc>
          <w:tcPr>
            <w:tcW w:w="1118" w:type="dxa"/>
          </w:tcPr>
          <w:p w14:paraId="29EAB6DC">
            <w:pPr>
              <w:jc w:val="center"/>
              <w:rPr>
                <w:rFonts w:hint="default"/>
                <w:b/>
                <w:bCs/>
                <w:vertAlign w:val="baseline"/>
                <w:lang w:val="en-US" w:eastAsia="zh-CN"/>
              </w:rPr>
            </w:pPr>
            <w:r>
              <w:rPr>
                <w:rFonts w:hint="eastAsia"/>
                <w:b/>
                <w:bCs/>
                <w:vertAlign w:val="baseline"/>
                <w:lang w:val="en-US" w:eastAsia="zh-CN"/>
              </w:rPr>
              <w:t>证书名称</w:t>
            </w:r>
          </w:p>
        </w:tc>
        <w:tc>
          <w:tcPr>
            <w:tcW w:w="1290" w:type="dxa"/>
          </w:tcPr>
          <w:p w14:paraId="5D2DD557">
            <w:pPr>
              <w:jc w:val="center"/>
              <w:rPr>
                <w:rFonts w:hint="default"/>
                <w:b/>
                <w:bCs/>
                <w:vertAlign w:val="baseline"/>
                <w:lang w:val="en-US" w:eastAsia="zh-CN"/>
              </w:rPr>
            </w:pPr>
            <w:r>
              <w:rPr>
                <w:rFonts w:hint="eastAsia"/>
                <w:b/>
                <w:bCs/>
                <w:vertAlign w:val="baseline"/>
                <w:lang w:val="en-US" w:eastAsia="zh-CN"/>
              </w:rPr>
              <w:t>资质编号</w:t>
            </w:r>
          </w:p>
        </w:tc>
        <w:tc>
          <w:tcPr>
            <w:tcW w:w="989" w:type="dxa"/>
          </w:tcPr>
          <w:p w14:paraId="6861C62D">
            <w:pPr>
              <w:jc w:val="center"/>
              <w:rPr>
                <w:rFonts w:hint="default"/>
                <w:b/>
                <w:bCs/>
                <w:vertAlign w:val="baseline"/>
                <w:lang w:val="en-US" w:eastAsia="zh-CN"/>
              </w:rPr>
            </w:pPr>
            <w:r>
              <w:rPr>
                <w:rFonts w:hint="eastAsia"/>
                <w:b/>
                <w:bCs/>
                <w:vertAlign w:val="baseline"/>
                <w:lang w:val="en-US" w:eastAsia="zh-CN"/>
              </w:rPr>
              <w:t>有效期</w:t>
            </w:r>
          </w:p>
        </w:tc>
        <w:tc>
          <w:tcPr>
            <w:tcW w:w="1388" w:type="dxa"/>
          </w:tcPr>
          <w:p w14:paraId="250979C0">
            <w:pPr>
              <w:jc w:val="center"/>
              <w:rPr>
                <w:rFonts w:hint="default"/>
                <w:b/>
                <w:bCs/>
                <w:vertAlign w:val="baseline"/>
                <w:lang w:val="en-US" w:eastAsia="zh-CN"/>
              </w:rPr>
            </w:pPr>
            <w:r>
              <w:rPr>
                <w:rFonts w:hint="eastAsia"/>
                <w:b/>
                <w:bCs/>
                <w:vertAlign w:val="baseline"/>
                <w:lang w:val="en-US" w:eastAsia="zh-CN"/>
              </w:rPr>
              <w:t>发证机关</w:t>
            </w:r>
          </w:p>
        </w:tc>
        <w:tc>
          <w:tcPr>
            <w:tcW w:w="2488" w:type="dxa"/>
          </w:tcPr>
          <w:p w14:paraId="5C8A514F">
            <w:pPr>
              <w:jc w:val="center"/>
              <w:rPr>
                <w:rFonts w:hint="default"/>
                <w:b/>
                <w:bCs/>
                <w:vertAlign w:val="baseline"/>
                <w:lang w:val="en-US" w:eastAsia="zh-CN"/>
              </w:rPr>
            </w:pPr>
            <w:r>
              <w:rPr>
                <w:rFonts w:hint="eastAsia"/>
                <w:b/>
                <w:bCs/>
                <w:vertAlign w:val="baseline"/>
                <w:lang w:val="en-US" w:eastAsia="zh-CN"/>
              </w:rPr>
              <w:t>资质范围</w:t>
            </w:r>
          </w:p>
        </w:tc>
      </w:tr>
      <w:tr w14:paraId="53E8E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5" w:type="dxa"/>
            <w:vAlign w:val="center"/>
          </w:tcPr>
          <w:p w14:paraId="16FEE685">
            <w:pPr>
              <w:jc w:val="center"/>
              <w:rPr>
                <w:rFonts w:hint="eastAsia"/>
                <w:vertAlign w:val="baseline"/>
                <w:lang w:val="en-US" w:eastAsia="zh-CN"/>
              </w:rPr>
            </w:pPr>
            <w:r>
              <w:rPr>
                <w:rFonts w:hint="eastAsia" w:ascii="宋体" w:hAnsi="宋体" w:eastAsia="宋体" w:cs="宋体"/>
                <w:b/>
                <w:bCs/>
                <w:color w:val="auto"/>
                <w:spacing w:val="8"/>
                <w:sz w:val="21"/>
                <w:szCs w:val="21"/>
                <w:lang w:val="en-US" w:eastAsia="zh-CN"/>
              </w:rPr>
              <w:t>施工单位：</w:t>
            </w:r>
            <w:r>
              <w:rPr>
                <w:rFonts w:hint="eastAsia" w:ascii="宋体" w:hAnsi="宋体" w:eastAsia="宋体" w:cs="宋体"/>
                <w:b/>
                <w:bCs/>
                <w:color w:val="auto"/>
                <w:spacing w:val="8"/>
                <w:sz w:val="21"/>
                <w:szCs w:val="21"/>
              </w:rPr>
              <w:t>中国水利水电第</w:t>
            </w:r>
            <w:r>
              <w:rPr>
                <w:rFonts w:hint="eastAsia" w:ascii="宋体" w:hAnsi="宋体" w:eastAsia="宋体" w:cs="宋体"/>
                <w:b/>
                <w:bCs/>
                <w:color w:val="auto"/>
                <w:spacing w:val="8"/>
                <w:sz w:val="21"/>
                <w:szCs w:val="21"/>
                <w:lang w:val="en-US" w:eastAsia="zh-CN"/>
              </w:rPr>
              <w:t>九</w:t>
            </w:r>
            <w:r>
              <w:rPr>
                <w:rFonts w:hint="eastAsia" w:ascii="宋体" w:hAnsi="宋体" w:eastAsia="宋体" w:cs="宋体"/>
                <w:b/>
                <w:bCs/>
                <w:color w:val="auto"/>
                <w:spacing w:val="8"/>
                <w:sz w:val="21"/>
                <w:szCs w:val="21"/>
              </w:rPr>
              <w:t>工程局有限公司</w:t>
            </w:r>
          </w:p>
        </w:tc>
        <w:tc>
          <w:tcPr>
            <w:tcW w:w="1118" w:type="dxa"/>
            <w:vAlign w:val="center"/>
          </w:tcPr>
          <w:p w14:paraId="3BE3787E">
            <w:pPr>
              <w:jc w:val="center"/>
              <w:rPr>
                <w:rFonts w:hint="eastAsia"/>
                <w:vertAlign w:val="baseline"/>
                <w:lang w:val="en-US" w:eastAsia="zh-CN"/>
              </w:rPr>
            </w:pPr>
            <w:r>
              <w:rPr>
                <w:rFonts w:hint="eastAsia" w:ascii="宋体" w:hAnsi="宋体" w:eastAsia="宋体" w:cs="宋体"/>
                <w:color w:val="auto"/>
                <w:spacing w:val="8"/>
                <w:sz w:val="21"/>
                <w:szCs w:val="21"/>
              </w:rPr>
              <w:t>建筑业企业资质证书</w:t>
            </w:r>
          </w:p>
        </w:tc>
        <w:tc>
          <w:tcPr>
            <w:tcW w:w="1290" w:type="dxa"/>
            <w:vAlign w:val="center"/>
          </w:tcPr>
          <w:p w14:paraId="357F119C">
            <w:pPr>
              <w:jc w:val="center"/>
              <w:rPr>
                <w:rFonts w:hint="eastAsia"/>
                <w:vertAlign w:val="baseline"/>
                <w:lang w:val="en-US" w:eastAsia="zh-CN"/>
              </w:rPr>
            </w:pPr>
            <w:r>
              <w:rPr>
                <w:rFonts w:hint="eastAsia" w:ascii="宋体" w:hAnsi="宋体" w:eastAsia="宋体" w:cs="宋体"/>
                <w:color w:val="auto"/>
                <w:spacing w:val="4"/>
                <w:sz w:val="21"/>
                <w:szCs w:val="21"/>
              </w:rPr>
              <w:t>D15</w:t>
            </w:r>
            <w:r>
              <w:rPr>
                <w:rFonts w:hint="eastAsia" w:ascii="宋体" w:hAnsi="宋体" w:cs="宋体"/>
                <w:color w:val="auto"/>
                <w:spacing w:val="4"/>
                <w:sz w:val="21"/>
                <w:szCs w:val="21"/>
                <w:lang w:val="en-US" w:eastAsia="zh-CN"/>
              </w:rPr>
              <w:t>2006684</w:t>
            </w:r>
          </w:p>
        </w:tc>
        <w:tc>
          <w:tcPr>
            <w:tcW w:w="989" w:type="dxa"/>
            <w:vAlign w:val="center"/>
          </w:tcPr>
          <w:p w14:paraId="2ED0A2AF">
            <w:pPr>
              <w:jc w:val="center"/>
              <w:rPr>
                <w:rFonts w:hint="eastAsia"/>
                <w:vertAlign w:val="baseline"/>
                <w:lang w:val="en-US" w:eastAsia="zh-CN"/>
              </w:rPr>
            </w:pPr>
            <w:r>
              <w:rPr>
                <w:rFonts w:hint="eastAsia" w:ascii="宋体" w:hAnsi="宋体" w:eastAsia="宋体" w:cs="宋体"/>
                <w:color w:val="auto"/>
                <w:spacing w:val="4"/>
                <w:sz w:val="21"/>
                <w:szCs w:val="21"/>
              </w:rPr>
              <w:t>2028-12-22</w:t>
            </w:r>
          </w:p>
        </w:tc>
        <w:tc>
          <w:tcPr>
            <w:tcW w:w="1388" w:type="dxa"/>
            <w:vAlign w:val="center"/>
          </w:tcPr>
          <w:p w14:paraId="08CA7A48">
            <w:pPr>
              <w:jc w:val="center"/>
              <w:rPr>
                <w:rFonts w:hint="eastAsia"/>
                <w:vertAlign w:val="baseline"/>
                <w:lang w:val="en-US" w:eastAsia="zh-CN"/>
              </w:rPr>
            </w:pPr>
            <w:r>
              <w:rPr>
                <w:rFonts w:hint="eastAsia" w:ascii="宋体" w:hAnsi="宋体" w:eastAsia="宋体" w:cs="宋体"/>
                <w:color w:val="auto"/>
                <w:spacing w:val="7"/>
                <w:sz w:val="21"/>
                <w:szCs w:val="21"/>
              </w:rPr>
              <w:t>中华人民共和国住房和城</w:t>
            </w:r>
            <w:r>
              <w:rPr>
                <w:rFonts w:hint="eastAsia" w:ascii="宋体" w:hAnsi="宋体" w:eastAsia="宋体" w:cs="宋体"/>
                <w:color w:val="auto"/>
                <w:spacing w:val="5"/>
                <w:sz w:val="21"/>
                <w:szCs w:val="21"/>
              </w:rPr>
              <w:t>乡建设部</w:t>
            </w:r>
          </w:p>
        </w:tc>
        <w:tc>
          <w:tcPr>
            <w:tcW w:w="2488" w:type="dxa"/>
            <w:vAlign w:val="center"/>
          </w:tcPr>
          <w:p w14:paraId="649617BE">
            <w:pPr>
              <w:jc w:val="center"/>
              <w:rPr>
                <w:rFonts w:hint="eastAsia" w:eastAsia="宋体"/>
                <w:vertAlign w:val="baseline"/>
                <w:lang w:val="en-US" w:eastAsia="zh-CN"/>
              </w:rPr>
            </w:pPr>
            <w:r>
              <w:rPr>
                <w:rFonts w:hint="eastAsia" w:ascii="宋体" w:hAnsi="宋体" w:eastAsia="宋体" w:cs="宋体"/>
                <w:color w:val="auto"/>
                <w:spacing w:val="11"/>
                <w:sz w:val="21"/>
                <w:szCs w:val="21"/>
              </w:rPr>
              <w:t>水利水电工程施工总承包特级；建筑工程施工总承</w:t>
            </w:r>
            <w:r>
              <w:rPr>
                <w:rFonts w:hint="eastAsia" w:cs="宋体"/>
                <w:color w:val="auto"/>
                <w:spacing w:val="11"/>
                <w:sz w:val="21"/>
                <w:szCs w:val="21"/>
                <w:lang w:val="en-US" w:eastAsia="zh-CN"/>
              </w:rPr>
              <w:t>特</w:t>
            </w:r>
            <w:r>
              <w:rPr>
                <w:rFonts w:hint="eastAsia" w:ascii="宋体" w:hAnsi="宋体" w:eastAsia="宋体" w:cs="宋体"/>
                <w:color w:val="auto"/>
                <w:spacing w:val="11"/>
                <w:sz w:val="21"/>
                <w:szCs w:val="21"/>
              </w:rPr>
              <w:t>级</w:t>
            </w:r>
            <w:r>
              <w:rPr>
                <w:rFonts w:hint="eastAsia" w:cs="宋体"/>
                <w:color w:val="auto"/>
                <w:spacing w:val="11"/>
                <w:sz w:val="21"/>
                <w:szCs w:val="21"/>
                <w:lang w:eastAsia="zh-CN"/>
              </w:rPr>
              <w:t>；</w:t>
            </w:r>
            <w:r>
              <w:rPr>
                <w:rFonts w:hint="eastAsia" w:ascii="宋体" w:hAnsi="宋体" w:eastAsia="宋体" w:cs="宋体"/>
                <w:color w:val="auto"/>
                <w:spacing w:val="11"/>
                <w:sz w:val="21"/>
                <w:szCs w:val="21"/>
              </w:rPr>
              <w:t>市政公用工程</w:t>
            </w:r>
            <w:r>
              <w:rPr>
                <w:rFonts w:hint="eastAsia" w:ascii="宋体" w:hAnsi="宋体" w:eastAsia="宋体" w:cs="宋体"/>
                <w:color w:val="auto"/>
                <w:spacing w:val="10"/>
                <w:sz w:val="21"/>
                <w:szCs w:val="21"/>
              </w:rPr>
              <w:t>施工总</w:t>
            </w:r>
            <w:r>
              <w:rPr>
                <w:rFonts w:hint="eastAsia" w:ascii="宋体" w:hAnsi="宋体" w:eastAsia="宋体" w:cs="宋体"/>
                <w:color w:val="auto"/>
                <w:spacing w:val="9"/>
                <w:sz w:val="21"/>
                <w:szCs w:val="21"/>
              </w:rPr>
              <w:t>承包壹级</w:t>
            </w:r>
            <w:r>
              <w:rPr>
                <w:rFonts w:hint="eastAsia" w:cs="宋体"/>
                <w:color w:val="auto"/>
                <w:spacing w:val="9"/>
                <w:sz w:val="21"/>
                <w:szCs w:val="21"/>
                <w:lang w:eastAsia="zh-CN"/>
              </w:rPr>
              <w:t>；</w:t>
            </w:r>
            <w:r>
              <w:rPr>
                <w:rFonts w:hint="eastAsia" w:cs="宋体"/>
                <w:color w:val="auto"/>
                <w:spacing w:val="9"/>
                <w:sz w:val="21"/>
                <w:szCs w:val="21"/>
                <w:lang w:val="en-US" w:eastAsia="zh-CN"/>
              </w:rPr>
              <w:t>电力</w:t>
            </w:r>
            <w:r>
              <w:rPr>
                <w:rFonts w:hint="eastAsia" w:ascii="宋体" w:hAnsi="宋体" w:eastAsia="宋体" w:cs="宋体"/>
                <w:color w:val="auto"/>
                <w:spacing w:val="9"/>
                <w:sz w:val="21"/>
                <w:szCs w:val="21"/>
              </w:rPr>
              <w:t>工程施工总承包壹级；</w:t>
            </w:r>
            <w:r>
              <w:rPr>
                <w:rFonts w:hint="eastAsia" w:cs="宋体"/>
                <w:color w:val="auto"/>
                <w:spacing w:val="9"/>
                <w:sz w:val="21"/>
                <w:szCs w:val="21"/>
                <w:lang w:val="en-US" w:eastAsia="zh-CN"/>
              </w:rPr>
              <w:t>矿山</w:t>
            </w:r>
            <w:r>
              <w:rPr>
                <w:rFonts w:hint="eastAsia" w:ascii="宋体" w:hAnsi="宋体" w:eastAsia="宋体" w:cs="宋体"/>
                <w:color w:val="auto"/>
                <w:spacing w:val="9"/>
                <w:sz w:val="21"/>
                <w:szCs w:val="21"/>
              </w:rPr>
              <w:t>工程</w:t>
            </w:r>
            <w:r>
              <w:rPr>
                <w:rFonts w:hint="eastAsia" w:cs="宋体"/>
                <w:color w:val="auto"/>
                <w:spacing w:val="9"/>
                <w:sz w:val="21"/>
                <w:szCs w:val="21"/>
                <w:lang w:val="en-US" w:eastAsia="zh-CN"/>
              </w:rPr>
              <w:t>施工总</w:t>
            </w:r>
            <w:r>
              <w:rPr>
                <w:rFonts w:hint="eastAsia" w:ascii="宋体" w:hAnsi="宋体" w:eastAsia="宋体" w:cs="宋体"/>
                <w:color w:val="auto"/>
                <w:spacing w:val="9"/>
                <w:sz w:val="21"/>
                <w:szCs w:val="21"/>
              </w:rPr>
              <w:t>承包壹</w:t>
            </w:r>
            <w:r>
              <w:rPr>
                <w:rFonts w:hint="eastAsia" w:ascii="宋体" w:hAnsi="宋体" w:eastAsia="宋体" w:cs="宋体"/>
                <w:color w:val="auto"/>
                <w:spacing w:val="9"/>
                <w:sz w:val="21"/>
                <w:szCs w:val="21"/>
                <w:lang w:val="en-US" w:eastAsia="zh-CN"/>
              </w:rPr>
              <w:t>级。</w:t>
            </w:r>
          </w:p>
        </w:tc>
      </w:tr>
      <w:tr w14:paraId="3C820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5" w:type="dxa"/>
            <w:vAlign w:val="center"/>
          </w:tcPr>
          <w:p w14:paraId="788343C9">
            <w:pPr>
              <w:jc w:val="center"/>
              <w:rPr>
                <w:rFonts w:hint="eastAsia" w:ascii="宋体" w:hAnsi="宋体" w:eastAsia="宋体" w:cs="宋体"/>
                <w:b/>
                <w:bCs/>
                <w:color w:val="auto"/>
                <w:spacing w:val="8"/>
                <w:sz w:val="21"/>
                <w:szCs w:val="21"/>
              </w:rPr>
            </w:pPr>
            <w:r>
              <w:rPr>
                <w:rFonts w:hint="eastAsia" w:ascii="宋体" w:hAnsi="宋体" w:eastAsia="宋体" w:cs="宋体"/>
                <w:b/>
                <w:bCs/>
                <w:color w:val="auto"/>
                <w:spacing w:val="8"/>
                <w:sz w:val="21"/>
                <w:szCs w:val="21"/>
                <w:lang w:val="en-US" w:eastAsia="zh-CN"/>
              </w:rPr>
              <w:t>监理单位：江西同济建设项目管理股份有限公司</w:t>
            </w:r>
          </w:p>
        </w:tc>
        <w:tc>
          <w:tcPr>
            <w:tcW w:w="1118" w:type="dxa"/>
            <w:vAlign w:val="center"/>
          </w:tcPr>
          <w:p w14:paraId="27CC07A4">
            <w:pPr>
              <w:jc w:val="center"/>
              <w:rPr>
                <w:rFonts w:hint="eastAsia" w:ascii="宋体" w:hAnsi="宋体" w:eastAsia="宋体" w:cs="宋体"/>
                <w:color w:val="auto"/>
                <w:spacing w:val="8"/>
                <w:sz w:val="21"/>
                <w:szCs w:val="21"/>
              </w:rPr>
            </w:pPr>
            <w:r>
              <w:rPr>
                <w:rFonts w:hint="eastAsia" w:ascii="宋体" w:hAnsi="宋体" w:eastAsia="宋体" w:cs="宋体"/>
                <w:color w:val="auto"/>
                <w:spacing w:val="8"/>
                <w:sz w:val="21"/>
                <w:szCs w:val="21"/>
              </w:rPr>
              <w:t>工程监理资质证书</w:t>
            </w:r>
          </w:p>
        </w:tc>
        <w:tc>
          <w:tcPr>
            <w:tcW w:w="1290" w:type="dxa"/>
            <w:vAlign w:val="center"/>
          </w:tcPr>
          <w:p w14:paraId="498229B1">
            <w:pPr>
              <w:jc w:val="center"/>
              <w:rPr>
                <w:rFonts w:hint="eastAsia" w:ascii="宋体" w:hAnsi="宋体" w:eastAsia="宋体" w:cs="宋体"/>
                <w:color w:val="auto"/>
                <w:spacing w:val="4"/>
                <w:sz w:val="21"/>
                <w:szCs w:val="21"/>
              </w:rPr>
            </w:pPr>
            <w:r>
              <w:rPr>
                <w:rFonts w:hint="eastAsia" w:ascii="宋体" w:hAnsi="宋体" w:eastAsia="宋体" w:cs="宋体"/>
                <w:color w:val="auto"/>
                <w:spacing w:val="3"/>
                <w:sz w:val="21"/>
                <w:szCs w:val="21"/>
              </w:rPr>
              <w:t>E1</w:t>
            </w:r>
            <w:r>
              <w:rPr>
                <w:rFonts w:hint="eastAsia" w:ascii="宋体" w:hAnsi="宋体" w:cs="宋体"/>
                <w:color w:val="auto"/>
                <w:spacing w:val="3"/>
                <w:sz w:val="21"/>
                <w:szCs w:val="21"/>
                <w:lang w:val="en-US" w:eastAsia="zh-CN"/>
              </w:rPr>
              <w:t>36000378</w:t>
            </w:r>
          </w:p>
        </w:tc>
        <w:tc>
          <w:tcPr>
            <w:tcW w:w="989" w:type="dxa"/>
            <w:vAlign w:val="center"/>
          </w:tcPr>
          <w:p w14:paraId="10341EAC">
            <w:pPr>
              <w:jc w:val="center"/>
              <w:rPr>
                <w:rFonts w:hint="eastAsia" w:ascii="宋体" w:hAnsi="宋体" w:eastAsia="宋体" w:cs="宋体"/>
                <w:color w:val="auto"/>
                <w:spacing w:val="4"/>
                <w:sz w:val="21"/>
                <w:szCs w:val="21"/>
              </w:rPr>
            </w:pPr>
            <w:r>
              <w:rPr>
                <w:rFonts w:hint="eastAsia" w:ascii="宋体" w:hAnsi="宋体" w:eastAsia="宋体" w:cs="宋体"/>
                <w:color w:val="auto"/>
                <w:spacing w:val="4"/>
                <w:sz w:val="21"/>
                <w:szCs w:val="21"/>
              </w:rPr>
              <w:t>202</w:t>
            </w:r>
            <w:r>
              <w:rPr>
                <w:rFonts w:hint="eastAsia" w:ascii="宋体" w:hAnsi="宋体" w:cs="宋体"/>
                <w:color w:val="auto"/>
                <w:spacing w:val="4"/>
                <w:sz w:val="21"/>
                <w:szCs w:val="21"/>
                <w:lang w:val="en-US" w:eastAsia="zh-CN"/>
              </w:rPr>
              <w:t>8</w:t>
            </w:r>
            <w:r>
              <w:rPr>
                <w:rFonts w:hint="eastAsia" w:ascii="宋体" w:hAnsi="宋体" w:eastAsia="宋体" w:cs="宋体"/>
                <w:color w:val="auto"/>
                <w:spacing w:val="4"/>
                <w:sz w:val="21"/>
                <w:szCs w:val="21"/>
              </w:rPr>
              <w:t>-</w:t>
            </w:r>
            <w:r>
              <w:rPr>
                <w:rFonts w:hint="eastAsia" w:ascii="宋体" w:hAnsi="宋体" w:cs="宋体"/>
                <w:color w:val="auto"/>
                <w:spacing w:val="4"/>
                <w:sz w:val="21"/>
                <w:szCs w:val="21"/>
                <w:lang w:val="en-US" w:eastAsia="zh-CN"/>
              </w:rPr>
              <w:t>12</w:t>
            </w:r>
            <w:r>
              <w:rPr>
                <w:rFonts w:hint="eastAsia" w:ascii="宋体" w:hAnsi="宋体" w:eastAsia="宋体" w:cs="宋体"/>
                <w:color w:val="auto"/>
                <w:spacing w:val="4"/>
                <w:sz w:val="21"/>
                <w:szCs w:val="21"/>
              </w:rPr>
              <w:t>-</w:t>
            </w:r>
            <w:r>
              <w:rPr>
                <w:rFonts w:hint="eastAsia" w:ascii="宋体" w:hAnsi="宋体" w:cs="宋体"/>
                <w:color w:val="auto"/>
                <w:spacing w:val="4"/>
                <w:sz w:val="21"/>
                <w:szCs w:val="21"/>
                <w:lang w:val="en-US" w:eastAsia="zh-CN"/>
              </w:rPr>
              <w:t>22</w:t>
            </w:r>
          </w:p>
        </w:tc>
        <w:tc>
          <w:tcPr>
            <w:tcW w:w="1388" w:type="dxa"/>
            <w:vAlign w:val="center"/>
          </w:tcPr>
          <w:p w14:paraId="4B51B652">
            <w:pPr>
              <w:jc w:val="center"/>
              <w:rPr>
                <w:rFonts w:hint="eastAsia" w:ascii="宋体" w:hAnsi="宋体" w:eastAsia="宋体" w:cs="宋体"/>
                <w:color w:val="auto"/>
                <w:spacing w:val="7"/>
                <w:sz w:val="21"/>
                <w:szCs w:val="21"/>
              </w:rPr>
            </w:pPr>
            <w:r>
              <w:rPr>
                <w:rFonts w:hint="eastAsia" w:ascii="宋体" w:hAnsi="宋体" w:eastAsia="宋体" w:cs="宋体"/>
                <w:color w:val="auto"/>
                <w:spacing w:val="7"/>
                <w:sz w:val="21"/>
                <w:szCs w:val="21"/>
              </w:rPr>
              <w:t>中华人民共和国住房和城</w:t>
            </w:r>
            <w:r>
              <w:rPr>
                <w:rFonts w:hint="eastAsia" w:ascii="宋体" w:hAnsi="宋体" w:eastAsia="宋体" w:cs="宋体"/>
                <w:color w:val="auto"/>
                <w:spacing w:val="5"/>
                <w:sz w:val="21"/>
                <w:szCs w:val="21"/>
              </w:rPr>
              <w:t>乡建设部</w:t>
            </w:r>
          </w:p>
        </w:tc>
        <w:tc>
          <w:tcPr>
            <w:tcW w:w="2488" w:type="dxa"/>
            <w:vAlign w:val="center"/>
          </w:tcPr>
          <w:p w14:paraId="25BDC2FD">
            <w:pPr>
              <w:pStyle w:val="26"/>
              <w:spacing w:before="34" w:line="234" w:lineRule="auto"/>
              <w:ind w:left="9" w:right="5" w:firstLine="2"/>
              <w:rPr>
                <w:rFonts w:hint="eastAsia" w:ascii="宋体" w:hAnsi="宋体" w:eastAsia="宋体" w:cs="宋体"/>
                <w:color w:val="auto"/>
                <w:spacing w:val="11"/>
                <w:sz w:val="21"/>
                <w:szCs w:val="21"/>
                <w:lang w:val="en-US" w:eastAsia="zh-CN"/>
              </w:rPr>
            </w:pPr>
            <w:r>
              <w:rPr>
                <w:rFonts w:hint="eastAsia" w:ascii="宋体" w:hAnsi="宋体" w:eastAsia="宋体" w:cs="宋体"/>
                <w:color w:val="auto"/>
                <w:spacing w:val="11"/>
                <w:sz w:val="21"/>
                <w:szCs w:val="21"/>
                <w:lang w:val="en-US" w:eastAsia="zh-CN"/>
              </w:rPr>
              <w:t>工程监理综合资质。</w:t>
            </w:r>
          </w:p>
          <w:p w14:paraId="34FEE8C4">
            <w:pPr>
              <w:jc w:val="center"/>
              <w:rPr>
                <w:rFonts w:hint="eastAsia" w:ascii="宋体" w:hAnsi="宋体" w:eastAsia="宋体" w:cs="宋体"/>
                <w:color w:val="auto"/>
                <w:spacing w:val="11"/>
                <w:sz w:val="21"/>
                <w:szCs w:val="21"/>
              </w:rPr>
            </w:pPr>
            <w:r>
              <w:rPr>
                <w:rFonts w:hint="eastAsia" w:ascii="宋体" w:hAnsi="宋体" w:eastAsia="宋体" w:cs="宋体"/>
                <w:color w:val="auto"/>
                <w:spacing w:val="11"/>
                <w:sz w:val="21"/>
                <w:szCs w:val="21"/>
                <w:lang w:val="en-US" w:eastAsia="zh-CN"/>
              </w:rPr>
              <w:t>可承担所有专业工程类别建设项目的工程监理业务。</w:t>
            </w:r>
          </w:p>
        </w:tc>
      </w:tr>
      <w:tr w14:paraId="755DE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5" w:type="dxa"/>
            <w:vAlign w:val="center"/>
          </w:tcPr>
          <w:p w14:paraId="77378953">
            <w:pPr>
              <w:jc w:val="center"/>
              <w:rPr>
                <w:rFonts w:hint="default" w:ascii="宋体" w:hAnsi="宋体" w:eastAsia="宋体" w:cs="宋体"/>
                <w:b/>
                <w:bCs/>
                <w:color w:val="auto"/>
                <w:spacing w:val="8"/>
                <w:sz w:val="21"/>
                <w:szCs w:val="21"/>
                <w:lang w:val="en-US" w:eastAsia="zh-CN"/>
              </w:rPr>
            </w:pPr>
            <w:r>
              <w:rPr>
                <w:rFonts w:hint="eastAsia" w:ascii="宋体" w:hAnsi="宋体" w:eastAsia="宋体" w:cs="宋体"/>
                <w:b/>
                <w:bCs/>
                <w:color w:val="auto"/>
                <w:spacing w:val="8"/>
                <w:sz w:val="21"/>
                <w:szCs w:val="21"/>
                <w:lang w:val="en-US" w:eastAsia="zh-CN"/>
              </w:rPr>
              <w:t>设计单位：</w:t>
            </w:r>
            <w:r>
              <w:rPr>
                <w:rFonts w:hint="eastAsia" w:ascii="宋体" w:hAnsi="宋体" w:cs="Times New Roman"/>
                <w:b/>
                <w:bCs/>
                <w:kern w:val="2"/>
                <w:sz w:val="21"/>
                <w:szCs w:val="21"/>
                <w:lang w:val="en-US" w:eastAsia="zh-CN" w:bidi="ar-SA"/>
              </w:rPr>
              <w:t>中舜国际工程设计有限公司</w:t>
            </w:r>
          </w:p>
        </w:tc>
        <w:tc>
          <w:tcPr>
            <w:tcW w:w="1118" w:type="dxa"/>
            <w:vAlign w:val="center"/>
          </w:tcPr>
          <w:p w14:paraId="7B55F614">
            <w:pPr>
              <w:jc w:val="center"/>
              <w:rPr>
                <w:rFonts w:hint="default" w:ascii="宋体" w:hAnsi="宋体" w:eastAsia="宋体" w:cs="宋体"/>
                <w:color w:val="auto"/>
                <w:spacing w:val="8"/>
                <w:sz w:val="21"/>
                <w:szCs w:val="21"/>
                <w:lang w:val="en-US" w:eastAsia="zh-CN"/>
              </w:rPr>
            </w:pPr>
            <w:r>
              <w:rPr>
                <w:rFonts w:hint="eastAsia" w:ascii="宋体" w:hAnsi="宋体" w:cs="Times New Roman"/>
                <w:kern w:val="2"/>
                <w:sz w:val="21"/>
                <w:szCs w:val="21"/>
                <w:lang w:val="en-US" w:eastAsia="zh-CN" w:bidi="ar-SA"/>
              </w:rPr>
              <w:t>工程设计资质证书</w:t>
            </w:r>
          </w:p>
        </w:tc>
        <w:tc>
          <w:tcPr>
            <w:tcW w:w="1290" w:type="dxa"/>
            <w:vAlign w:val="center"/>
          </w:tcPr>
          <w:p w14:paraId="57A33E7C">
            <w:pPr>
              <w:jc w:val="center"/>
              <w:rPr>
                <w:rFonts w:hint="default" w:ascii="宋体" w:hAnsi="宋体" w:eastAsia="宋体" w:cs="宋体"/>
                <w:color w:val="auto"/>
                <w:spacing w:val="3"/>
                <w:sz w:val="21"/>
                <w:szCs w:val="21"/>
                <w:lang w:val="en-US" w:eastAsia="zh-CN"/>
              </w:rPr>
            </w:pPr>
            <w:r>
              <w:rPr>
                <w:rFonts w:hint="eastAsia" w:ascii="宋体" w:hAnsi="宋体" w:eastAsia="宋体" w:cs="宋体"/>
                <w:color w:val="auto"/>
                <w:spacing w:val="3"/>
                <w:sz w:val="21"/>
                <w:szCs w:val="21"/>
                <w:lang w:val="en-US" w:eastAsia="zh-CN"/>
              </w:rPr>
              <w:t>A261012237</w:t>
            </w:r>
          </w:p>
        </w:tc>
        <w:tc>
          <w:tcPr>
            <w:tcW w:w="989" w:type="dxa"/>
            <w:vAlign w:val="center"/>
          </w:tcPr>
          <w:p w14:paraId="03F3F39C">
            <w:pPr>
              <w:jc w:val="center"/>
              <w:rPr>
                <w:rFonts w:hint="default"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2024-11-11</w:t>
            </w:r>
          </w:p>
        </w:tc>
        <w:tc>
          <w:tcPr>
            <w:tcW w:w="1388" w:type="dxa"/>
            <w:vAlign w:val="center"/>
          </w:tcPr>
          <w:p w14:paraId="2BC9FC32">
            <w:pPr>
              <w:jc w:val="center"/>
              <w:rPr>
                <w:rFonts w:hint="default" w:ascii="宋体" w:hAnsi="宋体" w:eastAsia="宋体" w:cs="宋体"/>
                <w:color w:val="auto"/>
                <w:spacing w:val="7"/>
                <w:sz w:val="21"/>
                <w:szCs w:val="21"/>
                <w:lang w:val="en-US" w:eastAsia="zh-CN"/>
              </w:rPr>
            </w:pPr>
            <w:r>
              <w:rPr>
                <w:rFonts w:hint="eastAsia" w:ascii="宋体" w:hAnsi="宋体" w:eastAsia="宋体" w:cs="宋体"/>
                <w:color w:val="auto"/>
                <w:spacing w:val="7"/>
                <w:sz w:val="21"/>
                <w:szCs w:val="21"/>
                <w:lang w:val="en-US" w:eastAsia="zh-CN"/>
              </w:rPr>
              <w:t>陕西省住房和城乡建设厅</w:t>
            </w:r>
          </w:p>
        </w:tc>
        <w:tc>
          <w:tcPr>
            <w:tcW w:w="2488" w:type="dxa"/>
            <w:vAlign w:val="center"/>
          </w:tcPr>
          <w:p w14:paraId="5795DC22">
            <w:pPr>
              <w:jc w:val="center"/>
              <w:rPr>
                <w:rFonts w:hint="eastAsia" w:ascii="宋体" w:hAnsi="宋体" w:eastAsia="宋体" w:cs="宋体"/>
                <w:color w:val="auto"/>
                <w:spacing w:val="11"/>
                <w:sz w:val="21"/>
                <w:szCs w:val="21"/>
                <w:lang w:val="en-US" w:eastAsia="zh-CN"/>
              </w:rPr>
            </w:pPr>
            <w:r>
              <w:rPr>
                <w:rFonts w:hint="eastAsia" w:ascii="宋体" w:hAnsi="宋体" w:eastAsia="宋体" w:cs="宋体"/>
                <w:color w:val="auto"/>
                <w:spacing w:val="11"/>
                <w:sz w:val="21"/>
                <w:szCs w:val="21"/>
                <w:lang w:val="en-US" w:eastAsia="zh-CN"/>
              </w:rPr>
              <w:t>工程设计专业资质建筑行业建筑工程 乙级</w:t>
            </w:r>
          </w:p>
          <w:p w14:paraId="2670591A">
            <w:pPr>
              <w:jc w:val="center"/>
              <w:rPr>
                <w:rFonts w:hint="eastAsia" w:ascii="宋体" w:hAnsi="宋体" w:eastAsia="宋体" w:cs="宋体"/>
                <w:color w:val="auto"/>
                <w:spacing w:val="11"/>
                <w:sz w:val="21"/>
                <w:szCs w:val="21"/>
                <w:lang w:val="en-US" w:eastAsia="zh-CN"/>
              </w:rPr>
            </w:pPr>
            <w:r>
              <w:rPr>
                <w:rFonts w:hint="eastAsia" w:ascii="宋体" w:hAnsi="宋体" w:eastAsia="宋体" w:cs="宋体"/>
                <w:color w:val="auto"/>
                <w:spacing w:val="11"/>
                <w:sz w:val="21"/>
                <w:szCs w:val="21"/>
                <w:lang w:val="en-US" w:eastAsia="zh-CN"/>
              </w:rPr>
              <w:t>工程设计专业资质轻纺行业家电电子及日用机械 乙级工程设计专业资质市政行业排水工程乙级。</w:t>
            </w:r>
          </w:p>
        </w:tc>
      </w:tr>
    </w:tbl>
    <w:p w14:paraId="0A32CB40">
      <w:pPr>
        <w:pStyle w:val="4"/>
        <w:pageBreakBefore w:val="0"/>
        <w:kinsoku/>
        <w:wordWrap/>
        <w:overflowPunct/>
        <w:topLinePunct w:val="0"/>
        <w:autoSpaceDE/>
        <w:autoSpaceDN/>
        <w:bidi w:val="0"/>
        <w:spacing w:line="420" w:lineRule="exact"/>
        <w:textAlignment w:val="auto"/>
        <w:rPr>
          <w:rFonts w:hint="eastAsia" w:ascii="宋体" w:hAnsi="宋体" w:eastAsia="宋体" w:cs="宋体"/>
          <w:b/>
          <w:bCs w:val="0"/>
          <w:color w:val="000000"/>
          <w:lang w:val="en-US"/>
        </w:rPr>
      </w:pPr>
      <w:bookmarkStart w:id="173" w:name="_Toc15409"/>
      <w:bookmarkStart w:id="174" w:name="_Toc7561"/>
      <w:bookmarkStart w:id="175" w:name="_Toc3225"/>
      <w:r>
        <w:rPr>
          <w:rFonts w:hint="eastAsia" w:ascii="宋体" w:hAnsi="宋体" w:eastAsia="宋体" w:cs="宋体"/>
          <w:b/>
          <w:bCs w:val="0"/>
          <w:color w:val="000000"/>
        </w:rPr>
        <w:t>2.</w:t>
      </w:r>
      <w:r>
        <w:rPr>
          <w:rFonts w:hint="eastAsia" w:ascii="宋体" w:hAnsi="宋体" w:eastAsia="宋体" w:cs="宋体"/>
          <w:b/>
          <w:bCs w:val="0"/>
          <w:color w:val="000000"/>
          <w:lang w:val="en-US" w:eastAsia="zh-CN"/>
        </w:rPr>
        <w:t>1</w:t>
      </w:r>
      <w:r>
        <w:rPr>
          <w:rFonts w:hint="eastAsia" w:ascii="宋体" w:hAnsi="宋体" w:eastAsia="宋体" w:cs="宋体"/>
          <w:b/>
          <w:bCs w:val="0"/>
          <w:color w:val="000000"/>
        </w:rPr>
        <w:t>.</w:t>
      </w:r>
      <w:r>
        <w:rPr>
          <w:rFonts w:hint="eastAsia" w:ascii="宋体" w:hAnsi="宋体" w:eastAsia="宋体" w:cs="宋体"/>
          <w:b/>
          <w:bCs w:val="0"/>
          <w:color w:val="000000"/>
          <w:lang w:val="en-US" w:eastAsia="zh-CN"/>
        </w:rPr>
        <w:t>7项目竣工验收情况：</w:t>
      </w:r>
      <w:bookmarkEnd w:id="173"/>
      <w:bookmarkEnd w:id="174"/>
      <w:bookmarkEnd w:id="175"/>
    </w:p>
    <w:p w14:paraId="2729CC61">
      <w:pPr>
        <w:keepNext w:val="0"/>
        <w:keepLines w:val="0"/>
        <w:pageBreakBefore w:val="0"/>
        <w:widowControl w:val="0"/>
        <w:kinsoku/>
        <w:wordWrap/>
        <w:overflowPunct/>
        <w:topLinePunct w:val="0"/>
        <w:autoSpaceDE/>
        <w:autoSpaceDN/>
        <w:bidi w:val="0"/>
        <w:adjustRightInd/>
        <w:snapToGrid/>
        <w:spacing w:line="420" w:lineRule="exact"/>
        <w:ind w:firstLine="454" w:firstLineChars="0"/>
        <w:jc w:val="left"/>
        <w:textAlignment w:val="auto"/>
        <w:rPr>
          <w:rFonts w:hint="eastAsia" w:ascii="宋体" w:hAnsi="宋体" w:cs="Times New Roman"/>
          <w:kern w:val="2"/>
          <w:sz w:val="28"/>
          <w:szCs w:val="28"/>
          <w:lang w:val="en-US" w:eastAsia="zh-CN" w:bidi="ar-SA"/>
        </w:rPr>
      </w:pPr>
      <w:r>
        <w:rPr>
          <w:rFonts w:hint="eastAsia" w:ascii="宋体" w:hAnsi="宋体" w:cs="Times New Roman"/>
          <w:kern w:val="2"/>
          <w:sz w:val="28"/>
          <w:szCs w:val="28"/>
          <w:lang w:val="en-US" w:eastAsia="zh-CN" w:bidi="ar-SA"/>
        </w:rPr>
        <w:t>华能澜沧江（景洪）新能源有限公司景洪市</w:t>
      </w:r>
      <w:r>
        <w:rPr>
          <w:rFonts w:hint="eastAsia" w:ascii="宋体" w:hAnsi="宋体" w:eastAsia="宋体" w:cs="宋体"/>
          <w:color w:val="auto"/>
          <w:kern w:val="0"/>
          <w:sz w:val="28"/>
          <w:szCs w:val="28"/>
          <w:lang w:val="en-US" w:eastAsia="zh-CN" w:bidi="ar"/>
        </w:rPr>
        <w:t>景讷乡大寨村云盘光伏</w:t>
      </w:r>
      <w:r>
        <w:rPr>
          <w:rFonts w:hint="eastAsia" w:ascii="宋体" w:hAnsi="宋体" w:cs="Times New Roman"/>
          <w:kern w:val="2"/>
          <w:sz w:val="28"/>
          <w:szCs w:val="28"/>
          <w:lang w:val="en-US" w:eastAsia="zh-CN" w:bidi="ar-SA"/>
        </w:rPr>
        <w:t>发电项目</w:t>
      </w:r>
      <w:r>
        <w:rPr>
          <w:rFonts w:hint="eastAsia" w:ascii="宋体" w:hAnsi="宋体" w:eastAsia="宋体" w:cs="Times New Roman"/>
          <w:kern w:val="2"/>
          <w:sz w:val="28"/>
          <w:szCs w:val="28"/>
          <w:lang w:val="en-US" w:eastAsia="zh-CN" w:bidi="ar-SA"/>
        </w:rPr>
        <w:t>现已建成及投产使用，项目建设已按规范设计完成施工，经设计、监理、施工、建设单位</w:t>
      </w:r>
      <w:r>
        <w:rPr>
          <w:rFonts w:hint="eastAsia" w:ascii="宋体" w:hAnsi="宋体" w:cs="Times New Roman"/>
          <w:kern w:val="2"/>
          <w:sz w:val="28"/>
          <w:szCs w:val="28"/>
          <w:lang w:val="en-US" w:eastAsia="zh-CN" w:bidi="ar-SA"/>
        </w:rPr>
        <w:t>等</w:t>
      </w:r>
      <w:r>
        <w:rPr>
          <w:rFonts w:hint="eastAsia" w:ascii="宋体" w:hAnsi="宋体" w:eastAsia="宋体" w:cs="Times New Roman"/>
          <w:kern w:val="2"/>
          <w:sz w:val="28"/>
          <w:szCs w:val="28"/>
          <w:lang w:val="en-US" w:eastAsia="zh-CN" w:bidi="ar-SA"/>
        </w:rPr>
        <w:t>验收合格</w:t>
      </w:r>
      <w:r>
        <w:rPr>
          <w:rFonts w:hint="eastAsia" w:ascii="宋体" w:hAnsi="宋体" w:cs="Times New Roman"/>
          <w:kern w:val="2"/>
          <w:sz w:val="28"/>
          <w:szCs w:val="28"/>
          <w:lang w:val="en-US" w:eastAsia="zh-CN" w:bidi="ar-SA"/>
        </w:rPr>
        <w:t>，</w:t>
      </w:r>
      <w:r>
        <w:rPr>
          <w:rFonts w:hint="eastAsia" w:ascii="宋体" w:hAnsi="宋体" w:eastAsia="宋体" w:cs="Times New Roman"/>
          <w:kern w:val="2"/>
          <w:sz w:val="28"/>
          <w:szCs w:val="28"/>
          <w:lang w:val="en-US" w:eastAsia="zh-CN" w:bidi="ar-SA"/>
        </w:rPr>
        <w:t>工程质量符合要求</w:t>
      </w:r>
      <w:r>
        <w:rPr>
          <w:rFonts w:hint="eastAsia" w:ascii="宋体" w:hAnsi="宋体" w:cs="Times New Roman"/>
          <w:kern w:val="2"/>
          <w:sz w:val="28"/>
          <w:szCs w:val="28"/>
          <w:lang w:val="en-US" w:eastAsia="zh-CN" w:bidi="ar-SA"/>
        </w:rPr>
        <w:t>。</w:t>
      </w:r>
    </w:p>
    <w:p w14:paraId="5EFDD8AF">
      <w:pPr>
        <w:pStyle w:val="3"/>
        <w:pageBreakBefore w:val="0"/>
        <w:kinsoku/>
        <w:wordWrap/>
        <w:overflowPunct/>
        <w:topLinePunct w:val="0"/>
        <w:autoSpaceDE/>
        <w:autoSpaceDN/>
        <w:bidi w:val="0"/>
        <w:spacing w:line="420" w:lineRule="exact"/>
        <w:textAlignment w:val="auto"/>
        <w:rPr>
          <w:rFonts w:hint="eastAsia" w:ascii="宋体" w:hAnsi="宋体" w:eastAsia="宋体" w:cs="宋体"/>
        </w:rPr>
      </w:pPr>
      <w:bookmarkStart w:id="176" w:name="_Toc16047"/>
      <w:bookmarkStart w:id="177" w:name="_Toc29557"/>
      <w:bookmarkStart w:id="178" w:name="_Toc23477"/>
      <w:bookmarkStart w:id="179" w:name="_Toc393960902"/>
      <w:bookmarkStart w:id="180" w:name="_Toc400711463"/>
      <w:r>
        <w:rPr>
          <w:rFonts w:hint="eastAsia" w:ascii="宋体" w:hAnsi="宋体" w:eastAsia="宋体" w:cs="宋体"/>
        </w:rPr>
        <w:t xml:space="preserve">2.2 </w:t>
      </w:r>
      <w:r>
        <w:rPr>
          <w:rFonts w:hint="eastAsia" w:ascii="宋体" w:hAnsi="宋体" w:eastAsia="宋体" w:cs="宋体"/>
          <w:lang w:val="en-US" w:eastAsia="zh-CN"/>
        </w:rPr>
        <w:t>自然环境条件</w:t>
      </w:r>
      <w:bookmarkEnd w:id="176"/>
      <w:bookmarkEnd w:id="177"/>
      <w:bookmarkEnd w:id="178"/>
    </w:p>
    <w:bookmarkEnd w:id="179"/>
    <w:bookmarkEnd w:id="180"/>
    <w:p w14:paraId="20E3C322">
      <w:pPr>
        <w:pStyle w:val="4"/>
        <w:pageBreakBefore w:val="0"/>
        <w:kinsoku/>
        <w:wordWrap/>
        <w:overflowPunct/>
        <w:topLinePunct w:val="0"/>
        <w:autoSpaceDE/>
        <w:autoSpaceDN/>
        <w:bidi w:val="0"/>
        <w:spacing w:line="420" w:lineRule="exact"/>
        <w:textAlignment w:val="auto"/>
        <w:rPr>
          <w:rFonts w:eastAsia="宋体"/>
          <w:b/>
        </w:rPr>
      </w:pPr>
      <w:bookmarkStart w:id="181" w:name="_Toc329781919"/>
      <w:bookmarkStart w:id="182" w:name="_Toc295771891"/>
      <w:bookmarkStart w:id="183" w:name="_Toc20894"/>
      <w:bookmarkStart w:id="184" w:name="_Toc27854"/>
      <w:bookmarkStart w:id="185" w:name="_Toc15697"/>
      <w:bookmarkStart w:id="186" w:name="_Toc400711464"/>
      <w:r>
        <w:rPr>
          <w:rFonts w:hint="eastAsia" w:ascii="宋体" w:hAnsi="宋体" w:eastAsia="宋体" w:cs="宋体"/>
          <w:b/>
        </w:rPr>
        <w:t>2.2.</w:t>
      </w:r>
      <w:r>
        <w:rPr>
          <w:rFonts w:hint="eastAsia" w:ascii="宋体" w:hAnsi="宋体" w:eastAsia="宋体" w:cs="宋体"/>
          <w:b/>
          <w:lang w:val="en-US" w:eastAsia="zh-CN"/>
        </w:rPr>
        <w:t>1</w:t>
      </w:r>
      <w:r>
        <w:rPr>
          <w:rFonts w:hint="eastAsia" w:ascii="宋体" w:hAnsi="宋体" w:eastAsia="宋体" w:cs="宋体"/>
          <w:b/>
        </w:rPr>
        <w:t xml:space="preserve"> 地</w:t>
      </w:r>
      <w:bookmarkEnd w:id="181"/>
      <w:bookmarkEnd w:id="182"/>
      <w:r>
        <w:rPr>
          <w:rFonts w:hint="eastAsia" w:ascii="宋体" w:hAnsi="宋体" w:eastAsia="宋体" w:cs="宋体"/>
          <w:b/>
        </w:rPr>
        <w:t>理位置</w:t>
      </w:r>
      <w:bookmarkEnd w:id="183"/>
      <w:bookmarkEnd w:id="184"/>
      <w:bookmarkEnd w:id="185"/>
    </w:p>
    <w:bookmarkEnd w:id="186"/>
    <w:p w14:paraId="3D5D7A09">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本光伏发电项目场址位于云南省西双版纳自治州景洪市普文镇境内，拟建场区以山坡地为主；场区坡度集中在 </w:t>
      </w:r>
      <w:r>
        <w:rPr>
          <w:rFonts w:hint="default" w:ascii="Times New Roman" w:hAnsi="Times New Roman" w:eastAsia="宋体" w:cs="Times New Roman"/>
          <w:color w:val="000000"/>
          <w:kern w:val="0"/>
          <w:sz w:val="28"/>
          <w:szCs w:val="28"/>
          <w:lang w:val="en-US" w:eastAsia="zh-CN" w:bidi="ar"/>
        </w:rPr>
        <w:t>25</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~40</w:t>
      </w:r>
      <w:r>
        <w:rPr>
          <w:rFonts w:hint="eastAsia" w:ascii="宋体" w:hAnsi="宋体" w:eastAsia="宋体" w:cs="宋体"/>
          <w:color w:val="000000"/>
          <w:kern w:val="0"/>
          <w:sz w:val="28"/>
          <w:szCs w:val="28"/>
          <w:lang w:val="en-US" w:eastAsia="zh-CN" w:bidi="ar"/>
        </w:rPr>
        <w:t xml:space="preserve">°之间，中心坐标东经 </w:t>
      </w:r>
      <w:r>
        <w:rPr>
          <w:rFonts w:hint="default" w:ascii="Times New Roman" w:hAnsi="Times New Roman" w:eastAsia="宋体" w:cs="Times New Roman"/>
          <w:color w:val="000000"/>
          <w:kern w:val="0"/>
          <w:sz w:val="28"/>
          <w:szCs w:val="28"/>
          <w:lang w:val="en-US" w:eastAsia="zh-CN" w:bidi="ar"/>
        </w:rPr>
        <w:t>101</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0</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24.58</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101</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01</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05.7</w:t>
      </w:r>
      <w:r>
        <w:rPr>
          <w:rFonts w:hint="eastAsia" w:ascii="宋体" w:hAnsi="宋体" w:eastAsia="宋体" w:cs="宋体"/>
          <w:color w:val="000000"/>
          <w:kern w:val="0"/>
          <w:sz w:val="28"/>
          <w:szCs w:val="28"/>
          <w:lang w:val="en-US" w:eastAsia="zh-CN" w:bidi="ar"/>
        </w:rPr>
        <w:t xml:space="preserve">″，北纬 </w:t>
      </w:r>
      <w:r>
        <w:rPr>
          <w:rFonts w:hint="default" w:ascii="Times New Roman" w:hAnsi="Times New Roman" w:eastAsia="宋体" w:cs="Times New Roman"/>
          <w:color w:val="000000"/>
          <w:kern w:val="0"/>
          <w:sz w:val="28"/>
          <w:szCs w:val="28"/>
          <w:lang w:val="en-US" w:eastAsia="zh-CN" w:bidi="ar"/>
        </w:rPr>
        <w:t>22</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32</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01.2</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22</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31</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0.6</w:t>
      </w:r>
      <w:r>
        <w:rPr>
          <w:rFonts w:hint="eastAsia" w:ascii="宋体" w:hAnsi="宋体" w:eastAsia="宋体" w:cs="宋体"/>
          <w:color w:val="000000"/>
          <w:kern w:val="0"/>
          <w:sz w:val="28"/>
          <w:szCs w:val="28"/>
          <w:lang w:val="en-US" w:eastAsia="zh-CN" w:bidi="ar"/>
        </w:rPr>
        <w:t>″，海拔介于</w:t>
      </w:r>
      <w:r>
        <w:rPr>
          <w:rFonts w:hint="default" w:ascii="Times New Roman" w:hAnsi="Times New Roman" w:eastAsia="宋体" w:cs="Times New Roman"/>
          <w:color w:val="000000"/>
          <w:kern w:val="0"/>
          <w:sz w:val="28"/>
          <w:szCs w:val="28"/>
          <w:lang w:val="en-US" w:eastAsia="zh-CN" w:bidi="ar"/>
        </w:rPr>
        <w:t>970m</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 xml:space="preserve">1285m </w:t>
      </w:r>
      <w:r>
        <w:rPr>
          <w:rFonts w:hint="eastAsia" w:ascii="宋体" w:hAnsi="宋体" w:eastAsia="宋体" w:cs="宋体"/>
          <w:color w:val="000000"/>
          <w:kern w:val="0"/>
          <w:sz w:val="28"/>
          <w:szCs w:val="28"/>
          <w:lang w:val="en-US" w:eastAsia="zh-CN" w:bidi="ar"/>
        </w:rPr>
        <w:t>之间，场区范围约</w:t>
      </w:r>
      <w:r>
        <w:rPr>
          <w:rFonts w:hint="default" w:ascii="Times New Roman" w:hAnsi="Times New Roman" w:eastAsia="宋体" w:cs="Times New Roman"/>
          <w:color w:val="000000"/>
          <w:kern w:val="0"/>
          <w:sz w:val="28"/>
          <w:szCs w:val="28"/>
          <w:lang w:val="en-US" w:eastAsia="zh-CN" w:bidi="ar"/>
        </w:rPr>
        <w:t>1800</w:t>
      </w:r>
      <w:r>
        <w:rPr>
          <w:rFonts w:hint="eastAsia" w:ascii="宋体" w:hAnsi="宋体" w:eastAsia="宋体" w:cs="宋体"/>
          <w:color w:val="000000"/>
          <w:kern w:val="0"/>
          <w:sz w:val="28"/>
          <w:szCs w:val="28"/>
          <w:lang w:val="en-US" w:eastAsia="zh-CN" w:bidi="ar"/>
        </w:rPr>
        <w:t>亩。场址中部有乡村公路通过，场址区有数条简易公路通过，交通运输条件较为便利。</w:t>
      </w:r>
    </w:p>
    <w:p w14:paraId="29B6B6E1">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rPr>
          <w:rFonts w:hint="eastAsia" w:ascii="宋体" w:hAnsi="宋体" w:cs="Times New Roman"/>
          <w:kern w:val="2"/>
          <w:sz w:val="28"/>
          <w:szCs w:val="28"/>
          <w:lang w:val="en-US" w:eastAsia="zh-CN" w:bidi="ar-SA"/>
        </w:rPr>
      </w:pPr>
      <w:r>
        <w:rPr>
          <w:rFonts w:hint="eastAsia" w:ascii="宋体" w:hAnsi="宋体" w:cs="Times New Roman"/>
          <w:kern w:val="2"/>
          <w:sz w:val="28"/>
          <w:szCs w:val="28"/>
          <w:lang w:val="en-US" w:eastAsia="zh-CN" w:bidi="ar-SA"/>
        </w:rPr>
        <w:t>具体位置详见图2.2.1-1项目地理位置图。</w:t>
      </w:r>
    </w:p>
    <w:p w14:paraId="410CA723">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工程占地及其附近区域不涉及自然保护区、饮用水水源保护区、森林公园、风景名胜区、文物、名胜古迹等环境敏感区，不涉及生态红线，也未见珍稀保护动植物及其集中分布区。 </w:t>
      </w:r>
    </w:p>
    <w:p w14:paraId="2FB8819C">
      <w:pPr>
        <w:pageBreakBefore w:val="0"/>
        <w:kinsoku/>
        <w:wordWrap/>
        <w:overflowPunct/>
        <w:topLinePunct w:val="0"/>
        <w:autoSpaceDE/>
        <w:autoSpaceDN/>
        <w:bidi w:val="0"/>
        <w:spacing w:line="420" w:lineRule="exact"/>
        <w:ind w:firstLine="482"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cs="宋体"/>
          <w:b/>
          <w:bCs/>
          <w:sz w:val="24"/>
          <w:szCs w:val="24"/>
        </w:rPr>
        <w:drawing>
          <wp:anchor distT="0" distB="0" distL="114300" distR="114300" simplePos="0" relativeHeight="251663360" behindDoc="0" locked="0" layoutInCell="1" allowOverlap="1">
            <wp:simplePos x="0" y="0"/>
            <wp:positionH relativeFrom="column">
              <wp:posOffset>99060</wp:posOffset>
            </wp:positionH>
            <wp:positionV relativeFrom="paragraph">
              <wp:posOffset>391795</wp:posOffset>
            </wp:positionV>
            <wp:extent cx="5170805" cy="7407910"/>
            <wp:effectExtent l="0" t="0" r="10795" b="8890"/>
            <wp:wrapTopAndBottom/>
            <wp:docPr id="14" name="图片 14" descr="44b30409d8f156e9d5e71000f4531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44b30409d8f156e9d5e71000f4531441"/>
                    <pic:cNvPicPr>
                      <a:picLocks noChangeAspect="1"/>
                    </pic:cNvPicPr>
                  </pic:nvPicPr>
                  <pic:blipFill>
                    <a:blip r:embed="rId31"/>
                    <a:stretch>
                      <a:fillRect/>
                    </a:stretch>
                  </pic:blipFill>
                  <pic:spPr>
                    <a:xfrm>
                      <a:off x="0" y="0"/>
                      <a:ext cx="5170805" cy="7407910"/>
                    </a:xfrm>
                    <a:prstGeom prst="rect">
                      <a:avLst/>
                    </a:prstGeom>
                  </pic:spPr>
                </pic:pic>
              </a:graphicData>
            </a:graphic>
          </wp:anchor>
        </w:drawing>
      </w:r>
      <w:r>
        <w:rPr>
          <w:rFonts w:hint="eastAsia" w:ascii="宋体" w:hAnsi="宋体" w:eastAsia="宋体" w:cs="宋体"/>
          <w:color w:val="000000"/>
          <w:kern w:val="0"/>
          <w:sz w:val="28"/>
          <w:szCs w:val="28"/>
          <w:lang w:val="en-US" w:eastAsia="zh-CN" w:bidi="ar"/>
        </w:rPr>
        <w:t xml:space="preserve">光伏电场周围 </w:t>
      </w:r>
      <w:r>
        <w:rPr>
          <w:rFonts w:hint="default" w:ascii="Times New Roman" w:hAnsi="Times New Roman" w:eastAsia="宋体" w:cs="Times New Roman"/>
          <w:color w:val="000000"/>
          <w:kern w:val="0"/>
          <w:sz w:val="28"/>
          <w:szCs w:val="28"/>
          <w:lang w:val="en-US" w:eastAsia="zh-CN" w:bidi="ar"/>
        </w:rPr>
        <w:t xml:space="preserve">200m </w:t>
      </w:r>
      <w:r>
        <w:rPr>
          <w:rFonts w:hint="eastAsia" w:ascii="宋体" w:hAnsi="宋体" w:eastAsia="宋体" w:cs="宋体"/>
          <w:color w:val="000000"/>
          <w:kern w:val="0"/>
          <w:sz w:val="28"/>
          <w:szCs w:val="28"/>
          <w:lang w:val="en-US" w:eastAsia="zh-CN" w:bidi="ar"/>
        </w:rPr>
        <w:t>范围内无环境敏感目标。</w:t>
      </w:r>
    </w:p>
    <w:p w14:paraId="22F9EBD8">
      <w:pPr>
        <w:pStyle w:val="20"/>
        <w:ind w:left="0" w:leftChars="0" w:firstLine="0" w:firstLineChars="0"/>
        <w:rPr>
          <w:rFonts w:hint="eastAsia"/>
          <w:lang w:val="zh-CN"/>
        </w:rPr>
      </w:pPr>
      <w:r>
        <w:rPr>
          <w:sz w:val="24"/>
        </w:rPr>
        <mc:AlternateContent>
          <mc:Choice Requires="wps">
            <w:drawing>
              <wp:anchor distT="0" distB="0" distL="114300" distR="114300" simplePos="0" relativeHeight="251665408" behindDoc="0" locked="0" layoutInCell="1" allowOverlap="1">
                <wp:simplePos x="0" y="0"/>
                <wp:positionH relativeFrom="column">
                  <wp:posOffset>1738630</wp:posOffset>
                </wp:positionH>
                <wp:positionV relativeFrom="paragraph">
                  <wp:posOffset>958215</wp:posOffset>
                </wp:positionV>
                <wp:extent cx="914400" cy="267335"/>
                <wp:effectExtent l="4445" t="4445" r="8255" b="7620"/>
                <wp:wrapNone/>
                <wp:docPr id="22" name="文本框 22"/>
                <wp:cNvGraphicFramePr/>
                <a:graphic xmlns:a="http://schemas.openxmlformats.org/drawingml/2006/main">
                  <a:graphicData uri="http://schemas.microsoft.com/office/word/2010/wordprocessingShape">
                    <wps:wsp>
                      <wps:cNvSpPr txBox="1"/>
                      <wps:spPr>
                        <a:xfrm>
                          <a:off x="2878455" y="2319020"/>
                          <a:ext cx="914400" cy="2673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C3E8F0E">
                            <w:pPr>
                              <w:rPr>
                                <w:rFonts w:hint="default" w:eastAsia="宋体"/>
                                <w:lang w:val="en-US" w:eastAsia="zh-CN"/>
                              </w:rPr>
                            </w:pPr>
                            <w:r>
                              <w:rPr>
                                <w:rFonts w:hint="eastAsia"/>
                                <w:lang w:val="en-US" w:eastAsia="zh-CN"/>
                              </w:rPr>
                              <w:t>项目所在地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6.9pt;margin-top:75.45pt;height:21.05pt;width:72pt;z-index:251665408;mso-width-relative:page;mso-height-relative:page;" fillcolor="#FFFFFF [3201]" filled="t" stroked="t" coordsize="21600,21600" o:gfxdata="UEsDBAoAAAAAAIdO4kAAAAAAAAAAAAAAAAAEAAAAZHJzL1BLAwQUAAAACACHTuJApK3YUNcAAAAL&#10;AQAADwAAAGRycy9kb3ducmV2LnhtbE2PwU7DMBBE70j8g7VI3KidBFoa4lQCCQlxo82Fmxtvkwh7&#10;HcVuU/6e5dQed2Y0+6banL0TJ5ziEEhDtlAgkNpgB+o0NLv3h2cQMRmyxgVCDb8YYVPf3lSmtGGm&#10;LzxtUye4hGJpNPQpjaWUse3Rm7gIIxJ7hzB5k/icOmknM3O5dzJXaim9GYg/9GbEtx7bn+3Ra/hY&#10;vqZvbOynLfIizI1sp4OLWt/fZeoFRMJzuoThH5/RoWamfTiSjcJpyFcFoyc2ntQaBCcesxUre1bW&#10;hQJZV/J6Q/0HUEsDBBQAAAAIAIdO4kCQdMQYYQIAAMQEAAAOAAAAZHJzL2Uyb0RvYy54bWytVM1u&#10;EzEQviPxDpbvdDd/bRp1U4VUQUgVrRQQZ8frzVrYHmM72S0PAG/AiQt3nqvPwdi76S+HHsjBGXs+&#10;fTPzzcyenbdakb1wXoIp6OAop0QYDqU024J++rh6M6XEB2ZKpsCIgt4IT8/nr1+dNXYmhlCDKoUj&#10;SGL8rLEFrUOwsyzzvBaa+SOwwqCzAqdZwKvbZqVjDbJrlQ3z/DhrwJXWARfe4+tF56Q9o3sJIVSV&#10;5OIC+E4LEzpWJxQLWJKvpfV0nrKtKsHDVVV5EYgqKFYa0olB0N7EM5ufsdnWMVtL3qfAXpLCk5o0&#10;kwaD3lFdsMDIzslnVFpyBx6qcMRBZ10hSRGsYpA/0WZdMytSLSi1t3ei+/9Hyz/srx2RZUGHQ0oM&#10;09jx258/bn/9uf39neAbCtRYP0Pc2iIytG+hxbE5vHt8jHW3ldPxHysi6B9OT6bjyYSSG7RHg9N8&#10;2Est2kA4Ak4H43GOTeARcHwyGk0iY3ZPZJ0P7wRoEo2COuxkEpjtL33ooAdIjOtByXIllUoXt90s&#10;lSN7hl1fpV/P/gimDGkKejya5In5kS9y31FsFONfnjNgtspg0lGfTodohXbT9qJtoLxBzRx0Y+ct&#10;X0nkvWQ+XDOHc4YC4CaGKzwqBZgM9BYlNbhv/3qPeGw/eilpcG4L6r/umBOUqPcGByMJi4OeLuPJ&#10;CQpP3EPP5qHH7PQSUKQB7rzlyYz4oA5m5UB/xoVdxKjoYoZj7IKGg7kM3TbhwnOxWCQQjrZl4dKs&#10;LY/UsSUGFrsAlUytizJ12vTq4XCn5veLGLfn4T2h7j8+87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krdhQ1wAAAAsBAAAPAAAAAAAAAAEAIAAAACIAAABkcnMvZG93bnJldi54bWxQSwECFAAUAAAA&#10;CACHTuJAkHTEGGECAADEBAAADgAAAAAAAAABACAAAAAmAQAAZHJzL2Uyb0RvYy54bWxQSwUGAAAA&#10;AAYABgBZAQAA+QUAAAAA&#10;">
                <v:fill on="t" focussize="0,0"/>
                <v:stroke weight="0.5pt" color="#000000 [3204]" joinstyle="round"/>
                <v:imagedata o:title=""/>
                <o:lock v:ext="edit" aspectratio="f"/>
                <v:textbox>
                  <w:txbxContent>
                    <w:p w14:paraId="7C3E8F0E">
                      <w:pPr>
                        <w:rPr>
                          <w:rFonts w:hint="default" w:eastAsia="宋体"/>
                          <w:lang w:val="en-US" w:eastAsia="zh-CN"/>
                        </w:rPr>
                      </w:pPr>
                      <w:r>
                        <w:rPr>
                          <w:rFonts w:hint="eastAsia"/>
                          <w:lang w:val="en-US" w:eastAsia="zh-CN"/>
                        </w:rPr>
                        <w:t>项目所在地</w:t>
                      </w:r>
                    </w:p>
                  </w:txbxContent>
                </v:textbox>
              </v:shape>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column">
                  <wp:posOffset>1939925</wp:posOffset>
                </wp:positionH>
                <wp:positionV relativeFrom="paragraph">
                  <wp:posOffset>1153795</wp:posOffset>
                </wp:positionV>
                <wp:extent cx="156845" cy="458470"/>
                <wp:effectExtent l="27305" t="15875" r="19050" b="8255"/>
                <wp:wrapNone/>
                <wp:docPr id="17" name="直接箭头连接符 17"/>
                <wp:cNvGraphicFramePr/>
                <a:graphic xmlns:a="http://schemas.openxmlformats.org/drawingml/2006/main">
                  <a:graphicData uri="http://schemas.microsoft.com/office/word/2010/wordprocessingShape">
                    <wps:wsp>
                      <wps:cNvCnPr/>
                      <wps:spPr>
                        <a:xfrm flipH="1">
                          <a:off x="2947670" y="2784475"/>
                          <a:ext cx="156845" cy="458470"/>
                        </a:xfrm>
                        <a:prstGeom prst="straightConnector1">
                          <a:avLst/>
                        </a:prstGeom>
                        <a:ln w="31750" cap="rnd">
                          <a:solidFill>
                            <a:schemeClr val="accent6"/>
                          </a:solidFill>
                          <a:round/>
                          <a:tailEnd type="arrow" w="med" len="med"/>
                        </a:ln>
                      </wps:spPr>
                      <wps:style>
                        <a:lnRef idx="0">
                          <a:srgbClr val="FFFFFF"/>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152.75pt;margin-top:90.85pt;height:36.1pt;width:12.35pt;z-index:251664384;mso-width-relative:page;mso-height-relative:page;" filled="f" stroked="t" coordsize="21600,21600" o:gfxdata="UEsDBAoAAAAAAIdO4kAAAAAAAAAAAAAAAAAEAAAAZHJzL1BLAwQUAAAACACHTuJA0FDCxNgAAAAL&#10;AQAADwAAAGRycy9kb3ducmV2LnhtbE2Py07DMBBF90j8gzVIbFBrJ1HaEuJ0QWHVFSkSWzcekgg/&#10;othpzd8zrGA5ukf3nqn3yRp2wTmM3knI1gIYus7r0fUS3k+vqx2wEJXTyniHEr4xwL65valVpf3V&#10;veGljT2jEhcqJWGIcao4D92AVoW1n9BR9ulnqyKdc8/1rK5Ubg3Phdhwq0ZHC4Oa8HnA7qtdrIR2&#10;Iz4e8v74cvQHbw6Wp2lJScr7u0w8AYuY4h8Mv/qkDg05nf3idGBGQiHKklAKdtkWGBFFIXJgZwl5&#10;WTwCb2r+/4fmB1BLAwQUAAAACACHTuJARsQfLwwCAADQAwAADgAAAGRycy9lMm9Eb2MueG1srVNL&#10;jhMxEN0jcQfLe9JJ6E5CK51ZJBlYIIgEHMCx3WlL/qnspJNLcAEkVsBqYDV7TgPDMSh3hwGGzSzY&#10;WGW76tV7z+X5xdFocpAQlLMVHQ2GlEjLnVB2V9E3ry8fzSgJkVnBtLOyoicZ6MXi4YN560s5do3T&#10;QgJBEBvK1le0idGXWRZ4Iw0LA+elxcvagWERt7DLBLAW0Y3OxsPhJGsdCA+OyxDwdNVf0jMi3AfQ&#10;1bXicuX43kgbe1SQmkWUFBrlA110bOta8viyroOMRFcUlcZuxSYYb9OaLeas3AHzjeJnCuw+FO5o&#10;MkxZbHoLtWKRkT2of6CM4uCCq+OAO5P1QjpHUMVoeMebVw3zstOCVgd/a3r4f7D8xWEDRAmchCkl&#10;lhl88Zt319/ffrz58vnbh+sfX9+n+OoTwXs0q/WhxJql3cB5F/wGkvJjDYbUWvlniNV5gerIsaLj&#10;J/l0MkXDTxhPZ3k+LXrb5TESjgmjYjLLC0o4JuTFLMdcxM56yATtIcSn0hmSgoqGCEztmrh01uID&#10;O+jbscPzEPvCXwWp2LpLpTWes1Jb0lb08WhaIBvOcHjBio5qcFqJlJfSAuy2Sw3kwHBo1kW+LNZn&#10;Qn+lgdtb0eFGpvTaChJPHu1jAK6lqZORghIt8ZulqKemLUpLLva+pWjrxKmzszvHh+7En4cyTdKf&#10;+67690dc/A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QUMLE2AAAAAsBAAAPAAAAAAAAAAEAIAAA&#10;ACIAAABkcnMvZG93bnJldi54bWxQSwECFAAUAAAACACHTuJARsQfLwwCAADQAwAADgAAAAAAAAAB&#10;ACAAAAAnAQAAZHJzL2Uyb0RvYy54bWxQSwUGAAAAAAYABgBZAQAApQUAAAAA&#10;">
                <v:fill on="f" focussize="0,0"/>
                <v:stroke weight="2.5pt" color="#E54C5E [3209]" joinstyle="round" endcap="round" endarrow="open"/>
                <v:imagedata o:title=""/>
                <o:lock v:ext="edit" aspectratio="f"/>
              </v:shape>
            </w:pict>
          </mc:Fallback>
        </mc:AlternateContent>
      </w:r>
      <w:r>
        <w:rPr>
          <w:sz w:val="24"/>
        </w:rPr>
        <mc:AlternateContent>
          <mc:Choice Requires="wps">
            <w:drawing>
              <wp:anchor distT="0" distB="0" distL="114300" distR="114300" simplePos="0" relativeHeight="251662336" behindDoc="0" locked="0" layoutInCell="1" allowOverlap="1">
                <wp:simplePos x="0" y="0"/>
                <wp:positionH relativeFrom="column">
                  <wp:posOffset>2111375</wp:posOffset>
                </wp:positionH>
                <wp:positionV relativeFrom="paragraph">
                  <wp:posOffset>6221095</wp:posOffset>
                </wp:positionV>
                <wp:extent cx="79375" cy="447675"/>
                <wp:effectExtent l="15240" t="6350" r="19685" b="15875"/>
                <wp:wrapNone/>
                <wp:docPr id="10" name="下箭头 10"/>
                <wp:cNvGraphicFramePr/>
                <a:graphic xmlns:a="http://schemas.openxmlformats.org/drawingml/2006/main">
                  <a:graphicData uri="http://schemas.microsoft.com/office/word/2010/wordprocessingShape">
                    <wps:wsp>
                      <wps:cNvSpPr/>
                      <wps:spPr>
                        <a:xfrm>
                          <a:off x="2103755" y="2091690"/>
                          <a:ext cx="79375" cy="447675"/>
                        </a:xfrm>
                        <a:prstGeom prst="downArrow">
                          <a:avLst/>
                        </a:prstGeom>
                      </wps:spPr>
                      <wps:style>
                        <a:lnRef idx="0">
                          <a:srgbClr val="FFFFFF"/>
                        </a:lnRef>
                        <a:fillRef idx="1">
                          <a:schemeClr val="accent6"/>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66.25pt;margin-top:489.85pt;height:35.25pt;width:6.25pt;z-index:251662336;v-text-anchor:middle;mso-width-relative:page;mso-height-relative:page;" fillcolor="#E54C5E [3209]" filled="t" stroked="f" coordsize="21600,21600" o:gfxdata="UEsDBAoAAAAAAIdO4kAAAAAAAAAAAAAAAAAEAAAAZHJzL1BLAwQUAAAACACHTuJA3bAem9kAAAAM&#10;AQAADwAAAGRycy9kb3ducmV2LnhtbE2Py07DMBBF90j8gzVIbBC1mxBKQ5xKUJVVWdDSvRsPSUQy&#10;juLp6+8ZVrAczdG95xaLc9+pI46xDWRhOjGgkKrgW6otfG5X90+gIjvyrguEFi4YYVFeXxUu9+FE&#10;H3jccK0khGLuLDTMQ651rBrsXZyEAUl+X2HsHcs51tqP7iThfacTYx5171qShsYN+Npg9b059Bb8&#10;Xbt1ywv69e79Zccr5uUbsbW3N1PzDIrxzH8w/OqLOpTitA8H8lF1FtI0yQS1MJ/NZ6CESB8yWbcX&#10;1GQmAV0W+v+I8gdQSwMEFAAAAAgAh07iQIFtUNxHAgAAcwQAAA4AAABkcnMvZTJvRG9jLnhtbK1U&#10;wW4TMRC9I/EPlu9kk5A0JMqmipIWIVW0UkGcHa83a8n2mLGTTfkFfoNrOXHgg0D8BuPdbRsKhx64&#10;eGc8ozd+b2Z2fnqwhu0VBg0u54NenzPlJBTabXP+/t35i1echShcIQw4lfMbFfjp4vmzee1naggV&#10;mEIhIxAXZrXPeRWjn2VZkJWyIvTAK0fBEtCKSC5uswJFTejWZMN+/ySrAQuPIFUIdLtug7xDxKcA&#10;QllqqdYgd1a52KKiMiISpVBpH/iieW1ZKhkvyzKoyEzOiWlsTipC9iad2WIuZlsUvtKye4J4yhMe&#10;cbJCOyp6D7UWUbAd6r+grJYIAcrYk2CzlkijCLEY9B9pc10JrxouJHXw96KH/wcr3+6vkOmCJoEk&#10;ccJSx398//zr6+3PL98Y3ZFAtQ8zyrv2V9h5gczE9lCiTV/iwQ45Hw76LyfjMWc3ZPeng5NpJ7A6&#10;RCYpYTKlOGeS4qPR5IRsAswecDyG+FqBZcnIeQG1WyJC3Ugr9hchtvl3eal2AKOLc21M4+B2szLI&#10;9oL6fTYercZnXYk/0oxLOIlXyyRZGyhuSAqEdkaCl+eaXnEhQrwSSENB+tDaxEs6SgN1zqGzOKsA&#10;P/3rPuVTryjKWU1DlvPwcSdQcWbeOOridDAapalsnNF4MiQHjyOb44jb2RUQrwEtqJeNmfKjuTNL&#10;BPuBtmuZqlJIOEm1cy4j3jmr2A4/7adUy2WTRpPoRbxw114m8KSjg+UuQqkbvR/U6USjWWza1u1N&#10;GvZjv8l6+Fcsf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dsB6b2QAAAAwBAAAPAAAAAAAAAAEA&#10;IAAAACIAAABkcnMvZG93bnJldi54bWxQSwECFAAUAAAACACHTuJAgW1Q3EcCAABzBAAADgAAAAAA&#10;AAABACAAAAAoAQAAZHJzL2Uyb0RvYy54bWxQSwUGAAAAAAYABgBZAQAA4QUAAAAA&#10;" adj="19686,5400">
                <v:fill on="t" focussize="0,0"/>
                <v:stroke on="f"/>
                <v:imagedata o:title=""/>
                <o:lock v:ext="edit" aspectratio="f"/>
              </v:shape>
            </w:pict>
          </mc:Fallback>
        </mc:AlternateContent>
      </w:r>
    </w:p>
    <w:p w14:paraId="6E7C385A">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宋体" w:hAnsi="宋体" w:cs="宋体"/>
          <w:b/>
          <w:bCs/>
          <w:sz w:val="24"/>
          <w:szCs w:val="24"/>
        </w:rPr>
      </w:pPr>
      <w:r>
        <w:rPr>
          <w:rFonts w:hint="eastAsia" w:ascii="宋体" w:hAnsi="宋体" w:cs="宋体"/>
          <w:b/>
          <w:bCs/>
          <w:sz w:val="24"/>
          <w:szCs w:val="24"/>
          <w:lang w:val="zh-CN"/>
        </w:rPr>
        <w:t>图</w:t>
      </w:r>
      <w:r>
        <w:rPr>
          <w:rFonts w:hint="eastAsia" w:ascii="宋体" w:hAnsi="宋体" w:cs="宋体"/>
          <w:b/>
          <w:bCs/>
          <w:sz w:val="24"/>
          <w:szCs w:val="24"/>
          <w:lang w:val="en-US" w:eastAsia="zh-CN"/>
        </w:rPr>
        <w:t>2.2.1-1</w:t>
      </w:r>
      <w:r>
        <w:rPr>
          <w:rFonts w:hint="eastAsia" w:ascii="宋体" w:hAnsi="宋体" w:cs="宋体"/>
          <w:b/>
          <w:bCs/>
          <w:sz w:val="24"/>
          <w:szCs w:val="24"/>
        </w:rPr>
        <w:t xml:space="preserve"> </w:t>
      </w:r>
      <w:r>
        <w:rPr>
          <w:rFonts w:hint="eastAsia" w:ascii="宋体" w:hAnsi="宋体" w:cs="宋体"/>
          <w:b/>
          <w:bCs/>
          <w:sz w:val="24"/>
          <w:szCs w:val="24"/>
          <w:lang w:val="zh-CN"/>
        </w:rPr>
        <w:t>项目</w:t>
      </w:r>
      <w:r>
        <w:rPr>
          <w:rFonts w:hint="eastAsia" w:ascii="宋体" w:hAnsi="宋体" w:cs="宋体"/>
          <w:b/>
          <w:bCs/>
          <w:sz w:val="24"/>
          <w:szCs w:val="24"/>
          <w:lang w:val="en-US" w:eastAsia="zh-CN"/>
        </w:rPr>
        <w:t>地理</w:t>
      </w:r>
      <w:r>
        <w:rPr>
          <w:rFonts w:hint="eastAsia" w:ascii="宋体" w:hAnsi="宋体" w:cs="宋体"/>
          <w:b/>
          <w:bCs/>
          <w:sz w:val="24"/>
          <w:szCs w:val="24"/>
          <w:lang w:val="zh-CN"/>
        </w:rPr>
        <w:t>位置</w:t>
      </w:r>
      <w:r>
        <w:rPr>
          <w:rFonts w:hint="eastAsia" w:ascii="宋体" w:hAnsi="宋体" w:cs="宋体"/>
          <w:b/>
          <w:bCs/>
          <w:sz w:val="24"/>
          <w:szCs w:val="24"/>
        </w:rPr>
        <w:t>图</w:t>
      </w:r>
    </w:p>
    <w:p w14:paraId="6C4520B6">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sz w:val="28"/>
          <w:szCs w:val="28"/>
        </w:rPr>
      </w:pPr>
      <w:bookmarkStart w:id="187" w:name="_Toc15624"/>
      <w:bookmarkStart w:id="188" w:name="_Toc18635"/>
      <w:bookmarkStart w:id="189" w:name="_Toc4842"/>
      <w:r>
        <w:rPr>
          <w:rFonts w:hint="eastAsia" w:ascii="宋体" w:hAnsi="宋体" w:eastAsia="宋体" w:cs="宋体"/>
          <w:b/>
          <w:sz w:val="28"/>
          <w:szCs w:val="28"/>
        </w:rPr>
        <w:t>2.2.</w:t>
      </w:r>
      <w:r>
        <w:rPr>
          <w:rFonts w:hint="eastAsia" w:ascii="宋体" w:hAnsi="宋体" w:eastAsia="宋体" w:cs="宋体"/>
          <w:b/>
          <w:sz w:val="28"/>
          <w:szCs w:val="28"/>
          <w:lang w:val="en-US" w:eastAsia="zh-CN"/>
        </w:rPr>
        <w:t>2</w:t>
      </w:r>
      <w:r>
        <w:rPr>
          <w:rFonts w:hint="eastAsia" w:ascii="宋体" w:hAnsi="宋体" w:eastAsia="宋体" w:cs="宋体"/>
          <w:b/>
          <w:sz w:val="28"/>
          <w:szCs w:val="28"/>
        </w:rPr>
        <w:t>周边环境状况</w:t>
      </w:r>
      <w:bookmarkEnd w:id="187"/>
      <w:bookmarkEnd w:id="188"/>
      <w:bookmarkEnd w:id="189"/>
    </w:p>
    <w:p w14:paraId="15F46738">
      <w:pPr>
        <w:pageBreakBefore w:val="0"/>
        <w:widowControl w:val="0"/>
        <w:kinsoku/>
        <w:wordWrap/>
        <w:overflowPunct/>
        <w:topLinePunct w:val="0"/>
        <w:autoSpaceDE/>
        <w:autoSpaceDN/>
        <w:bidi w:val="0"/>
        <w:spacing w:line="420" w:lineRule="exact"/>
        <w:jc w:val="both"/>
        <w:textAlignment w:val="auto"/>
        <w:rPr>
          <w:rFonts w:hint="eastAsia" w:ascii="宋体" w:hAnsi="宋体" w:eastAsia="宋体" w:cs="宋体"/>
          <w:b/>
          <w:bCs/>
          <w:sz w:val="28"/>
          <w:szCs w:val="28"/>
        </w:rPr>
      </w:pPr>
      <w:r>
        <w:rPr>
          <w:rFonts w:hint="eastAsia" w:ascii="宋体" w:hAnsi="宋体" w:eastAsia="宋体" w:cs="宋体"/>
          <w:snapToGrid w:val="0"/>
          <w:sz w:val="28"/>
          <w:szCs w:val="28"/>
        </w:rPr>
        <w:t>2.2.</w:t>
      </w:r>
      <w:r>
        <w:rPr>
          <w:rFonts w:hint="eastAsia" w:ascii="宋体" w:hAnsi="宋体" w:eastAsia="宋体" w:cs="宋体"/>
          <w:snapToGrid w:val="0"/>
          <w:sz w:val="28"/>
          <w:szCs w:val="28"/>
          <w:lang w:val="en-US" w:eastAsia="zh-CN"/>
        </w:rPr>
        <w:t>2</w:t>
      </w:r>
      <w:r>
        <w:rPr>
          <w:rFonts w:hint="eastAsia" w:ascii="宋体" w:hAnsi="宋体" w:eastAsia="宋体" w:cs="宋体"/>
          <w:snapToGrid w:val="0"/>
          <w:sz w:val="28"/>
          <w:szCs w:val="28"/>
        </w:rPr>
        <w:t>.1 气象、</w:t>
      </w:r>
      <w:r>
        <w:rPr>
          <w:rFonts w:hint="eastAsia" w:ascii="宋体" w:hAnsi="宋体" w:cs="宋体"/>
          <w:snapToGrid w:val="0"/>
          <w:sz w:val="28"/>
          <w:szCs w:val="28"/>
          <w:lang w:val="en-US" w:eastAsia="zh-CN"/>
        </w:rPr>
        <w:t>水文</w:t>
      </w:r>
      <w:r>
        <w:rPr>
          <w:rFonts w:hint="eastAsia" w:ascii="宋体" w:hAnsi="宋体" w:eastAsia="宋体" w:cs="宋体"/>
          <w:snapToGrid w:val="0"/>
          <w:sz w:val="28"/>
          <w:szCs w:val="28"/>
        </w:rPr>
        <w:t>条件</w:t>
      </w:r>
    </w:p>
    <w:p w14:paraId="1DF6EFD8">
      <w:pPr>
        <w:pageBreakBefore w:val="0"/>
        <w:widowControl w:val="0"/>
        <w:kinsoku/>
        <w:wordWrap/>
        <w:overflowPunct/>
        <w:topLinePunct w:val="0"/>
        <w:autoSpaceDE/>
        <w:autoSpaceDN/>
        <w:bidi w:val="0"/>
        <w:spacing w:line="420" w:lineRule="exact"/>
        <w:ind w:firstLine="480"/>
        <w:textAlignment w:val="auto"/>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景洪市气温偏高、雨量正常略偏多，光照正常略偏少，春夏季大风灾害较重，雷电灾害轻，雨季开始期略早，结束期偏晚，雨季持续时间较长，局地短时强降雨天气比较突出。景洪市气象站部分多年气象特征值如下：</w:t>
      </w:r>
    </w:p>
    <w:p w14:paraId="7F070AA2">
      <w:pPr>
        <w:pageBreakBefore w:val="0"/>
        <w:widowControl w:val="0"/>
        <w:kinsoku/>
        <w:wordWrap/>
        <w:overflowPunct/>
        <w:topLinePunct w:val="0"/>
        <w:autoSpaceDE/>
        <w:autoSpaceDN/>
        <w:bidi w:val="0"/>
        <w:spacing w:line="420" w:lineRule="exact"/>
        <w:ind w:firstLine="480"/>
        <w:jc w:val="center"/>
        <w:textAlignment w:val="auto"/>
        <w:rPr>
          <w:rFonts w:hint="eastAsia" w:ascii="Times New Roman" w:hAnsi="Times New Roman" w:eastAsia="宋体" w:cs="Times New Roman"/>
          <w:b/>
          <w:bCs/>
          <w:color w:val="auto"/>
          <w:sz w:val="24"/>
          <w:lang w:eastAsia="zh-CN"/>
        </w:rPr>
      </w:pPr>
      <w:r>
        <w:rPr>
          <w:rFonts w:hint="eastAsia" w:ascii="Times New Roman" w:hAnsi="Times New Roman" w:eastAsia="宋体" w:cs="Times New Roman"/>
          <w:b/>
          <w:bCs/>
          <w:color w:val="auto"/>
          <w:sz w:val="24"/>
          <w:lang w:eastAsia="zh-CN"/>
        </w:rPr>
        <w:t>表</w:t>
      </w:r>
      <w:r>
        <w:rPr>
          <w:rFonts w:hint="eastAsia" w:ascii="Times New Roman" w:hAnsi="Times New Roman" w:eastAsia="宋体" w:cs="Times New Roman"/>
          <w:b/>
          <w:bCs/>
          <w:color w:val="auto"/>
          <w:sz w:val="24"/>
          <w:lang w:val="en-US" w:eastAsia="zh-CN"/>
        </w:rPr>
        <w:t>2-2</w:t>
      </w:r>
      <w:r>
        <w:rPr>
          <w:rFonts w:hint="eastAsia" w:ascii="Times New Roman" w:hAnsi="Times New Roman" w:eastAsia="宋体" w:cs="Times New Roman"/>
          <w:b/>
          <w:bCs/>
          <w:color w:val="auto"/>
          <w:sz w:val="24"/>
          <w:lang w:eastAsia="zh-CN"/>
        </w:rPr>
        <w:t xml:space="preserve">  景洪市气象站多年气象特征值</w:t>
      </w:r>
    </w:p>
    <w:tbl>
      <w:tblPr>
        <w:tblStyle w:val="25"/>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190"/>
        <w:gridCol w:w="2070"/>
        <w:gridCol w:w="2646"/>
      </w:tblGrid>
      <w:tr w14:paraId="49BD72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blHeader/>
        </w:trPr>
        <w:tc>
          <w:tcPr>
            <w:tcW w:w="2352" w:type="pct"/>
            <w:noWrap w:val="0"/>
            <w:vAlign w:val="center"/>
          </w:tcPr>
          <w:p w14:paraId="1BDD3D27">
            <w:pPr>
              <w:keepNext w:val="0"/>
              <w:keepLines w:val="0"/>
              <w:pageBreakBefore w:val="0"/>
              <w:widowControl w:val="0"/>
              <w:kinsoku/>
              <w:wordWrap/>
              <w:overflowPunct/>
              <w:topLinePunct w:val="0"/>
              <w:autoSpaceDE/>
              <w:autoSpaceDN/>
              <w:bidi w:val="0"/>
              <w:adjustRightInd w:val="0"/>
              <w:snapToGrid w:val="0"/>
              <w:spacing w:before="68" w:line="221" w:lineRule="auto"/>
              <w:ind w:left="0" w:leftChars="0" w:firstLine="0" w:firstLineChars="0"/>
              <w:jc w:val="center"/>
              <w:textAlignment w:val="auto"/>
              <w:rPr>
                <w:rFonts w:ascii="宋体" w:hAnsi="宋体" w:eastAsia="宋体" w:cs="宋体"/>
                <w:b/>
                <w:bCs/>
                <w:sz w:val="21"/>
                <w:szCs w:val="21"/>
              </w:rPr>
            </w:pPr>
            <w:r>
              <w:rPr>
                <w:rFonts w:ascii="宋体" w:hAnsi="宋体" w:eastAsia="宋体" w:cs="宋体"/>
                <w:b/>
                <w:bCs/>
                <w:spacing w:val="-3"/>
                <w:sz w:val="21"/>
                <w:szCs w:val="21"/>
              </w:rPr>
              <w:t>项目</w:t>
            </w:r>
          </w:p>
        </w:tc>
        <w:tc>
          <w:tcPr>
            <w:tcW w:w="1162" w:type="pct"/>
            <w:noWrap w:val="0"/>
            <w:vAlign w:val="center"/>
          </w:tcPr>
          <w:p w14:paraId="252C1C6C">
            <w:pPr>
              <w:keepNext w:val="0"/>
              <w:keepLines w:val="0"/>
              <w:pageBreakBefore w:val="0"/>
              <w:widowControl w:val="0"/>
              <w:kinsoku/>
              <w:wordWrap/>
              <w:overflowPunct/>
              <w:topLinePunct w:val="0"/>
              <w:autoSpaceDE/>
              <w:autoSpaceDN/>
              <w:bidi w:val="0"/>
              <w:adjustRightInd w:val="0"/>
              <w:snapToGrid w:val="0"/>
              <w:spacing w:before="67" w:line="221" w:lineRule="auto"/>
              <w:ind w:left="0" w:leftChars="0" w:firstLine="0" w:firstLineChars="0"/>
              <w:jc w:val="center"/>
              <w:textAlignment w:val="auto"/>
              <w:rPr>
                <w:rFonts w:ascii="宋体" w:hAnsi="宋体" w:eastAsia="宋体" w:cs="宋体"/>
                <w:b/>
                <w:bCs/>
                <w:sz w:val="21"/>
                <w:szCs w:val="21"/>
              </w:rPr>
            </w:pPr>
            <w:r>
              <w:rPr>
                <w:rFonts w:ascii="宋体" w:hAnsi="宋体" w:eastAsia="宋体" w:cs="宋体"/>
                <w:b/>
                <w:bCs/>
                <w:spacing w:val="-2"/>
                <w:sz w:val="21"/>
                <w:szCs w:val="21"/>
              </w:rPr>
              <w:t>数值</w:t>
            </w:r>
          </w:p>
        </w:tc>
        <w:tc>
          <w:tcPr>
            <w:tcW w:w="1485" w:type="pct"/>
            <w:noWrap w:val="0"/>
            <w:vAlign w:val="center"/>
          </w:tcPr>
          <w:p w14:paraId="6F729F80">
            <w:pPr>
              <w:keepNext w:val="0"/>
              <w:keepLines w:val="0"/>
              <w:pageBreakBefore w:val="0"/>
              <w:widowControl w:val="0"/>
              <w:kinsoku/>
              <w:wordWrap/>
              <w:overflowPunct/>
              <w:topLinePunct w:val="0"/>
              <w:autoSpaceDE/>
              <w:autoSpaceDN/>
              <w:bidi w:val="0"/>
              <w:adjustRightInd w:val="0"/>
              <w:snapToGrid w:val="0"/>
              <w:spacing w:before="67" w:line="222" w:lineRule="auto"/>
              <w:ind w:left="0" w:leftChars="0" w:firstLine="0" w:firstLineChars="0"/>
              <w:jc w:val="center"/>
              <w:textAlignment w:val="auto"/>
              <w:rPr>
                <w:rFonts w:ascii="宋体" w:hAnsi="宋体" w:eastAsia="宋体" w:cs="宋体"/>
                <w:b/>
                <w:bCs/>
                <w:sz w:val="21"/>
                <w:szCs w:val="21"/>
              </w:rPr>
            </w:pPr>
            <w:r>
              <w:rPr>
                <w:rFonts w:ascii="宋体" w:hAnsi="宋体" w:eastAsia="宋体" w:cs="宋体"/>
                <w:b/>
                <w:bCs/>
                <w:spacing w:val="-3"/>
                <w:sz w:val="21"/>
                <w:szCs w:val="21"/>
              </w:rPr>
              <w:t>备注</w:t>
            </w:r>
          </w:p>
        </w:tc>
      </w:tr>
      <w:tr w14:paraId="6FF9B7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2352" w:type="pct"/>
            <w:noWrap w:val="0"/>
            <w:vAlign w:val="center"/>
          </w:tcPr>
          <w:p w14:paraId="2EC3E8B7">
            <w:pPr>
              <w:keepNext w:val="0"/>
              <w:keepLines w:val="0"/>
              <w:pageBreakBefore w:val="0"/>
              <w:widowControl w:val="0"/>
              <w:kinsoku/>
              <w:wordWrap/>
              <w:overflowPunct/>
              <w:topLinePunct w:val="0"/>
              <w:autoSpaceDE/>
              <w:autoSpaceDN/>
              <w:bidi w:val="0"/>
              <w:adjustRightInd w:val="0"/>
              <w:snapToGrid w:val="0"/>
              <w:spacing w:before="75" w:line="222"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1"/>
                <w:sz w:val="21"/>
                <w:szCs w:val="21"/>
              </w:rPr>
              <w:t>气压</w:t>
            </w:r>
            <w:r>
              <w:rPr>
                <w:rFonts w:hint="eastAsia" w:ascii="宋体" w:hAnsi="宋体" w:cs="宋体"/>
                <w:spacing w:val="-1"/>
                <w:sz w:val="21"/>
                <w:szCs w:val="21"/>
                <w:lang w:eastAsia="zh-CN"/>
              </w:rPr>
              <w:t>（</w:t>
            </w:r>
            <w:r>
              <w:rPr>
                <w:rFonts w:ascii="宋体" w:hAnsi="宋体" w:eastAsia="宋体" w:cs="宋体"/>
                <w:spacing w:val="-1"/>
                <w:sz w:val="21"/>
                <w:szCs w:val="21"/>
              </w:rPr>
              <w:t>hPa)</w:t>
            </w:r>
          </w:p>
        </w:tc>
        <w:tc>
          <w:tcPr>
            <w:tcW w:w="1162" w:type="pct"/>
            <w:noWrap w:val="0"/>
            <w:vAlign w:val="center"/>
          </w:tcPr>
          <w:p w14:paraId="27821BFB">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ascii="Arial"/>
                <w:sz w:val="21"/>
              </w:rPr>
            </w:pPr>
          </w:p>
        </w:tc>
        <w:tc>
          <w:tcPr>
            <w:tcW w:w="1485" w:type="pct"/>
            <w:noWrap w:val="0"/>
            <w:vAlign w:val="center"/>
          </w:tcPr>
          <w:p w14:paraId="477688D9">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ascii="Arial"/>
                <w:sz w:val="21"/>
              </w:rPr>
            </w:pPr>
          </w:p>
        </w:tc>
      </w:tr>
      <w:tr w14:paraId="215E25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2352" w:type="pct"/>
            <w:noWrap w:val="0"/>
            <w:vAlign w:val="center"/>
          </w:tcPr>
          <w:p w14:paraId="4BE92B8B">
            <w:pPr>
              <w:keepNext w:val="0"/>
              <w:keepLines w:val="0"/>
              <w:pageBreakBefore w:val="0"/>
              <w:widowControl w:val="0"/>
              <w:kinsoku/>
              <w:wordWrap/>
              <w:overflowPunct/>
              <w:topLinePunct w:val="0"/>
              <w:autoSpaceDE/>
              <w:autoSpaceDN/>
              <w:bidi w:val="0"/>
              <w:adjustRightInd w:val="0"/>
              <w:snapToGrid w:val="0"/>
              <w:spacing w:before="68" w:line="221"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2"/>
                <w:sz w:val="21"/>
                <w:szCs w:val="21"/>
              </w:rPr>
              <w:t>多年平均最低气压</w:t>
            </w:r>
          </w:p>
        </w:tc>
        <w:tc>
          <w:tcPr>
            <w:tcW w:w="1162" w:type="pct"/>
            <w:noWrap w:val="0"/>
            <w:vAlign w:val="center"/>
          </w:tcPr>
          <w:p w14:paraId="72891B5E">
            <w:pPr>
              <w:keepNext w:val="0"/>
              <w:keepLines w:val="0"/>
              <w:pageBreakBefore w:val="0"/>
              <w:widowControl w:val="0"/>
              <w:kinsoku/>
              <w:wordWrap/>
              <w:overflowPunct/>
              <w:topLinePunct w:val="0"/>
              <w:autoSpaceDE/>
              <w:autoSpaceDN/>
              <w:bidi w:val="0"/>
              <w:adjustRightInd w:val="0"/>
              <w:snapToGrid w:val="0"/>
              <w:spacing w:before="104" w:line="182"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2"/>
                <w:sz w:val="21"/>
                <w:szCs w:val="21"/>
              </w:rPr>
              <w:t>939.3</w:t>
            </w:r>
          </w:p>
        </w:tc>
        <w:tc>
          <w:tcPr>
            <w:tcW w:w="1485" w:type="pct"/>
            <w:noWrap w:val="0"/>
            <w:vAlign w:val="center"/>
          </w:tcPr>
          <w:p w14:paraId="5EC0E427">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ascii="Arial"/>
                <w:sz w:val="21"/>
              </w:rPr>
            </w:pPr>
          </w:p>
        </w:tc>
      </w:tr>
      <w:tr w14:paraId="395F89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2352" w:type="pct"/>
            <w:noWrap w:val="0"/>
            <w:vAlign w:val="center"/>
          </w:tcPr>
          <w:p w14:paraId="77A7520C">
            <w:pPr>
              <w:keepNext w:val="0"/>
              <w:keepLines w:val="0"/>
              <w:pageBreakBefore w:val="0"/>
              <w:widowControl w:val="0"/>
              <w:kinsoku/>
              <w:wordWrap/>
              <w:overflowPunct/>
              <w:topLinePunct w:val="0"/>
              <w:autoSpaceDE/>
              <w:autoSpaceDN/>
              <w:bidi w:val="0"/>
              <w:adjustRightInd w:val="0"/>
              <w:snapToGrid w:val="0"/>
              <w:spacing w:before="75" w:line="221"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2"/>
                <w:sz w:val="21"/>
                <w:szCs w:val="21"/>
              </w:rPr>
              <w:t>多年平均最高气压</w:t>
            </w:r>
          </w:p>
        </w:tc>
        <w:tc>
          <w:tcPr>
            <w:tcW w:w="1162" w:type="pct"/>
            <w:noWrap w:val="0"/>
            <w:vAlign w:val="center"/>
          </w:tcPr>
          <w:p w14:paraId="2E976368">
            <w:pPr>
              <w:keepNext w:val="0"/>
              <w:keepLines w:val="0"/>
              <w:pageBreakBefore w:val="0"/>
              <w:widowControl w:val="0"/>
              <w:kinsoku/>
              <w:wordWrap/>
              <w:overflowPunct/>
              <w:topLinePunct w:val="0"/>
              <w:autoSpaceDE/>
              <w:autoSpaceDN/>
              <w:bidi w:val="0"/>
              <w:adjustRightInd w:val="0"/>
              <w:snapToGrid w:val="0"/>
              <w:spacing w:before="111" w:line="182"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2"/>
                <w:sz w:val="21"/>
                <w:szCs w:val="21"/>
              </w:rPr>
              <w:t>948.4</w:t>
            </w:r>
          </w:p>
        </w:tc>
        <w:tc>
          <w:tcPr>
            <w:tcW w:w="1485" w:type="pct"/>
            <w:noWrap w:val="0"/>
            <w:vAlign w:val="center"/>
          </w:tcPr>
          <w:p w14:paraId="15F283E4">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ascii="Arial"/>
                <w:sz w:val="21"/>
              </w:rPr>
            </w:pPr>
          </w:p>
        </w:tc>
      </w:tr>
      <w:tr w14:paraId="4EF426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2352" w:type="pct"/>
            <w:noWrap w:val="0"/>
            <w:vAlign w:val="center"/>
          </w:tcPr>
          <w:p w14:paraId="509DBE49">
            <w:pPr>
              <w:keepNext w:val="0"/>
              <w:keepLines w:val="0"/>
              <w:pageBreakBefore w:val="0"/>
              <w:widowControl w:val="0"/>
              <w:kinsoku/>
              <w:wordWrap/>
              <w:overflowPunct/>
              <w:topLinePunct w:val="0"/>
              <w:autoSpaceDE/>
              <w:autoSpaceDN/>
              <w:bidi w:val="0"/>
              <w:adjustRightInd w:val="0"/>
              <w:snapToGrid w:val="0"/>
              <w:spacing w:before="77" w:line="222"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2"/>
                <w:sz w:val="21"/>
                <w:szCs w:val="21"/>
              </w:rPr>
              <w:t>气温</w:t>
            </w:r>
            <w:r>
              <w:rPr>
                <w:rFonts w:hint="eastAsia" w:ascii="宋体" w:hAnsi="宋体" w:cs="宋体"/>
                <w:spacing w:val="-2"/>
                <w:sz w:val="21"/>
                <w:szCs w:val="21"/>
                <w:lang w:eastAsia="zh-CN"/>
              </w:rPr>
              <w:t>（</w:t>
            </w:r>
            <w:r>
              <w:rPr>
                <w:rFonts w:ascii="宋体" w:hAnsi="宋体" w:eastAsia="宋体" w:cs="宋体"/>
                <w:spacing w:val="-2"/>
                <w:sz w:val="21"/>
                <w:szCs w:val="21"/>
              </w:rPr>
              <w:t>℃)</w:t>
            </w:r>
          </w:p>
        </w:tc>
        <w:tc>
          <w:tcPr>
            <w:tcW w:w="1162" w:type="pct"/>
            <w:noWrap w:val="0"/>
            <w:vAlign w:val="center"/>
          </w:tcPr>
          <w:p w14:paraId="28A95642">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ascii="Arial"/>
                <w:sz w:val="21"/>
              </w:rPr>
            </w:pPr>
          </w:p>
        </w:tc>
        <w:tc>
          <w:tcPr>
            <w:tcW w:w="1485" w:type="pct"/>
            <w:noWrap w:val="0"/>
            <w:vAlign w:val="center"/>
          </w:tcPr>
          <w:p w14:paraId="7F7B1546">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ascii="Arial"/>
                <w:sz w:val="21"/>
              </w:rPr>
            </w:pPr>
          </w:p>
        </w:tc>
      </w:tr>
      <w:tr w14:paraId="30DDE3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2352" w:type="pct"/>
            <w:noWrap w:val="0"/>
            <w:vAlign w:val="center"/>
          </w:tcPr>
          <w:p w14:paraId="177DD2D2">
            <w:pPr>
              <w:keepNext w:val="0"/>
              <w:keepLines w:val="0"/>
              <w:pageBreakBefore w:val="0"/>
              <w:widowControl w:val="0"/>
              <w:kinsoku/>
              <w:wordWrap/>
              <w:overflowPunct/>
              <w:topLinePunct w:val="0"/>
              <w:autoSpaceDE/>
              <w:autoSpaceDN/>
              <w:bidi w:val="0"/>
              <w:adjustRightInd w:val="0"/>
              <w:snapToGrid w:val="0"/>
              <w:spacing w:before="69" w:line="221"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3"/>
                <w:sz w:val="21"/>
                <w:szCs w:val="21"/>
              </w:rPr>
              <w:t>多年平均气温</w:t>
            </w:r>
          </w:p>
        </w:tc>
        <w:tc>
          <w:tcPr>
            <w:tcW w:w="1162" w:type="pct"/>
            <w:noWrap w:val="0"/>
            <w:vAlign w:val="center"/>
          </w:tcPr>
          <w:p w14:paraId="54460513">
            <w:pPr>
              <w:keepNext w:val="0"/>
              <w:keepLines w:val="0"/>
              <w:pageBreakBefore w:val="0"/>
              <w:widowControl w:val="0"/>
              <w:kinsoku/>
              <w:wordWrap/>
              <w:overflowPunct/>
              <w:topLinePunct w:val="0"/>
              <w:autoSpaceDE/>
              <w:autoSpaceDN/>
              <w:bidi w:val="0"/>
              <w:adjustRightInd w:val="0"/>
              <w:snapToGrid w:val="0"/>
              <w:spacing w:before="105" w:line="182"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2"/>
                <w:sz w:val="21"/>
                <w:szCs w:val="21"/>
              </w:rPr>
              <w:t>23.4</w:t>
            </w:r>
          </w:p>
        </w:tc>
        <w:tc>
          <w:tcPr>
            <w:tcW w:w="1485" w:type="pct"/>
            <w:noWrap w:val="0"/>
            <w:vAlign w:val="center"/>
          </w:tcPr>
          <w:p w14:paraId="2973E476">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ascii="Arial"/>
                <w:sz w:val="21"/>
              </w:rPr>
            </w:pPr>
          </w:p>
        </w:tc>
      </w:tr>
      <w:tr w14:paraId="691E84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2352" w:type="pct"/>
            <w:noWrap w:val="0"/>
            <w:vAlign w:val="center"/>
          </w:tcPr>
          <w:p w14:paraId="6D7BF189">
            <w:pPr>
              <w:keepNext w:val="0"/>
              <w:keepLines w:val="0"/>
              <w:pageBreakBefore w:val="0"/>
              <w:widowControl w:val="0"/>
              <w:kinsoku/>
              <w:wordWrap/>
              <w:overflowPunct/>
              <w:topLinePunct w:val="0"/>
              <w:autoSpaceDE/>
              <w:autoSpaceDN/>
              <w:bidi w:val="0"/>
              <w:adjustRightInd w:val="0"/>
              <w:snapToGrid w:val="0"/>
              <w:spacing w:before="69" w:line="221"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2"/>
                <w:sz w:val="21"/>
                <w:szCs w:val="21"/>
              </w:rPr>
              <w:t>多年极端最高气温</w:t>
            </w:r>
          </w:p>
        </w:tc>
        <w:tc>
          <w:tcPr>
            <w:tcW w:w="1162" w:type="pct"/>
            <w:noWrap w:val="0"/>
            <w:vAlign w:val="center"/>
          </w:tcPr>
          <w:p w14:paraId="705A9E05">
            <w:pPr>
              <w:keepNext w:val="0"/>
              <w:keepLines w:val="0"/>
              <w:pageBreakBefore w:val="0"/>
              <w:widowControl w:val="0"/>
              <w:kinsoku/>
              <w:wordWrap/>
              <w:overflowPunct/>
              <w:topLinePunct w:val="0"/>
              <w:autoSpaceDE/>
              <w:autoSpaceDN/>
              <w:bidi w:val="0"/>
              <w:adjustRightInd w:val="0"/>
              <w:snapToGrid w:val="0"/>
              <w:spacing w:before="104" w:line="183"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1"/>
                <w:sz w:val="21"/>
                <w:szCs w:val="21"/>
              </w:rPr>
              <w:t>41.3</w:t>
            </w:r>
          </w:p>
        </w:tc>
        <w:tc>
          <w:tcPr>
            <w:tcW w:w="1485" w:type="pct"/>
            <w:noWrap w:val="0"/>
            <w:vAlign w:val="center"/>
          </w:tcPr>
          <w:p w14:paraId="13996AE1">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ascii="Arial"/>
                <w:sz w:val="21"/>
              </w:rPr>
            </w:pPr>
          </w:p>
        </w:tc>
      </w:tr>
      <w:tr w14:paraId="4680C9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2352" w:type="pct"/>
            <w:noWrap w:val="0"/>
            <w:vAlign w:val="center"/>
          </w:tcPr>
          <w:p w14:paraId="3C8BB536">
            <w:pPr>
              <w:keepNext w:val="0"/>
              <w:keepLines w:val="0"/>
              <w:pageBreakBefore w:val="0"/>
              <w:widowControl w:val="0"/>
              <w:kinsoku/>
              <w:wordWrap/>
              <w:overflowPunct/>
              <w:topLinePunct w:val="0"/>
              <w:autoSpaceDE/>
              <w:autoSpaceDN/>
              <w:bidi w:val="0"/>
              <w:adjustRightInd w:val="0"/>
              <w:snapToGrid w:val="0"/>
              <w:spacing w:before="77" w:line="221"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2"/>
                <w:sz w:val="21"/>
                <w:szCs w:val="21"/>
              </w:rPr>
              <w:t>多年极端最低气温</w:t>
            </w:r>
          </w:p>
        </w:tc>
        <w:tc>
          <w:tcPr>
            <w:tcW w:w="1162" w:type="pct"/>
            <w:noWrap w:val="0"/>
            <w:vAlign w:val="center"/>
          </w:tcPr>
          <w:p w14:paraId="22678BA5">
            <w:pPr>
              <w:keepNext w:val="0"/>
              <w:keepLines w:val="0"/>
              <w:pageBreakBefore w:val="0"/>
              <w:widowControl w:val="0"/>
              <w:kinsoku/>
              <w:wordWrap/>
              <w:overflowPunct/>
              <w:topLinePunct w:val="0"/>
              <w:autoSpaceDE/>
              <w:autoSpaceDN/>
              <w:bidi w:val="0"/>
              <w:adjustRightInd w:val="0"/>
              <w:snapToGrid w:val="0"/>
              <w:spacing w:before="112" w:line="182"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3"/>
                <w:sz w:val="21"/>
                <w:szCs w:val="21"/>
              </w:rPr>
              <w:t>5.3</w:t>
            </w:r>
          </w:p>
        </w:tc>
        <w:tc>
          <w:tcPr>
            <w:tcW w:w="1485" w:type="pct"/>
            <w:noWrap w:val="0"/>
            <w:vAlign w:val="center"/>
          </w:tcPr>
          <w:p w14:paraId="13FEC61F">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ascii="Arial"/>
                <w:sz w:val="21"/>
              </w:rPr>
            </w:pPr>
          </w:p>
        </w:tc>
      </w:tr>
      <w:tr w14:paraId="13BBFE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2352" w:type="pct"/>
            <w:noWrap w:val="0"/>
            <w:vAlign w:val="center"/>
          </w:tcPr>
          <w:p w14:paraId="308CBB66">
            <w:pPr>
              <w:keepNext w:val="0"/>
              <w:keepLines w:val="0"/>
              <w:pageBreakBefore w:val="0"/>
              <w:widowControl w:val="0"/>
              <w:kinsoku/>
              <w:wordWrap/>
              <w:overflowPunct/>
              <w:topLinePunct w:val="0"/>
              <w:autoSpaceDE/>
              <w:autoSpaceDN/>
              <w:bidi w:val="0"/>
              <w:adjustRightInd w:val="0"/>
              <w:snapToGrid w:val="0"/>
              <w:spacing w:before="71" w:line="221"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1"/>
                <w:sz w:val="21"/>
                <w:szCs w:val="21"/>
              </w:rPr>
              <w:t>相对湿度</w:t>
            </w:r>
            <w:r>
              <w:rPr>
                <w:rFonts w:hint="eastAsia" w:ascii="宋体" w:hAnsi="宋体" w:cs="宋体"/>
                <w:spacing w:val="-1"/>
                <w:sz w:val="21"/>
                <w:szCs w:val="21"/>
                <w:lang w:eastAsia="zh-CN"/>
              </w:rPr>
              <w:t>（</w:t>
            </w:r>
            <w:r>
              <w:rPr>
                <w:rFonts w:ascii="宋体" w:hAnsi="宋体" w:eastAsia="宋体" w:cs="宋体"/>
                <w:spacing w:val="-1"/>
                <w:sz w:val="21"/>
                <w:szCs w:val="21"/>
              </w:rPr>
              <w:t>%)</w:t>
            </w:r>
          </w:p>
        </w:tc>
        <w:tc>
          <w:tcPr>
            <w:tcW w:w="1162" w:type="pct"/>
            <w:noWrap w:val="0"/>
            <w:vAlign w:val="center"/>
          </w:tcPr>
          <w:p w14:paraId="25012C11">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ascii="Arial"/>
                <w:sz w:val="21"/>
              </w:rPr>
            </w:pPr>
          </w:p>
        </w:tc>
        <w:tc>
          <w:tcPr>
            <w:tcW w:w="1485" w:type="pct"/>
            <w:noWrap w:val="0"/>
            <w:vAlign w:val="center"/>
          </w:tcPr>
          <w:p w14:paraId="76EB9779">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ascii="Arial"/>
                <w:sz w:val="21"/>
              </w:rPr>
            </w:pPr>
          </w:p>
        </w:tc>
      </w:tr>
      <w:tr w14:paraId="0D5D61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2352" w:type="pct"/>
            <w:noWrap w:val="0"/>
            <w:vAlign w:val="center"/>
          </w:tcPr>
          <w:p w14:paraId="6ABA3126">
            <w:pPr>
              <w:keepNext w:val="0"/>
              <w:keepLines w:val="0"/>
              <w:pageBreakBefore w:val="0"/>
              <w:widowControl w:val="0"/>
              <w:kinsoku/>
              <w:wordWrap/>
              <w:overflowPunct/>
              <w:topLinePunct w:val="0"/>
              <w:autoSpaceDE/>
              <w:autoSpaceDN/>
              <w:bidi w:val="0"/>
              <w:adjustRightInd w:val="0"/>
              <w:snapToGrid w:val="0"/>
              <w:spacing w:before="70" w:line="221"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2"/>
                <w:sz w:val="21"/>
                <w:szCs w:val="21"/>
              </w:rPr>
              <w:t>多年平均最低湿度</w:t>
            </w:r>
          </w:p>
        </w:tc>
        <w:tc>
          <w:tcPr>
            <w:tcW w:w="1162" w:type="pct"/>
            <w:noWrap w:val="0"/>
            <w:vAlign w:val="center"/>
          </w:tcPr>
          <w:p w14:paraId="7371563D">
            <w:pPr>
              <w:keepNext w:val="0"/>
              <w:keepLines w:val="0"/>
              <w:pageBreakBefore w:val="0"/>
              <w:widowControl w:val="0"/>
              <w:kinsoku/>
              <w:wordWrap/>
              <w:overflowPunct/>
              <w:topLinePunct w:val="0"/>
              <w:autoSpaceDE/>
              <w:autoSpaceDN/>
              <w:bidi w:val="0"/>
              <w:adjustRightInd w:val="0"/>
              <w:snapToGrid w:val="0"/>
              <w:spacing w:before="106" w:line="182"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3"/>
                <w:sz w:val="21"/>
                <w:szCs w:val="21"/>
              </w:rPr>
              <w:t>27</w:t>
            </w:r>
          </w:p>
        </w:tc>
        <w:tc>
          <w:tcPr>
            <w:tcW w:w="1485" w:type="pct"/>
            <w:noWrap w:val="0"/>
            <w:vAlign w:val="center"/>
          </w:tcPr>
          <w:p w14:paraId="3B90453B">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ascii="Arial"/>
                <w:sz w:val="21"/>
              </w:rPr>
            </w:pPr>
          </w:p>
        </w:tc>
      </w:tr>
      <w:tr w14:paraId="22A9D5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2352" w:type="pct"/>
            <w:noWrap w:val="0"/>
            <w:vAlign w:val="center"/>
          </w:tcPr>
          <w:p w14:paraId="7C7B4A35">
            <w:pPr>
              <w:keepNext w:val="0"/>
              <w:keepLines w:val="0"/>
              <w:pageBreakBefore w:val="0"/>
              <w:widowControl w:val="0"/>
              <w:kinsoku/>
              <w:wordWrap/>
              <w:overflowPunct/>
              <w:topLinePunct w:val="0"/>
              <w:autoSpaceDE/>
              <w:autoSpaceDN/>
              <w:bidi w:val="0"/>
              <w:adjustRightInd w:val="0"/>
              <w:snapToGrid w:val="0"/>
              <w:spacing w:before="78" w:line="221"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2"/>
                <w:sz w:val="21"/>
                <w:szCs w:val="21"/>
              </w:rPr>
              <w:t>多年平均最高湿度</w:t>
            </w:r>
          </w:p>
        </w:tc>
        <w:tc>
          <w:tcPr>
            <w:tcW w:w="1162" w:type="pct"/>
            <w:noWrap w:val="0"/>
            <w:vAlign w:val="center"/>
          </w:tcPr>
          <w:p w14:paraId="377406C4">
            <w:pPr>
              <w:keepNext w:val="0"/>
              <w:keepLines w:val="0"/>
              <w:pageBreakBefore w:val="0"/>
              <w:widowControl w:val="0"/>
              <w:kinsoku/>
              <w:wordWrap/>
              <w:overflowPunct/>
              <w:topLinePunct w:val="0"/>
              <w:autoSpaceDE/>
              <w:autoSpaceDN/>
              <w:bidi w:val="0"/>
              <w:adjustRightInd w:val="0"/>
              <w:snapToGrid w:val="0"/>
              <w:spacing w:before="115" w:line="181"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4"/>
                <w:sz w:val="21"/>
                <w:szCs w:val="21"/>
              </w:rPr>
              <w:t>75</w:t>
            </w:r>
          </w:p>
        </w:tc>
        <w:tc>
          <w:tcPr>
            <w:tcW w:w="1485" w:type="pct"/>
            <w:noWrap w:val="0"/>
            <w:vAlign w:val="center"/>
          </w:tcPr>
          <w:p w14:paraId="666C6DF7">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ascii="Arial"/>
                <w:sz w:val="21"/>
              </w:rPr>
            </w:pPr>
          </w:p>
        </w:tc>
      </w:tr>
      <w:tr w14:paraId="0E0E3D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2352" w:type="pct"/>
            <w:noWrap w:val="0"/>
            <w:vAlign w:val="center"/>
          </w:tcPr>
          <w:p w14:paraId="228B8308">
            <w:pPr>
              <w:keepNext w:val="0"/>
              <w:keepLines w:val="0"/>
              <w:pageBreakBefore w:val="0"/>
              <w:widowControl w:val="0"/>
              <w:kinsoku/>
              <w:wordWrap/>
              <w:overflowPunct/>
              <w:topLinePunct w:val="0"/>
              <w:autoSpaceDE/>
              <w:autoSpaceDN/>
              <w:bidi w:val="0"/>
              <w:adjustRightInd w:val="0"/>
              <w:snapToGrid w:val="0"/>
              <w:spacing w:before="71" w:line="221"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3"/>
                <w:sz w:val="21"/>
                <w:szCs w:val="21"/>
              </w:rPr>
              <w:t>降水量</w:t>
            </w:r>
            <w:r>
              <w:rPr>
                <w:rFonts w:hint="eastAsia" w:ascii="宋体" w:hAnsi="宋体" w:cs="宋体"/>
                <w:spacing w:val="-3"/>
                <w:sz w:val="21"/>
                <w:szCs w:val="21"/>
                <w:lang w:eastAsia="zh-CN"/>
              </w:rPr>
              <w:t>（</w:t>
            </w:r>
            <w:r>
              <w:rPr>
                <w:rFonts w:ascii="宋体" w:hAnsi="宋体" w:eastAsia="宋体" w:cs="宋体"/>
                <w:spacing w:val="-3"/>
                <w:sz w:val="21"/>
                <w:szCs w:val="21"/>
              </w:rPr>
              <w:t>mm)</w:t>
            </w:r>
          </w:p>
        </w:tc>
        <w:tc>
          <w:tcPr>
            <w:tcW w:w="1162" w:type="pct"/>
            <w:noWrap w:val="0"/>
            <w:vAlign w:val="center"/>
          </w:tcPr>
          <w:p w14:paraId="5C532955">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ascii="Arial"/>
                <w:sz w:val="21"/>
              </w:rPr>
            </w:pPr>
          </w:p>
        </w:tc>
        <w:tc>
          <w:tcPr>
            <w:tcW w:w="1485" w:type="pct"/>
            <w:noWrap w:val="0"/>
            <w:vAlign w:val="center"/>
          </w:tcPr>
          <w:p w14:paraId="0BB547D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ascii="Arial"/>
                <w:sz w:val="21"/>
              </w:rPr>
            </w:pPr>
          </w:p>
        </w:tc>
      </w:tr>
      <w:tr w14:paraId="410E10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2352" w:type="pct"/>
            <w:noWrap w:val="0"/>
            <w:vAlign w:val="center"/>
          </w:tcPr>
          <w:p w14:paraId="35111AE8">
            <w:pPr>
              <w:keepNext w:val="0"/>
              <w:keepLines w:val="0"/>
              <w:pageBreakBefore w:val="0"/>
              <w:widowControl w:val="0"/>
              <w:kinsoku/>
              <w:wordWrap/>
              <w:overflowPunct/>
              <w:topLinePunct w:val="0"/>
              <w:autoSpaceDE/>
              <w:autoSpaceDN/>
              <w:bidi w:val="0"/>
              <w:adjustRightInd w:val="0"/>
              <w:snapToGrid w:val="0"/>
              <w:spacing w:before="78" w:line="221"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2"/>
                <w:sz w:val="21"/>
                <w:szCs w:val="21"/>
              </w:rPr>
              <w:t>多年年平均降水量</w:t>
            </w:r>
          </w:p>
        </w:tc>
        <w:tc>
          <w:tcPr>
            <w:tcW w:w="1162" w:type="pct"/>
            <w:noWrap w:val="0"/>
            <w:vAlign w:val="center"/>
          </w:tcPr>
          <w:p w14:paraId="42C0E6AC">
            <w:pPr>
              <w:keepNext w:val="0"/>
              <w:keepLines w:val="0"/>
              <w:pageBreakBefore w:val="0"/>
              <w:widowControl w:val="0"/>
              <w:kinsoku/>
              <w:wordWrap/>
              <w:overflowPunct/>
              <w:topLinePunct w:val="0"/>
              <w:autoSpaceDE/>
              <w:autoSpaceDN/>
              <w:bidi w:val="0"/>
              <w:adjustRightInd w:val="0"/>
              <w:snapToGrid w:val="0"/>
              <w:spacing w:before="113" w:line="183"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3"/>
                <w:sz w:val="21"/>
                <w:szCs w:val="21"/>
              </w:rPr>
              <w:t>1214.9</w:t>
            </w:r>
          </w:p>
        </w:tc>
        <w:tc>
          <w:tcPr>
            <w:tcW w:w="1485" w:type="pct"/>
            <w:noWrap w:val="0"/>
            <w:vAlign w:val="center"/>
          </w:tcPr>
          <w:p w14:paraId="51D217B1">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ascii="Arial"/>
                <w:sz w:val="21"/>
              </w:rPr>
            </w:pPr>
          </w:p>
        </w:tc>
      </w:tr>
      <w:tr w14:paraId="3351C1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2352" w:type="pct"/>
            <w:noWrap w:val="0"/>
            <w:vAlign w:val="center"/>
          </w:tcPr>
          <w:p w14:paraId="690800A8">
            <w:pPr>
              <w:keepNext w:val="0"/>
              <w:keepLines w:val="0"/>
              <w:pageBreakBefore w:val="0"/>
              <w:widowControl w:val="0"/>
              <w:kinsoku/>
              <w:wordWrap/>
              <w:overflowPunct/>
              <w:topLinePunct w:val="0"/>
              <w:autoSpaceDE/>
              <w:autoSpaceDN/>
              <w:bidi w:val="0"/>
              <w:adjustRightInd w:val="0"/>
              <w:snapToGrid w:val="0"/>
              <w:spacing w:before="73" w:line="221"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1"/>
                <w:sz w:val="21"/>
                <w:szCs w:val="21"/>
              </w:rPr>
              <w:t>风速</w:t>
            </w:r>
            <w:r>
              <w:rPr>
                <w:rFonts w:hint="eastAsia" w:ascii="宋体" w:hAnsi="宋体" w:cs="宋体"/>
                <w:spacing w:val="-1"/>
                <w:sz w:val="21"/>
                <w:szCs w:val="21"/>
                <w:lang w:eastAsia="zh-CN"/>
              </w:rPr>
              <w:t>（</w:t>
            </w:r>
            <w:r>
              <w:rPr>
                <w:rFonts w:ascii="宋体" w:hAnsi="宋体" w:eastAsia="宋体" w:cs="宋体"/>
                <w:spacing w:val="-1"/>
                <w:sz w:val="21"/>
                <w:szCs w:val="21"/>
              </w:rPr>
              <w:t>m/s)</w:t>
            </w:r>
          </w:p>
        </w:tc>
        <w:tc>
          <w:tcPr>
            <w:tcW w:w="1162" w:type="pct"/>
            <w:noWrap w:val="0"/>
            <w:vAlign w:val="center"/>
          </w:tcPr>
          <w:p w14:paraId="4FF0786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ascii="Arial"/>
                <w:sz w:val="21"/>
              </w:rPr>
            </w:pPr>
          </w:p>
        </w:tc>
        <w:tc>
          <w:tcPr>
            <w:tcW w:w="1485" w:type="pct"/>
            <w:noWrap w:val="0"/>
            <w:vAlign w:val="center"/>
          </w:tcPr>
          <w:p w14:paraId="19EBA9EB">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ascii="Arial"/>
                <w:sz w:val="21"/>
              </w:rPr>
            </w:pPr>
          </w:p>
        </w:tc>
      </w:tr>
      <w:tr w14:paraId="67D94A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2352" w:type="pct"/>
            <w:noWrap w:val="0"/>
            <w:vAlign w:val="center"/>
          </w:tcPr>
          <w:p w14:paraId="172AA9C7">
            <w:pPr>
              <w:keepNext w:val="0"/>
              <w:keepLines w:val="0"/>
              <w:pageBreakBefore w:val="0"/>
              <w:widowControl w:val="0"/>
              <w:kinsoku/>
              <w:wordWrap/>
              <w:overflowPunct/>
              <w:topLinePunct w:val="0"/>
              <w:autoSpaceDE/>
              <w:autoSpaceDN/>
              <w:bidi w:val="0"/>
              <w:adjustRightInd w:val="0"/>
              <w:snapToGrid w:val="0"/>
              <w:spacing w:before="71" w:line="221"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3"/>
                <w:sz w:val="21"/>
                <w:szCs w:val="21"/>
              </w:rPr>
              <w:t>多年平均风速</w:t>
            </w:r>
          </w:p>
        </w:tc>
        <w:tc>
          <w:tcPr>
            <w:tcW w:w="1162" w:type="pct"/>
            <w:noWrap w:val="0"/>
            <w:vAlign w:val="center"/>
          </w:tcPr>
          <w:p w14:paraId="576A39A9">
            <w:pPr>
              <w:keepNext w:val="0"/>
              <w:keepLines w:val="0"/>
              <w:pageBreakBefore w:val="0"/>
              <w:widowControl w:val="0"/>
              <w:kinsoku/>
              <w:wordWrap/>
              <w:overflowPunct/>
              <w:topLinePunct w:val="0"/>
              <w:autoSpaceDE/>
              <w:autoSpaceDN/>
              <w:bidi w:val="0"/>
              <w:adjustRightInd w:val="0"/>
              <w:snapToGrid w:val="0"/>
              <w:spacing w:before="106" w:line="183"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5"/>
                <w:sz w:val="21"/>
                <w:szCs w:val="21"/>
              </w:rPr>
              <w:t>1.1</w:t>
            </w:r>
          </w:p>
        </w:tc>
        <w:tc>
          <w:tcPr>
            <w:tcW w:w="1485" w:type="pct"/>
            <w:noWrap w:val="0"/>
            <w:vAlign w:val="center"/>
          </w:tcPr>
          <w:p w14:paraId="634E562B">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ascii="Arial"/>
                <w:sz w:val="21"/>
              </w:rPr>
            </w:pPr>
          </w:p>
        </w:tc>
      </w:tr>
      <w:tr w14:paraId="153A6C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2352" w:type="pct"/>
            <w:noWrap w:val="0"/>
            <w:vAlign w:val="center"/>
          </w:tcPr>
          <w:p w14:paraId="5904B0DC">
            <w:pPr>
              <w:keepNext w:val="0"/>
              <w:keepLines w:val="0"/>
              <w:pageBreakBefore w:val="0"/>
              <w:widowControl w:val="0"/>
              <w:kinsoku/>
              <w:wordWrap/>
              <w:overflowPunct/>
              <w:topLinePunct w:val="0"/>
              <w:autoSpaceDE/>
              <w:autoSpaceDN/>
              <w:bidi w:val="0"/>
              <w:adjustRightInd w:val="0"/>
              <w:snapToGrid w:val="0"/>
              <w:spacing w:before="72" w:line="221"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1"/>
                <w:sz w:val="21"/>
                <w:szCs w:val="21"/>
              </w:rPr>
              <w:t>历史极端最大风速</w:t>
            </w:r>
          </w:p>
        </w:tc>
        <w:tc>
          <w:tcPr>
            <w:tcW w:w="1162" w:type="pct"/>
            <w:noWrap w:val="0"/>
            <w:vAlign w:val="center"/>
          </w:tcPr>
          <w:p w14:paraId="16BF945A">
            <w:pPr>
              <w:keepNext w:val="0"/>
              <w:keepLines w:val="0"/>
              <w:pageBreakBefore w:val="0"/>
              <w:widowControl w:val="0"/>
              <w:kinsoku/>
              <w:wordWrap/>
              <w:overflowPunct/>
              <w:topLinePunct w:val="0"/>
              <w:autoSpaceDE/>
              <w:autoSpaceDN/>
              <w:bidi w:val="0"/>
              <w:adjustRightInd w:val="0"/>
              <w:snapToGrid w:val="0"/>
              <w:spacing w:before="107" w:line="182"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5"/>
                <w:sz w:val="21"/>
                <w:szCs w:val="21"/>
              </w:rPr>
              <w:t>29</w:t>
            </w:r>
          </w:p>
        </w:tc>
        <w:tc>
          <w:tcPr>
            <w:tcW w:w="1485" w:type="pct"/>
            <w:noWrap w:val="0"/>
            <w:vAlign w:val="center"/>
          </w:tcPr>
          <w:p w14:paraId="4D1DCAB3">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ascii="Arial"/>
                <w:sz w:val="21"/>
              </w:rPr>
            </w:pPr>
          </w:p>
        </w:tc>
      </w:tr>
      <w:tr w14:paraId="14A5BC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2352" w:type="pct"/>
            <w:noWrap w:val="0"/>
            <w:vAlign w:val="center"/>
          </w:tcPr>
          <w:p w14:paraId="0794E721">
            <w:pPr>
              <w:keepNext w:val="0"/>
              <w:keepLines w:val="0"/>
              <w:pageBreakBefore w:val="0"/>
              <w:widowControl w:val="0"/>
              <w:kinsoku/>
              <w:wordWrap/>
              <w:overflowPunct/>
              <w:topLinePunct w:val="0"/>
              <w:autoSpaceDE/>
              <w:autoSpaceDN/>
              <w:bidi w:val="0"/>
              <w:adjustRightInd w:val="0"/>
              <w:snapToGrid w:val="0"/>
              <w:spacing w:before="79" w:line="220"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2"/>
                <w:sz w:val="21"/>
                <w:szCs w:val="21"/>
              </w:rPr>
              <w:t>多年年平均雷暴日数</w:t>
            </w:r>
          </w:p>
        </w:tc>
        <w:tc>
          <w:tcPr>
            <w:tcW w:w="1162" w:type="pct"/>
            <w:noWrap w:val="0"/>
            <w:vAlign w:val="center"/>
          </w:tcPr>
          <w:p w14:paraId="1396D900">
            <w:pPr>
              <w:keepNext w:val="0"/>
              <w:keepLines w:val="0"/>
              <w:pageBreakBefore w:val="0"/>
              <w:widowControl w:val="0"/>
              <w:kinsoku/>
              <w:wordWrap/>
              <w:overflowPunct/>
              <w:topLinePunct w:val="0"/>
              <w:autoSpaceDE/>
              <w:autoSpaceDN/>
              <w:bidi w:val="0"/>
              <w:adjustRightInd w:val="0"/>
              <w:snapToGrid w:val="0"/>
              <w:spacing w:before="80" w:line="221"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6"/>
                <w:sz w:val="21"/>
                <w:szCs w:val="21"/>
              </w:rPr>
              <w:t>103天</w:t>
            </w:r>
          </w:p>
        </w:tc>
        <w:tc>
          <w:tcPr>
            <w:tcW w:w="1485" w:type="pct"/>
            <w:noWrap w:val="0"/>
            <w:vAlign w:val="center"/>
          </w:tcPr>
          <w:p w14:paraId="19EFEEEC">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ascii="Arial"/>
                <w:sz w:val="21"/>
              </w:rPr>
            </w:pPr>
          </w:p>
        </w:tc>
      </w:tr>
      <w:tr w14:paraId="5ADD19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2352" w:type="pct"/>
            <w:noWrap w:val="0"/>
            <w:vAlign w:val="center"/>
          </w:tcPr>
          <w:p w14:paraId="741BDFA2">
            <w:pPr>
              <w:keepNext w:val="0"/>
              <w:keepLines w:val="0"/>
              <w:pageBreakBefore w:val="0"/>
              <w:widowControl w:val="0"/>
              <w:kinsoku/>
              <w:wordWrap/>
              <w:overflowPunct/>
              <w:topLinePunct w:val="0"/>
              <w:autoSpaceDE/>
              <w:autoSpaceDN/>
              <w:bidi w:val="0"/>
              <w:adjustRightInd w:val="0"/>
              <w:snapToGrid w:val="0"/>
              <w:spacing w:before="72" w:line="221"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2"/>
                <w:sz w:val="21"/>
                <w:szCs w:val="21"/>
              </w:rPr>
              <w:t>多年平均日照小时数</w:t>
            </w:r>
          </w:p>
        </w:tc>
        <w:tc>
          <w:tcPr>
            <w:tcW w:w="1162" w:type="pct"/>
            <w:noWrap w:val="0"/>
            <w:vAlign w:val="center"/>
          </w:tcPr>
          <w:p w14:paraId="233CDF9F">
            <w:pPr>
              <w:keepNext w:val="0"/>
              <w:keepLines w:val="0"/>
              <w:pageBreakBefore w:val="0"/>
              <w:widowControl w:val="0"/>
              <w:kinsoku/>
              <w:wordWrap/>
              <w:overflowPunct/>
              <w:topLinePunct w:val="0"/>
              <w:autoSpaceDE/>
              <w:autoSpaceDN/>
              <w:bidi w:val="0"/>
              <w:adjustRightInd w:val="0"/>
              <w:snapToGrid w:val="0"/>
              <w:spacing w:before="73" w:line="239" w:lineRule="auto"/>
              <w:ind w:left="0" w:leftChars="0" w:firstLine="0" w:firstLineChars="0"/>
              <w:jc w:val="center"/>
              <w:textAlignment w:val="auto"/>
              <w:rPr>
                <w:rFonts w:ascii="宋体" w:hAnsi="宋体" w:eastAsia="宋体" w:cs="宋体"/>
                <w:sz w:val="21"/>
                <w:szCs w:val="21"/>
              </w:rPr>
            </w:pPr>
            <w:r>
              <w:rPr>
                <w:rFonts w:ascii="宋体" w:hAnsi="宋体" w:eastAsia="宋体" w:cs="宋体"/>
                <w:spacing w:val="-1"/>
                <w:sz w:val="21"/>
                <w:szCs w:val="21"/>
              </w:rPr>
              <w:t>2126.6hr</w:t>
            </w:r>
          </w:p>
        </w:tc>
        <w:tc>
          <w:tcPr>
            <w:tcW w:w="1485" w:type="pct"/>
            <w:noWrap w:val="0"/>
            <w:vAlign w:val="center"/>
          </w:tcPr>
          <w:p w14:paraId="0090E52D">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ascii="Arial"/>
                <w:sz w:val="21"/>
              </w:rPr>
            </w:pPr>
          </w:p>
        </w:tc>
      </w:tr>
    </w:tbl>
    <w:p w14:paraId="5B64E842">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宋体" w:hAnsi="宋体" w:eastAsia="宋体" w:cs="宋体"/>
          <w:snapToGrid w:val="0"/>
          <w:sz w:val="28"/>
          <w:szCs w:val="28"/>
        </w:rPr>
      </w:pPr>
      <w:r>
        <w:rPr>
          <w:rFonts w:hint="eastAsia" w:ascii="宋体" w:hAnsi="宋体" w:eastAsia="宋体" w:cs="宋体"/>
          <w:snapToGrid w:val="0"/>
          <w:sz w:val="28"/>
          <w:szCs w:val="28"/>
        </w:rPr>
        <w:t>2.2.</w:t>
      </w:r>
      <w:r>
        <w:rPr>
          <w:rFonts w:hint="eastAsia" w:ascii="宋体" w:hAnsi="宋体" w:eastAsia="宋体" w:cs="宋体"/>
          <w:snapToGrid w:val="0"/>
          <w:sz w:val="28"/>
          <w:szCs w:val="28"/>
          <w:lang w:val="en-US" w:eastAsia="zh-CN"/>
        </w:rPr>
        <w:t>2</w:t>
      </w:r>
      <w:r>
        <w:rPr>
          <w:rFonts w:hint="eastAsia" w:ascii="宋体" w:hAnsi="宋体" w:eastAsia="宋体" w:cs="宋体"/>
          <w:snapToGrid w:val="0"/>
          <w:sz w:val="28"/>
          <w:szCs w:val="28"/>
        </w:rPr>
        <w:t>.2 地质条件</w:t>
      </w:r>
    </w:p>
    <w:p w14:paraId="7ACB8179">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以下引用中国电建华东勘测设计研究院有限公司出具的《景讷乡大寨 </w:t>
      </w:r>
    </w:p>
    <w:p w14:paraId="704252D1">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村云盘光伏电站项目岩土工程勘察报告（详细勘察）》结论： </w:t>
      </w:r>
    </w:p>
    <w:p w14:paraId="237F22DC">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(1)</w:t>
      </w:r>
      <w:r>
        <w:rPr>
          <w:rFonts w:hint="eastAsia" w:ascii="宋体" w:hAnsi="宋体" w:eastAsia="宋体" w:cs="宋体"/>
          <w:color w:val="000000"/>
          <w:kern w:val="0"/>
          <w:sz w:val="28"/>
          <w:szCs w:val="28"/>
          <w:lang w:val="en-US" w:eastAsia="zh-CN" w:bidi="ar"/>
        </w:rPr>
        <w:t xml:space="preserve">工程区区域构造“稳定较差”。景洪市普文镇境内基本地震动峰值 </w:t>
      </w:r>
    </w:p>
    <w:p w14:paraId="1A579F93">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加速度为</w:t>
      </w:r>
      <w:r>
        <w:rPr>
          <w:rFonts w:hint="default" w:ascii="Times New Roman" w:hAnsi="Times New Roman" w:eastAsia="宋体" w:cs="Times New Roman"/>
          <w:color w:val="000000"/>
          <w:kern w:val="0"/>
          <w:sz w:val="28"/>
          <w:szCs w:val="28"/>
          <w:lang w:val="en-US" w:eastAsia="zh-CN" w:bidi="ar"/>
        </w:rPr>
        <w:t>0.20g</w:t>
      </w:r>
      <w:r>
        <w:rPr>
          <w:rFonts w:hint="eastAsia" w:ascii="Times New Roman" w:hAnsi="Times New Roman" w:eastAsia="宋体" w:cs="Times New Roman"/>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 xml:space="preserve">对应地震基本烈度为Ⅷ度；反应谱特征周期按Ⅱ类均为 </w:t>
      </w:r>
    </w:p>
    <w:p w14:paraId="5DB6EA28">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default" w:ascii="Times New Roman" w:hAnsi="Times New Roman" w:eastAsia="宋体" w:cs="Times New Roman"/>
          <w:color w:val="000000"/>
          <w:kern w:val="0"/>
          <w:sz w:val="28"/>
          <w:szCs w:val="28"/>
          <w:lang w:val="en-US" w:eastAsia="zh-CN" w:bidi="ar"/>
        </w:rPr>
        <w:t>0.45s</w:t>
      </w:r>
      <w:r>
        <w:rPr>
          <w:rFonts w:hint="eastAsia" w:ascii="宋体" w:hAnsi="宋体" w:eastAsia="宋体" w:cs="宋体"/>
          <w:color w:val="000000"/>
          <w:kern w:val="0"/>
          <w:sz w:val="28"/>
          <w:szCs w:val="28"/>
          <w:lang w:val="en-US" w:eastAsia="zh-CN" w:bidi="ar"/>
        </w:rPr>
        <w:t>，设计地震分组均为第三组</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工程区</w:t>
      </w:r>
      <w:r>
        <w:rPr>
          <w:rFonts w:hint="default" w:ascii="Times New Roman" w:hAnsi="Times New Roman" w:eastAsia="宋体" w:cs="Times New Roman"/>
          <w:color w:val="000000"/>
          <w:kern w:val="0"/>
          <w:sz w:val="28"/>
          <w:szCs w:val="28"/>
          <w:lang w:val="en-US" w:eastAsia="zh-CN" w:bidi="ar"/>
        </w:rPr>
        <w:t>10km</w:t>
      </w:r>
      <w:r>
        <w:rPr>
          <w:rFonts w:hint="eastAsia" w:ascii="宋体" w:hAnsi="宋体" w:eastAsia="宋体" w:cs="宋体"/>
          <w:color w:val="000000"/>
          <w:kern w:val="0"/>
          <w:sz w:val="28"/>
          <w:szCs w:val="28"/>
          <w:lang w:val="en-US" w:eastAsia="zh-CN" w:bidi="ar"/>
        </w:rPr>
        <w:t xml:space="preserve">范围内无发震断裂，可不考 </w:t>
      </w:r>
    </w:p>
    <w:p w14:paraId="2C2C2FC7">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虑近场影响。 </w:t>
      </w:r>
    </w:p>
    <w:p w14:paraId="14FD5E89">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(2)</w:t>
      </w:r>
      <w:r>
        <w:rPr>
          <w:rFonts w:hint="eastAsia" w:ascii="宋体" w:hAnsi="宋体" w:eastAsia="宋体" w:cs="宋体"/>
          <w:color w:val="000000"/>
          <w:kern w:val="0"/>
          <w:sz w:val="28"/>
          <w:szCs w:val="28"/>
          <w:lang w:val="en-US" w:eastAsia="zh-CN" w:bidi="ar"/>
        </w:rPr>
        <w:t xml:space="preserve">场地内不良地质作用微发育，通过地质调绘，未发现其它溶洞、暗 </w:t>
      </w:r>
    </w:p>
    <w:p w14:paraId="75F8E0C8">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浜、暗塘、墓穴、防空洞等不利埋藏物，场地分布有季节性冲沟及陡坡， </w:t>
      </w:r>
    </w:p>
    <w:p w14:paraId="00A400F1">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其边缘存在浅层滑塌的风险，建议建筑物布置应对其设置合理的避让距离。 </w:t>
      </w:r>
    </w:p>
    <w:p w14:paraId="63CD44FD">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(3)</w:t>
      </w:r>
      <w:r>
        <w:rPr>
          <w:rFonts w:hint="eastAsia" w:ascii="宋体" w:hAnsi="宋体" w:eastAsia="宋体" w:cs="宋体"/>
          <w:color w:val="000000"/>
          <w:kern w:val="0"/>
          <w:sz w:val="28"/>
          <w:szCs w:val="28"/>
          <w:lang w:val="en-US" w:eastAsia="zh-CN" w:bidi="ar"/>
        </w:rPr>
        <w:t>工程区场地土类型以中软土</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中硬土为主，场地类别为</w:t>
      </w:r>
      <w:r>
        <w:rPr>
          <w:rFonts w:hint="default" w:ascii="Times New Roman" w:hAnsi="Times New Roman" w:eastAsia="宋体" w:cs="Times New Roman"/>
          <w:color w:val="000000"/>
          <w:kern w:val="0"/>
          <w:sz w:val="28"/>
          <w:szCs w:val="28"/>
          <w:lang w:val="en-US" w:eastAsia="zh-CN" w:bidi="ar"/>
        </w:rPr>
        <w:t>I1</w:t>
      </w:r>
      <w:r>
        <w:rPr>
          <w:rFonts w:hint="eastAsia" w:ascii="宋体" w:hAnsi="宋体" w:eastAsia="宋体" w:cs="宋体"/>
          <w:color w:val="000000"/>
          <w:kern w:val="0"/>
          <w:sz w:val="28"/>
          <w:szCs w:val="28"/>
          <w:lang w:val="en-US" w:eastAsia="zh-CN" w:bidi="ar"/>
        </w:rPr>
        <w:t>类和</w:t>
      </w:r>
      <w:r>
        <w:rPr>
          <w:rFonts w:hint="default" w:ascii="Times New Roman" w:hAnsi="Times New Roman" w:eastAsia="宋体" w:cs="Times New Roman"/>
          <w:color w:val="000000"/>
          <w:kern w:val="0"/>
          <w:sz w:val="28"/>
          <w:szCs w:val="28"/>
          <w:lang w:val="en-US" w:eastAsia="zh-CN" w:bidi="ar"/>
        </w:rPr>
        <w:t>II</w:t>
      </w:r>
      <w:r>
        <w:rPr>
          <w:rFonts w:hint="eastAsia" w:ascii="宋体" w:hAnsi="宋体" w:eastAsia="宋体" w:cs="宋体"/>
          <w:color w:val="000000"/>
          <w:kern w:val="0"/>
          <w:sz w:val="28"/>
          <w:szCs w:val="28"/>
          <w:lang w:val="en-US" w:eastAsia="zh-CN" w:bidi="ar"/>
        </w:rPr>
        <w:t>类；场地不良地质作用弱发育，</w:t>
      </w:r>
      <w:r>
        <w:rPr>
          <w:rFonts w:hint="default" w:ascii="Times New Roman" w:hAnsi="Times New Roman" w:eastAsia="宋体" w:cs="Times New Roman"/>
          <w:color w:val="000000"/>
          <w:kern w:val="0"/>
          <w:sz w:val="28"/>
          <w:szCs w:val="28"/>
          <w:lang w:val="en-US" w:eastAsia="zh-CN" w:bidi="ar"/>
        </w:rPr>
        <w:t>A</w:t>
      </w:r>
      <w:r>
        <w:rPr>
          <w:rFonts w:hint="eastAsia" w:ascii="宋体" w:hAnsi="宋体" w:eastAsia="宋体" w:cs="宋体"/>
          <w:color w:val="000000"/>
          <w:kern w:val="0"/>
          <w:sz w:val="28"/>
          <w:szCs w:val="28"/>
          <w:lang w:val="en-US" w:eastAsia="zh-CN" w:bidi="ar"/>
        </w:rPr>
        <w:t>区以建筑抗震一般地段为主，</w:t>
      </w:r>
      <w:r>
        <w:rPr>
          <w:rFonts w:hint="default" w:ascii="Times New Roman" w:hAnsi="Times New Roman" w:eastAsia="宋体" w:cs="Times New Roman"/>
          <w:color w:val="000000"/>
          <w:kern w:val="0"/>
          <w:sz w:val="28"/>
          <w:szCs w:val="28"/>
          <w:lang w:val="en-US" w:eastAsia="zh-CN" w:bidi="ar"/>
        </w:rPr>
        <w:t>B</w:t>
      </w:r>
      <w:r>
        <w:rPr>
          <w:rFonts w:hint="eastAsia" w:ascii="宋体" w:hAnsi="宋体" w:eastAsia="宋体" w:cs="宋体"/>
          <w:color w:val="000000"/>
          <w:kern w:val="0"/>
          <w:sz w:val="28"/>
          <w:szCs w:val="28"/>
          <w:lang w:val="en-US" w:eastAsia="zh-CN" w:bidi="ar"/>
        </w:rPr>
        <w:t>区为抗震不利地段。</w:t>
      </w:r>
      <w:r>
        <w:rPr>
          <w:rFonts w:hint="default" w:ascii="Times New Roman" w:hAnsi="Times New Roman" w:eastAsia="宋体" w:cs="Times New Roman"/>
          <w:color w:val="000000"/>
          <w:kern w:val="0"/>
          <w:sz w:val="28"/>
          <w:szCs w:val="28"/>
          <w:lang w:val="en-US" w:eastAsia="zh-CN" w:bidi="ar"/>
        </w:rPr>
        <w:t xml:space="preserve">A </w:t>
      </w:r>
      <w:r>
        <w:rPr>
          <w:rFonts w:hint="eastAsia" w:ascii="宋体" w:hAnsi="宋体" w:eastAsia="宋体" w:cs="宋体"/>
          <w:color w:val="000000"/>
          <w:kern w:val="0"/>
          <w:sz w:val="28"/>
          <w:szCs w:val="28"/>
          <w:lang w:val="en-US" w:eastAsia="zh-CN" w:bidi="ar"/>
        </w:rPr>
        <w:t xml:space="preserve">区地形坡度为 </w:t>
      </w:r>
      <w:r>
        <w:rPr>
          <w:rFonts w:hint="default" w:ascii="Times New Roman" w:hAnsi="Times New Roman" w:eastAsia="宋体" w:cs="Times New Roman"/>
          <w:color w:val="000000"/>
          <w:kern w:val="0"/>
          <w:sz w:val="28"/>
          <w:szCs w:val="28"/>
          <w:lang w:val="en-US" w:eastAsia="zh-CN" w:bidi="ar"/>
        </w:rPr>
        <w:t>0~25</w:t>
      </w:r>
      <w:r>
        <w:rPr>
          <w:rFonts w:hint="eastAsia" w:ascii="宋体" w:hAnsi="宋体" w:eastAsia="宋体" w:cs="宋体"/>
          <w:color w:val="000000"/>
          <w:kern w:val="0"/>
          <w:sz w:val="28"/>
          <w:szCs w:val="28"/>
          <w:lang w:val="en-US" w:eastAsia="zh-CN" w:bidi="ar"/>
        </w:rPr>
        <w:t>°，场地工程建设适宜性评价为“适宜性差”；</w:t>
      </w:r>
      <w:r>
        <w:rPr>
          <w:rFonts w:hint="default" w:ascii="Times New Roman" w:hAnsi="Times New Roman" w:eastAsia="宋体" w:cs="Times New Roman"/>
          <w:color w:val="000000"/>
          <w:kern w:val="0"/>
          <w:sz w:val="28"/>
          <w:szCs w:val="28"/>
          <w:lang w:val="en-US" w:eastAsia="zh-CN" w:bidi="ar"/>
        </w:rPr>
        <w:t xml:space="preserve">B01~B46 </w:t>
      </w:r>
      <w:r>
        <w:rPr>
          <w:rFonts w:hint="eastAsia" w:ascii="宋体" w:hAnsi="宋体" w:eastAsia="宋体" w:cs="宋体"/>
          <w:color w:val="000000"/>
          <w:kern w:val="0"/>
          <w:sz w:val="28"/>
          <w:szCs w:val="28"/>
          <w:lang w:val="en-US" w:eastAsia="zh-CN" w:bidi="ar"/>
        </w:rPr>
        <w:t xml:space="preserve">区地形坡度为 </w:t>
      </w:r>
      <w:r>
        <w:rPr>
          <w:rFonts w:hint="default" w:ascii="Times New Roman" w:hAnsi="Times New Roman" w:eastAsia="宋体" w:cs="Times New Roman"/>
          <w:color w:val="000000"/>
          <w:kern w:val="0"/>
          <w:sz w:val="28"/>
          <w:szCs w:val="28"/>
          <w:lang w:val="en-US" w:eastAsia="zh-CN" w:bidi="ar"/>
        </w:rPr>
        <w:t>25</w:t>
      </w:r>
      <w:r>
        <w:rPr>
          <w:rFonts w:hint="eastAsia" w:ascii="宋体" w:hAnsi="宋体" w:eastAsia="宋体" w:cs="宋体"/>
          <w:color w:val="000000"/>
          <w:kern w:val="0"/>
          <w:sz w:val="28"/>
          <w:szCs w:val="28"/>
          <w:lang w:val="en-US" w:eastAsia="zh-CN" w:bidi="ar"/>
        </w:rPr>
        <w:t>°以上，场地平整困难，场地工程建设适宜性评价为“不适宜”。对“适宜性差”及“不适宜”场地应做好相应的建筑抗震设计，优化场平方案，防止成本超过预算，并在施工中采取相应的安全措施</w:t>
      </w:r>
      <w:r>
        <w:rPr>
          <w:rFonts w:hint="eastAsia" w:ascii="宋体" w:hAnsi="宋体" w:cs="宋体"/>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 xml:space="preserve">保证斜坡施工安全。 </w:t>
      </w:r>
    </w:p>
    <w:p w14:paraId="6A0E3AC1">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(4)</w:t>
      </w:r>
      <w:r>
        <w:rPr>
          <w:rFonts w:hint="eastAsia" w:ascii="宋体" w:hAnsi="宋体" w:eastAsia="宋体" w:cs="宋体"/>
          <w:color w:val="000000"/>
          <w:kern w:val="0"/>
          <w:sz w:val="28"/>
          <w:szCs w:val="28"/>
          <w:lang w:val="en-US" w:eastAsia="zh-CN" w:bidi="ar"/>
        </w:rPr>
        <w:t xml:space="preserve">该工程光伏阵列布置应对陡坡边缘及冲沟设置合理的避让距离，避 </w:t>
      </w:r>
    </w:p>
    <w:p w14:paraId="6E586FD1">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免边坡边缘发生浅层滑塌损坏光伏组件，甚至威胁施工安全。 </w:t>
      </w:r>
    </w:p>
    <w:p w14:paraId="073666BB">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(5)</w:t>
      </w:r>
      <w:r>
        <w:rPr>
          <w:rFonts w:hint="eastAsia" w:ascii="宋体" w:hAnsi="宋体" w:eastAsia="宋体" w:cs="宋体"/>
          <w:color w:val="000000"/>
          <w:kern w:val="0"/>
          <w:sz w:val="28"/>
          <w:szCs w:val="28"/>
          <w:lang w:val="en-US" w:eastAsia="zh-CN" w:bidi="ar"/>
        </w:rPr>
        <w:t xml:space="preserve">本工程环境水对混凝土结构的腐蚀性为弱腐蚀性，对混凝土结构中 </w:t>
      </w:r>
    </w:p>
    <w:p w14:paraId="0E30F8C3">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钢筋具微腐蚀性。地基土对混凝土结构具微腐蚀性，对混凝土结构中钢筋 </w:t>
      </w:r>
    </w:p>
    <w:p w14:paraId="23763FD1">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具微腐蚀性。建议按《工业建筑防腐蚀设计标准》</w:t>
      </w:r>
      <w:r>
        <w:rPr>
          <w:rFonts w:hint="default" w:ascii="Times New Roman" w:hAnsi="Times New Roman" w:eastAsia="宋体" w:cs="Times New Roman"/>
          <w:color w:val="000000"/>
          <w:kern w:val="0"/>
          <w:sz w:val="28"/>
          <w:szCs w:val="28"/>
          <w:lang w:val="en-US" w:eastAsia="zh-CN" w:bidi="ar"/>
        </w:rPr>
        <w:t xml:space="preserve">GB/T50046-2018 </w:t>
      </w:r>
      <w:r>
        <w:rPr>
          <w:rFonts w:hint="eastAsia" w:ascii="宋体" w:hAnsi="宋体" w:eastAsia="宋体" w:cs="宋体"/>
          <w:color w:val="000000"/>
          <w:kern w:val="0"/>
          <w:sz w:val="28"/>
          <w:szCs w:val="28"/>
          <w:lang w:val="en-US" w:eastAsia="zh-CN" w:bidi="ar"/>
        </w:rPr>
        <w:t xml:space="preserve">相关要求进行设计及施工。 </w:t>
      </w:r>
    </w:p>
    <w:p w14:paraId="419A4FA1">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(6)</w:t>
      </w:r>
      <w:r>
        <w:rPr>
          <w:rFonts w:hint="eastAsia" w:ascii="宋体" w:hAnsi="宋体" w:eastAsia="宋体" w:cs="宋体"/>
          <w:color w:val="000000"/>
          <w:kern w:val="0"/>
          <w:sz w:val="28"/>
          <w:szCs w:val="28"/>
          <w:lang w:val="en-US" w:eastAsia="zh-CN" w:bidi="ar"/>
        </w:rPr>
        <w:t xml:space="preserve">场地地基土层分布不均匀，岩土层厚度及力学强度差异变化较大， </w:t>
      </w:r>
    </w:p>
    <w:p w14:paraId="536CE39B">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分布不均匀，地基土的工程力学性质在水平向和竖向上不均匀，属不均匀 </w:t>
      </w:r>
    </w:p>
    <w:p w14:paraId="63CE57D2">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地基土，应考虑地基不均匀沉降或差异沉降的不利影响。 </w:t>
      </w:r>
    </w:p>
    <w:p w14:paraId="75F0C0F0">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(7)</w:t>
      </w:r>
      <w:r>
        <w:rPr>
          <w:rFonts w:hint="eastAsia" w:ascii="宋体" w:hAnsi="宋体" w:eastAsia="宋体" w:cs="宋体"/>
          <w:color w:val="000000"/>
          <w:kern w:val="0"/>
          <w:sz w:val="28"/>
          <w:szCs w:val="28"/>
          <w:lang w:val="en-US" w:eastAsia="zh-CN" w:bidi="ar"/>
        </w:rPr>
        <w:t xml:space="preserve">建议工程开挖后形成的人工边坡采用自然放坡处理，放坡坡比可采 </w:t>
      </w:r>
    </w:p>
    <w:p w14:paraId="4CFC1363">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用：①含砾粉质黏土为 </w:t>
      </w:r>
      <w:r>
        <w:rPr>
          <w:rFonts w:hint="default" w:ascii="Times New Roman" w:hAnsi="Times New Roman" w:eastAsia="宋体" w:cs="Times New Roman"/>
          <w:color w:val="000000"/>
          <w:kern w:val="0"/>
          <w:sz w:val="28"/>
          <w:szCs w:val="28"/>
          <w:lang w:val="en-US" w:eastAsia="zh-CN" w:bidi="ar"/>
        </w:rPr>
        <w:t>1:1.25~1:1.50</w:t>
      </w:r>
      <w:r>
        <w:rPr>
          <w:rFonts w:hint="eastAsia" w:ascii="宋体" w:hAnsi="宋体" w:eastAsia="宋体" w:cs="宋体"/>
          <w:color w:val="000000"/>
          <w:kern w:val="0"/>
          <w:sz w:val="28"/>
          <w:szCs w:val="28"/>
          <w:lang w:val="en-US" w:eastAsia="zh-CN" w:bidi="ar"/>
        </w:rPr>
        <w:t>，②强风化泥质粉砂岩为</w:t>
      </w:r>
      <w:r>
        <w:rPr>
          <w:rFonts w:hint="default" w:ascii="Times New Roman" w:hAnsi="Times New Roman" w:eastAsia="宋体" w:cs="Times New Roman"/>
          <w:color w:val="000000"/>
          <w:kern w:val="0"/>
          <w:sz w:val="28"/>
          <w:szCs w:val="28"/>
          <w:lang w:val="en-US" w:eastAsia="zh-CN" w:bidi="ar"/>
        </w:rPr>
        <w:t>1:1.00~1:1.25</w:t>
      </w:r>
      <w:r>
        <w:rPr>
          <w:rFonts w:hint="eastAsia" w:ascii="宋体" w:hAnsi="宋体" w:eastAsia="宋体" w:cs="宋体"/>
          <w:color w:val="000000"/>
          <w:kern w:val="0"/>
          <w:sz w:val="28"/>
          <w:szCs w:val="28"/>
          <w:lang w:val="en-US" w:eastAsia="zh-CN" w:bidi="ar"/>
        </w:rPr>
        <w:t xml:space="preserve">，③中风化泥质粉砂岩为 </w:t>
      </w:r>
      <w:r>
        <w:rPr>
          <w:rFonts w:hint="default" w:ascii="Times New Roman" w:hAnsi="Times New Roman" w:eastAsia="宋体" w:cs="Times New Roman"/>
          <w:color w:val="000000"/>
          <w:kern w:val="0"/>
          <w:sz w:val="28"/>
          <w:szCs w:val="28"/>
          <w:lang w:val="en-US" w:eastAsia="zh-CN" w:bidi="ar"/>
        </w:rPr>
        <w:t>1:0.75~1:1.00</w:t>
      </w:r>
      <w:r>
        <w:rPr>
          <w:rFonts w:hint="eastAsia" w:ascii="宋体" w:hAnsi="宋体" w:eastAsia="宋体" w:cs="宋体"/>
          <w:color w:val="000000"/>
          <w:kern w:val="0"/>
          <w:sz w:val="28"/>
          <w:szCs w:val="28"/>
          <w:lang w:val="en-US" w:eastAsia="zh-CN" w:bidi="ar"/>
        </w:rPr>
        <w:t xml:space="preserve">。 </w:t>
      </w:r>
    </w:p>
    <w:p w14:paraId="7E3B9FA2">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(8)</w:t>
      </w:r>
      <w:r>
        <w:rPr>
          <w:rFonts w:hint="eastAsia" w:ascii="宋体" w:hAnsi="宋体" w:eastAsia="宋体" w:cs="宋体"/>
          <w:color w:val="000000"/>
          <w:kern w:val="0"/>
          <w:sz w:val="28"/>
          <w:szCs w:val="28"/>
          <w:lang w:val="en-US" w:eastAsia="zh-CN" w:bidi="ar"/>
        </w:rPr>
        <w:t>场地以下</w:t>
      </w:r>
      <w:r>
        <w:rPr>
          <w:rFonts w:hint="default" w:ascii="Times New Roman" w:hAnsi="Times New Roman" w:eastAsia="宋体" w:cs="Times New Roman"/>
          <w:color w:val="000000"/>
          <w:kern w:val="0"/>
          <w:sz w:val="28"/>
          <w:szCs w:val="28"/>
          <w:lang w:val="en-US" w:eastAsia="zh-CN" w:bidi="ar"/>
        </w:rPr>
        <w:t>20m</w:t>
      </w:r>
      <w:r>
        <w:rPr>
          <w:rFonts w:hint="eastAsia" w:ascii="宋体" w:hAnsi="宋体" w:eastAsia="宋体" w:cs="宋体"/>
          <w:color w:val="000000"/>
          <w:kern w:val="0"/>
          <w:sz w:val="28"/>
          <w:szCs w:val="28"/>
          <w:lang w:val="en-US" w:eastAsia="zh-CN" w:bidi="ar"/>
        </w:rPr>
        <w:t xml:space="preserve">深度范围不存在饱和砂土及软土，可不考虑地震液化及软土震陷的影响。 </w:t>
      </w:r>
    </w:p>
    <w:p w14:paraId="3EA0CA46">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(9)</w:t>
      </w:r>
      <w:r>
        <w:rPr>
          <w:rFonts w:hint="eastAsia" w:ascii="宋体" w:hAnsi="宋体" w:eastAsia="宋体" w:cs="宋体"/>
          <w:color w:val="000000"/>
          <w:kern w:val="0"/>
          <w:sz w:val="28"/>
          <w:szCs w:val="28"/>
          <w:lang w:val="en-US" w:eastAsia="zh-CN" w:bidi="ar"/>
        </w:rPr>
        <w:t xml:space="preserve">本工程地下水埋藏较深，地下水对本工程基本无影响，地势低洼及 </w:t>
      </w:r>
    </w:p>
    <w:p w14:paraId="36ED529C">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沟槽区域为雨水汇集区，建议避开雨季施工。 </w:t>
      </w:r>
    </w:p>
    <w:p w14:paraId="653C1BC9">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(10)</w:t>
      </w:r>
      <w:r>
        <w:rPr>
          <w:rFonts w:hint="eastAsia" w:ascii="宋体" w:hAnsi="宋体" w:eastAsia="宋体" w:cs="宋体"/>
          <w:color w:val="000000"/>
          <w:kern w:val="0"/>
          <w:sz w:val="28"/>
          <w:szCs w:val="28"/>
          <w:lang w:val="en-US" w:eastAsia="zh-CN" w:bidi="ar"/>
        </w:rPr>
        <w:t xml:space="preserve">工程区内岩性以泥质粉砂岩为主，岩体为较硬岩，风化不均，表层风化较严重，风化深度较厚，不宜作为混凝土骨料。工程所需混凝土骨料较少，建议就近外购满足质量要求的建筑材料。 </w:t>
      </w:r>
    </w:p>
    <w:p w14:paraId="67EEEFAE">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(11)</w:t>
      </w:r>
      <w:r>
        <w:rPr>
          <w:rFonts w:hint="eastAsia" w:ascii="宋体" w:hAnsi="宋体" w:eastAsia="宋体" w:cs="宋体"/>
          <w:color w:val="000000"/>
          <w:kern w:val="0"/>
          <w:sz w:val="28"/>
          <w:szCs w:val="28"/>
          <w:lang w:val="en-US" w:eastAsia="zh-CN" w:bidi="ar"/>
        </w:rPr>
        <w:t>光伏阵列区支架建议采用微型短桩基础型式，桩基类型可采用螺旋地桩、型钢桩或钻孔灌注桩，以①层含砾粉质黏土、②层强风化泥质粉砂岩、局部③层中风化泥质粉砂岩为桩端持力层。</w:t>
      </w:r>
    </w:p>
    <w:p w14:paraId="559022EC">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default" w:ascii="Times New Roman" w:hAnsi="Times New Roman" w:eastAsia="宋体" w:cs="Times New Roman"/>
          <w:color w:val="000000"/>
          <w:kern w:val="0"/>
          <w:sz w:val="28"/>
          <w:szCs w:val="28"/>
          <w:lang w:val="en-US" w:eastAsia="zh-CN" w:bidi="ar"/>
        </w:rPr>
        <w:t>(12)</w:t>
      </w:r>
      <w:r>
        <w:rPr>
          <w:rFonts w:hint="eastAsia" w:ascii="宋体" w:hAnsi="宋体" w:eastAsia="宋体" w:cs="宋体"/>
          <w:color w:val="000000"/>
          <w:kern w:val="0"/>
          <w:sz w:val="28"/>
          <w:szCs w:val="28"/>
          <w:lang w:val="en-US" w:eastAsia="zh-CN" w:bidi="ar"/>
        </w:rPr>
        <w:t>项目场区下伏基岩节理裂隙发育，加之部分地段地形坡度陡，光伏场区桩基施工时优选对场地扰动小的微型桩，若需要开挖施工平台时，施工平台上下边坡放坡坡比因结合其分布岩土层的抗剪强度计算，并做好坡面防护和截排水措施，场区临时边坡开挖施工时需按设计要求进行分段开挖，及时支护，严禁大面积开挖。若为永久性边坡，建议对其进行专项设计。</w:t>
      </w:r>
    </w:p>
    <w:p w14:paraId="58E660D9">
      <w:pPr>
        <w:keepNext w:val="0"/>
        <w:keepLines w:val="0"/>
        <w:pageBreakBefore w:val="0"/>
        <w:widowControl w:val="0"/>
        <w:suppressLineNumbers w:val="0"/>
        <w:kinsoku/>
        <w:wordWrap/>
        <w:overflowPunct/>
        <w:topLinePunct w:val="0"/>
        <w:autoSpaceDE/>
        <w:autoSpaceDN/>
        <w:bidi w:val="0"/>
        <w:adjustRightInd/>
        <w:snapToGrid/>
        <w:spacing w:line="420" w:lineRule="exact"/>
        <w:jc w:val="both"/>
        <w:textAlignment w:val="auto"/>
        <w:outlineLvl w:val="2"/>
        <w:rPr>
          <w:rFonts w:hint="eastAsia" w:ascii="宋体" w:hAnsi="宋体" w:cs="宋体"/>
          <w:b/>
          <w:bCs/>
          <w:color w:val="000000"/>
          <w:kern w:val="0"/>
          <w:sz w:val="30"/>
          <w:szCs w:val="30"/>
          <w:lang w:val="en-US" w:eastAsia="zh-CN" w:bidi="ar"/>
        </w:rPr>
      </w:pPr>
      <w:bookmarkStart w:id="190" w:name="_Toc14343"/>
      <w:r>
        <w:rPr>
          <w:rFonts w:hint="eastAsia" w:ascii="宋体" w:hAnsi="宋体" w:cs="宋体"/>
          <w:b/>
          <w:bCs/>
          <w:color w:val="000000"/>
          <w:kern w:val="0"/>
          <w:sz w:val="30"/>
          <w:szCs w:val="30"/>
          <w:lang w:val="en-US" w:eastAsia="zh-CN" w:bidi="ar"/>
        </w:rPr>
        <w:t>2.2.3太阳能资源</w:t>
      </w:r>
      <w:bookmarkEnd w:id="190"/>
    </w:p>
    <w:p w14:paraId="5AB974E6">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场址区多年平均太阳总辐射量5864.8MJ/m2，根据根据《太阳能 </w:t>
      </w:r>
    </w:p>
    <w:p w14:paraId="5CE8EF67">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资源评估方法》（GB/T 37526-2019）判定其太阳能资源丰富程度为很丰富，资源具备开发条件。 </w:t>
      </w:r>
    </w:p>
    <w:p w14:paraId="411BFEFD">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场址空气质量好，透明度高，太阳辐射在大气中的损耗较少，根据拟合数据知，将月辐照量除以当月日数转换为月平均日辐照量，分析太阳能资源各要素年变化特征，然后求最小值与最大值之比，经计算本项目水平面总辐射稳定度为0.63，其太阳能资源稳定度属于很稳定级别，有利于太阳能能源的稳定输出。 </w:t>
      </w:r>
    </w:p>
    <w:p w14:paraId="1866DE5B">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场址区直射比为0.488，场址水平面直接辐射约为 2863.4MJ/m2，项目区直射比等级属于较高等级，散射辐射较多。 </w:t>
      </w:r>
    </w:p>
    <w:p w14:paraId="30132A17">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场址区无沙尘天气，全年平均气温不高且气温年内变化不大，目标区域内风速不大，气候条件有利于太阳能资源开发。 </w:t>
      </w:r>
    </w:p>
    <w:p w14:paraId="29A49FE2">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场址所处位置雷暴发生频率较高，在工程设计与施工阶段需高度重视雷暴的影响。</w:t>
      </w:r>
    </w:p>
    <w:p w14:paraId="53746C08">
      <w:pPr>
        <w:keepNext w:val="0"/>
        <w:keepLines w:val="0"/>
        <w:pageBreakBefore w:val="0"/>
        <w:widowControl w:val="0"/>
        <w:suppressLineNumbers w:val="0"/>
        <w:kinsoku/>
        <w:wordWrap/>
        <w:overflowPunct/>
        <w:topLinePunct w:val="0"/>
        <w:autoSpaceDE/>
        <w:autoSpaceDN/>
        <w:bidi w:val="0"/>
        <w:adjustRightInd/>
        <w:snapToGrid/>
        <w:spacing w:line="420" w:lineRule="exact"/>
        <w:jc w:val="both"/>
        <w:textAlignment w:val="auto"/>
        <w:outlineLvl w:val="2"/>
        <w:rPr>
          <w:rFonts w:hint="eastAsia" w:ascii="宋体" w:hAnsi="宋体" w:cs="宋体"/>
          <w:b/>
          <w:bCs/>
          <w:color w:val="000000"/>
          <w:kern w:val="0"/>
          <w:sz w:val="30"/>
          <w:szCs w:val="30"/>
          <w:lang w:val="en-US" w:eastAsia="zh-CN" w:bidi="ar"/>
        </w:rPr>
      </w:pPr>
      <w:bookmarkStart w:id="191" w:name="_Toc25223"/>
      <w:r>
        <w:rPr>
          <w:rFonts w:hint="eastAsia" w:ascii="宋体" w:hAnsi="宋体" w:cs="宋体"/>
          <w:b/>
          <w:bCs/>
          <w:color w:val="000000"/>
          <w:kern w:val="0"/>
          <w:sz w:val="30"/>
          <w:szCs w:val="30"/>
          <w:lang w:val="en-US" w:eastAsia="zh-CN" w:bidi="ar"/>
        </w:rPr>
        <w:t>2.2.4工艺流程</w:t>
      </w:r>
      <w:bookmarkEnd w:id="191"/>
    </w:p>
    <w:p w14:paraId="28458949">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光伏发电站发电流程为光伏阵列取电后进行逆变为交流电，逆变器的 </w:t>
      </w:r>
    </w:p>
    <w:p w14:paraId="161CF4AB">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交流电汇入变压器升压至</w:t>
      </w:r>
      <w:r>
        <w:rPr>
          <w:rFonts w:hint="default" w:ascii="Times New Roman" w:hAnsi="Times New Roman" w:eastAsia="宋体" w:cs="Times New Roman"/>
          <w:color w:val="000000"/>
          <w:kern w:val="0"/>
          <w:sz w:val="28"/>
          <w:szCs w:val="28"/>
          <w:lang w:val="en-US" w:eastAsia="zh-CN" w:bidi="ar"/>
        </w:rPr>
        <w:t>35kV</w:t>
      </w:r>
      <w:r>
        <w:rPr>
          <w:rFonts w:hint="eastAsia" w:ascii="宋体" w:hAnsi="宋体" w:eastAsia="宋体" w:cs="宋体"/>
          <w:color w:val="000000"/>
          <w:kern w:val="0"/>
          <w:sz w:val="28"/>
          <w:szCs w:val="28"/>
          <w:lang w:val="en-US" w:eastAsia="zh-CN" w:bidi="ar"/>
        </w:rPr>
        <w:t>，升压后通过架空塔、电缆沟接入</w:t>
      </w:r>
      <w:r>
        <w:rPr>
          <w:rFonts w:hint="default" w:ascii="Times New Roman" w:hAnsi="Times New Roman" w:eastAsia="宋体" w:cs="Times New Roman"/>
          <w:color w:val="000000"/>
          <w:kern w:val="0"/>
          <w:sz w:val="28"/>
          <w:szCs w:val="28"/>
          <w:lang w:val="en-US" w:eastAsia="zh-CN" w:bidi="ar"/>
        </w:rPr>
        <w:t xml:space="preserve">35kV </w:t>
      </w:r>
      <w:r>
        <w:rPr>
          <w:rFonts w:hint="eastAsia" w:ascii="宋体" w:hAnsi="宋体" w:eastAsia="宋体" w:cs="宋体"/>
          <w:color w:val="000000"/>
          <w:kern w:val="0"/>
          <w:sz w:val="28"/>
          <w:szCs w:val="28"/>
          <w:lang w:val="en-US" w:eastAsia="zh-CN" w:bidi="ar"/>
        </w:rPr>
        <w:t>开关柜引至曼景缅光伏电站新增的主变变压为</w:t>
      </w:r>
      <w:r>
        <w:rPr>
          <w:rFonts w:hint="default" w:ascii="Times New Roman" w:hAnsi="Times New Roman" w:eastAsia="宋体" w:cs="Times New Roman"/>
          <w:color w:val="000000"/>
          <w:kern w:val="0"/>
          <w:sz w:val="28"/>
          <w:szCs w:val="28"/>
          <w:lang w:val="en-US" w:eastAsia="zh-CN" w:bidi="ar"/>
        </w:rPr>
        <w:t>220kV</w:t>
      </w:r>
      <w:r>
        <w:rPr>
          <w:rFonts w:hint="eastAsia" w:ascii="宋体" w:hAnsi="宋体" w:eastAsia="宋体" w:cs="宋体"/>
          <w:color w:val="000000"/>
          <w:kern w:val="0"/>
          <w:sz w:val="28"/>
          <w:szCs w:val="28"/>
          <w:lang w:val="en-US" w:eastAsia="zh-CN" w:bidi="ar"/>
        </w:rPr>
        <w:t>，变压后的</w:t>
      </w:r>
      <w:r>
        <w:rPr>
          <w:rFonts w:hint="default" w:ascii="Times New Roman" w:hAnsi="Times New Roman" w:eastAsia="宋体" w:cs="Times New Roman"/>
          <w:color w:val="000000"/>
          <w:kern w:val="0"/>
          <w:sz w:val="28"/>
          <w:szCs w:val="28"/>
          <w:lang w:val="en-US" w:eastAsia="zh-CN" w:bidi="ar"/>
        </w:rPr>
        <w:t xml:space="preserve">220kV </w:t>
      </w:r>
      <w:r>
        <w:rPr>
          <w:rFonts w:hint="eastAsia" w:ascii="宋体" w:hAnsi="宋体" w:eastAsia="宋体" w:cs="宋体"/>
          <w:color w:val="000000"/>
          <w:kern w:val="0"/>
          <w:sz w:val="28"/>
          <w:szCs w:val="28"/>
          <w:lang w:val="en-US" w:eastAsia="zh-CN" w:bidi="ar"/>
        </w:rPr>
        <w:t>通过</w:t>
      </w:r>
      <w:r>
        <w:rPr>
          <w:rFonts w:hint="default" w:ascii="Times New Roman" w:hAnsi="Times New Roman" w:eastAsia="宋体" w:cs="Times New Roman"/>
          <w:color w:val="000000"/>
          <w:kern w:val="0"/>
          <w:sz w:val="28"/>
          <w:szCs w:val="28"/>
          <w:lang w:val="en-US" w:eastAsia="zh-CN" w:bidi="ar"/>
        </w:rPr>
        <w:t xml:space="preserve">GIS </w:t>
      </w:r>
      <w:r>
        <w:rPr>
          <w:rFonts w:hint="eastAsia" w:ascii="宋体" w:hAnsi="宋体" w:eastAsia="宋体" w:cs="宋体"/>
          <w:color w:val="000000"/>
          <w:kern w:val="0"/>
          <w:sz w:val="28"/>
          <w:szCs w:val="28"/>
          <w:lang w:val="en-US" w:eastAsia="zh-CN" w:bidi="ar"/>
        </w:rPr>
        <w:t>架空送入</w:t>
      </w:r>
      <w:r>
        <w:rPr>
          <w:rFonts w:hint="default" w:ascii="Times New Roman" w:hAnsi="Times New Roman" w:eastAsia="宋体" w:cs="Times New Roman"/>
          <w:color w:val="000000"/>
          <w:kern w:val="0"/>
          <w:sz w:val="28"/>
          <w:szCs w:val="28"/>
          <w:lang w:val="en-US" w:eastAsia="zh-CN" w:bidi="ar"/>
        </w:rPr>
        <w:t>220kV</w:t>
      </w:r>
      <w:r>
        <w:rPr>
          <w:rFonts w:hint="eastAsia" w:ascii="宋体" w:hAnsi="宋体" w:eastAsia="宋体" w:cs="宋体"/>
          <w:color w:val="000000"/>
          <w:kern w:val="0"/>
          <w:sz w:val="28"/>
          <w:szCs w:val="28"/>
          <w:lang w:val="en-US" w:eastAsia="zh-CN" w:bidi="ar"/>
        </w:rPr>
        <w:t>青云变送至电网。升压站用电由</w:t>
      </w:r>
      <w:r>
        <w:rPr>
          <w:rFonts w:hint="default" w:ascii="Times New Roman" w:hAnsi="Times New Roman" w:eastAsia="宋体" w:cs="Times New Roman"/>
          <w:color w:val="000000"/>
          <w:kern w:val="0"/>
          <w:sz w:val="28"/>
          <w:szCs w:val="28"/>
          <w:lang w:val="en-US" w:eastAsia="zh-CN" w:bidi="ar"/>
        </w:rPr>
        <w:t>35kV</w:t>
      </w:r>
      <w:r>
        <w:rPr>
          <w:rFonts w:hint="eastAsia" w:ascii="宋体" w:hAnsi="宋体" w:eastAsia="宋体" w:cs="宋体"/>
          <w:color w:val="000000"/>
          <w:kern w:val="0"/>
          <w:sz w:val="28"/>
          <w:szCs w:val="28"/>
          <w:lang w:val="en-US" w:eastAsia="zh-CN" w:bidi="ar"/>
        </w:rPr>
        <w:t xml:space="preserve">开关柜引出进行变压接入升压站内使用，站内变压使用 </w:t>
      </w:r>
      <w:r>
        <w:rPr>
          <w:rFonts w:hint="default" w:ascii="Times New Roman" w:hAnsi="Times New Roman" w:eastAsia="宋体" w:cs="Times New Roman"/>
          <w:color w:val="000000"/>
          <w:kern w:val="0"/>
          <w:sz w:val="28"/>
          <w:szCs w:val="28"/>
          <w:lang w:val="en-US" w:eastAsia="zh-CN" w:bidi="ar"/>
        </w:rPr>
        <w:t xml:space="preserve">10kV </w:t>
      </w:r>
      <w:r>
        <w:rPr>
          <w:rFonts w:hint="eastAsia" w:ascii="宋体" w:hAnsi="宋体" w:eastAsia="宋体" w:cs="宋体"/>
          <w:color w:val="000000"/>
          <w:kern w:val="0"/>
          <w:sz w:val="28"/>
          <w:szCs w:val="28"/>
          <w:lang w:val="en-US" w:eastAsia="zh-CN" w:bidi="ar"/>
        </w:rPr>
        <w:t>农网作为备用电源。</w:t>
      </w:r>
      <w:r>
        <w:rPr>
          <w:rFonts w:hint="default" w:ascii="Times New Roman" w:hAnsi="Times New Roman" w:eastAsia="宋体" w:cs="Times New Roman"/>
          <w:color w:val="000000"/>
          <w:kern w:val="0"/>
          <w:sz w:val="28"/>
          <w:szCs w:val="28"/>
          <w:lang w:val="en-US" w:eastAsia="zh-CN" w:bidi="ar"/>
        </w:rPr>
        <w:t xml:space="preserve">SVG </w:t>
      </w:r>
      <w:r>
        <w:rPr>
          <w:rFonts w:hint="eastAsia" w:ascii="宋体" w:hAnsi="宋体" w:eastAsia="宋体" w:cs="宋体"/>
          <w:color w:val="000000"/>
          <w:kern w:val="0"/>
          <w:sz w:val="28"/>
          <w:szCs w:val="28"/>
          <w:lang w:val="en-US" w:eastAsia="zh-CN" w:bidi="ar"/>
        </w:rPr>
        <w:t xml:space="preserve">动态无功补偿装置由 </w:t>
      </w:r>
      <w:r>
        <w:rPr>
          <w:rFonts w:hint="default" w:ascii="Times New Roman" w:hAnsi="Times New Roman" w:eastAsia="宋体" w:cs="Times New Roman"/>
          <w:color w:val="000000"/>
          <w:kern w:val="0"/>
          <w:sz w:val="28"/>
          <w:szCs w:val="28"/>
          <w:lang w:val="en-US" w:eastAsia="zh-CN" w:bidi="ar"/>
        </w:rPr>
        <w:t xml:space="preserve">35kV </w:t>
      </w:r>
      <w:r>
        <w:rPr>
          <w:rFonts w:hint="eastAsia" w:ascii="宋体" w:hAnsi="宋体" w:eastAsia="宋体" w:cs="宋体"/>
          <w:color w:val="000000"/>
          <w:kern w:val="0"/>
          <w:sz w:val="28"/>
          <w:szCs w:val="28"/>
          <w:lang w:val="en-US" w:eastAsia="zh-CN" w:bidi="ar"/>
        </w:rPr>
        <w:t>开关柜引出进行动态无功补偿。</w:t>
      </w:r>
    </w:p>
    <w:p w14:paraId="00AB2180">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光伏发电系统流程图：</w:t>
      </w:r>
    </w:p>
    <w:p w14:paraId="07D8E635">
      <w:pPr>
        <w:keepNext w:val="0"/>
        <w:keepLines w:val="0"/>
        <w:pageBreakBefore w:val="0"/>
        <w:widowControl/>
        <w:suppressLineNumbers w:val="0"/>
        <w:kinsoku/>
        <w:wordWrap/>
        <w:overflowPunct/>
        <w:topLinePunct w:val="0"/>
        <w:autoSpaceDE/>
        <w:autoSpaceDN/>
        <w:bidi w:val="0"/>
        <w:adjustRightInd/>
        <w:snapToGrid/>
        <w:spacing w:line="420" w:lineRule="exact"/>
        <w:ind w:firstLine="482" w:firstLineChars="200"/>
        <w:jc w:val="center"/>
        <w:textAlignment w:val="auto"/>
        <w:rPr>
          <w:rFonts w:hint="default"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drawing>
          <wp:anchor distT="0" distB="0" distL="114300" distR="114300" simplePos="0" relativeHeight="251666432" behindDoc="0" locked="0" layoutInCell="1" allowOverlap="1">
            <wp:simplePos x="0" y="0"/>
            <wp:positionH relativeFrom="column">
              <wp:posOffset>331470</wp:posOffset>
            </wp:positionH>
            <wp:positionV relativeFrom="paragraph">
              <wp:posOffset>107315</wp:posOffset>
            </wp:positionV>
            <wp:extent cx="4538345" cy="1395095"/>
            <wp:effectExtent l="0" t="0" r="8255" b="1905"/>
            <wp:wrapTopAndBottom/>
            <wp:docPr id="3" name="图片 3" descr="0068a85ffc4cc1e51c698abf96bbb7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068a85ffc4cc1e51c698abf96bbb7c3"/>
                    <pic:cNvPicPr>
                      <a:picLocks noChangeAspect="1"/>
                    </pic:cNvPicPr>
                  </pic:nvPicPr>
                  <pic:blipFill>
                    <a:blip r:embed="rId32"/>
                    <a:stretch>
                      <a:fillRect/>
                    </a:stretch>
                  </pic:blipFill>
                  <pic:spPr>
                    <a:xfrm>
                      <a:off x="0" y="0"/>
                      <a:ext cx="4538345" cy="1395095"/>
                    </a:xfrm>
                    <a:prstGeom prst="rect">
                      <a:avLst/>
                    </a:prstGeom>
                  </pic:spPr>
                </pic:pic>
              </a:graphicData>
            </a:graphic>
          </wp:anchor>
        </w:drawing>
      </w:r>
      <w:r>
        <w:rPr>
          <w:rFonts w:hint="eastAsia" w:ascii="宋体" w:hAnsi="宋体" w:eastAsia="宋体" w:cs="宋体"/>
          <w:b/>
          <w:bCs/>
          <w:color w:val="000000"/>
          <w:kern w:val="0"/>
          <w:sz w:val="24"/>
          <w:szCs w:val="24"/>
          <w:lang w:val="en-US" w:eastAsia="zh-CN" w:bidi="ar"/>
        </w:rPr>
        <w:t>2.2-4光伏发电系统流程图</w:t>
      </w:r>
    </w:p>
    <w:p w14:paraId="33A0E8D4">
      <w:pPr>
        <w:keepNext w:val="0"/>
        <w:keepLines w:val="0"/>
        <w:pageBreakBefore w:val="0"/>
        <w:widowControl w:val="0"/>
        <w:suppressLineNumbers w:val="0"/>
        <w:kinsoku/>
        <w:wordWrap/>
        <w:overflowPunct/>
        <w:topLinePunct w:val="0"/>
        <w:autoSpaceDE/>
        <w:autoSpaceDN/>
        <w:bidi w:val="0"/>
        <w:adjustRightInd/>
        <w:snapToGrid/>
        <w:spacing w:line="420" w:lineRule="exact"/>
        <w:jc w:val="both"/>
        <w:textAlignment w:val="auto"/>
        <w:outlineLvl w:val="1"/>
        <w:rPr>
          <w:rFonts w:hint="eastAsia" w:ascii="宋体" w:hAnsi="宋体" w:cs="宋体"/>
          <w:b/>
          <w:bCs/>
          <w:color w:val="000000"/>
          <w:kern w:val="0"/>
          <w:sz w:val="32"/>
          <w:szCs w:val="32"/>
          <w:lang w:val="en-US" w:eastAsia="zh-CN" w:bidi="ar"/>
        </w:rPr>
      </w:pPr>
      <w:bookmarkStart w:id="192" w:name="_Toc22267"/>
      <w:r>
        <w:rPr>
          <w:rFonts w:hint="eastAsia" w:ascii="宋体" w:hAnsi="宋体" w:cs="宋体"/>
          <w:b/>
          <w:bCs/>
          <w:color w:val="000000"/>
          <w:kern w:val="0"/>
          <w:sz w:val="32"/>
          <w:szCs w:val="32"/>
          <w:lang w:val="en-US" w:eastAsia="zh-CN" w:bidi="ar"/>
        </w:rPr>
        <w:t>2.3总平面布置</w:t>
      </w:r>
      <w:bookmarkEnd w:id="192"/>
    </w:p>
    <w:p w14:paraId="310EBDDB">
      <w:pPr>
        <w:keepNext w:val="0"/>
        <w:keepLines w:val="0"/>
        <w:pageBreakBefore w:val="0"/>
        <w:widowControl w:val="0"/>
        <w:suppressLineNumbers w:val="0"/>
        <w:kinsoku/>
        <w:wordWrap/>
        <w:overflowPunct/>
        <w:topLinePunct w:val="0"/>
        <w:autoSpaceDE/>
        <w:autoSpaceDN/>
        <w:bidi w:val="0"/>
        <w:adjustRightInd/>
        <w:snapToGrid/>
        <w:spacing w:line="420" w:lineRule="exact"/>
        <w:jc w:val="both"/>
        <w:textAlignment w:val="auto"/>
        <w:outlineLvl w:val="2"/>
      </w:pPr>
      <w:bookmarkStart w:id="193" w:name="_Toc2676"/>
      <w:r>
        <w:rPr>
          <w:rFonts w:hint="eastAsia" w:ascii="宋体" w:hAnsi="宋体" w:cs="宋体"/>
          <w:b/>
          <w:bCs/>
          <w:color w:val="000000"/>
          <w:kern w:val="0"/>
          <w:sz w:val="30"/>
          <w:szCs w:val="30"/>
          <w:lang w:val="en-US" w:eastAsia="zh-CN" w:bidi="ar"/>
        </w:rPr>
        <w:t>2.3.1光伏厂区布置</w:t>
      </w:r>
      <w:bookmarkEnd w:id="193"/>
    </w:p>
    <w:p w14:paraId="4075C601">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光伏阵列场地包括电池组件阵列、箱式变压器、组串式逆变器等。本 </w:t>
      </w:r>
    </w:p>
    <w:p w14:paraId="3A4CCFBA">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工程共布置</w:t>
      </w:r>
      <w:r>
        <w:rPr>
          <w:rFonts w:hint="default" w:ascii="Times New Roman" w:hAnsi="Times New Roman" w:eastAsia="宋体" w:cs="Times New Roman"/>
          <w:color w:val="000000"/>
          <w:kern w:val="0"/>
          <w:sz w:val="28"/>
          <w:szCs w:val="28"/>
          <w:lang w:val="en-US" w:eastAsia="zh-CN" w:bidi="ar"/>
        </w:rPr>
        <w:t>496</w:t>
      </w:r>
      <w:r>
        <w:rPr>
          <w:rFonts w:hint="eastAsia" w:cs="Times New Roman"/>
          <w:color w:val="000000"/>
          <w:kern w:val="0"/>
          <w:sz w:val="28"/>
          <w:szCs w:val="28"/>
          <w:lang w:val="en-US" w:eastAsia="zh-CN" w:bidi="ar"/>
        </w:rPr>
        <w:t>1</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2</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14</w:t>
      </w:r>
      <w:r>
        <w:rPr>
          <w:rFonts w:hint="eastAsia" w:ascii="宋体" w:hAnsi="宋体" w:eastAsia="宋体" w:cs="宋体"/>
          <w:color w:val="000000"/>
          <w:kern w:val="0"/>
          <w:sz w:val="28"/>
          <w:szCs w:val="28"/>
          <w:lang w:val="en-US" w:eastAsia="zh-CN" w:bidi="ar"/>
        </w:rPr>
        <w:t>阵列，根据地块及箱变分区共计</w:t>
      </w:r>
      <w:r>
        <w:rPr>
          <w:rFonts w:hint="default" w:ascii="Times New Roman" w:hAnsi="Times New Roman" w:eastAsia="宋体" w:cs="Times New Roman"/>
          <w:color w:val="000000"/>
          <w:kern w:val="0"/>
          <w:sz w:val="28"/>
          <w:szCs w:val="28"/>
          <w:lang w:val="en-US" w:eastAsia="zh-CN" w:bidi="ar"/>
        </w:rPr>
        <w:t>22</w:t>
      </w:r>
      <w:r>
        <w:rPr>
          <w:rFonts w:hint="eastAsia" w:ascii="宋体" w:hAnsi="宋体" w:eastAsia="宋体" w:cs="宋体"/>
          <w:color w:val="000000"/>
          <w:kern w:val="0"/>
          <w:sz w:val="28"/>
          <w:szCs w:val="28"/>
          <w:lang w:val="en-US" w:eastAsia="zh-CN" w:bidi="ar"/>
        </w:rPr>
        <w:t xml:space="preserve">个地块；集 </w:t>
      </w:r>
    </w:p>
    <w:p w14:paraId="20D1E66F">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kern w:val="0"/>
          <w:sz w:val="28"/>
          <w:szCs w:val="28"/>
          <w:lang w:val="en-US" w:eastAsia="zh-CN" w:bidi="ar"/>
        </w:rPr>
        <w:t>装箱预装式箱式变压器布置在检修道路边上，便于检修。</w:t>
      </w:r>
    </w:p>
    <w:p w14:paraId="08C78FB7">
      <w:pPr>
        <w:keepNext w:val="0"/>
        <w:keepLines w:val="0"/>
        <w:pageBreakBefore w:val="0"/>
        <w:widowControl w:val="0"/>
        <w:suppressLineNumbers w:val="0"/>
        <w:kinsoku/>
        <w:wordWrap/>
        <w:overflowPunct/>
        <w:topLinePunct w:val="0"/>
        <w:autoSpaceDE/>
        <w:autoSpaceDN/>
        <w:bidi w:val="0"/>
        <w:adjustRightInd/>
        <w:snapToGrid/>
        <w:spacing w:line="420" w:lineRule="exact"/>
        <w:jc w:val="both"/>
        <w:textAlignment w:val="auto"/>
        <w:outlineLvl w:val="2"/>
        <w:rPr>
          <w:rFonts w:hint="eastAsia" w:ascii="宋体" w:hAnsi="宋体" w:cs="宋体"/>
          <w:b/>
          <w:bCs/>
          <w:color w:val="000000"/>
          <w:kern w:val="0"/>
          <w:sz w:val="30"/>
          <w:szCs w:val="30"/>
          <w:lang w:val="en-US" w:eastAsia="zh-CN" w:bidi="ar"/>
        </w:rPr>
      </w:pPr>
      <w:bookmarkStart w:id="194" w:name="_Toc14201"/>
      <w:r>
        <w:rPr>
          <w:rFonts w:hint="eastAsia" w:ascii="宋体" w:hAnsi="宋体" w:cs="宋体"/>
          <w:b/>
          <w:bCs/>
          <w:color w:val="000000"/>
          <w:kern w:val="0"/>
          <w:sz w:val="30"/>
          <w:szCs w:val="30"/>
          <w:lang w:val="en-US" w:eastAsia="zh-CN" w:bidi="ar"/>
        </w:rPr>
        <w:t>2.3.2升压站布置</w:t>
      </w:r>
      <w:bookmarkEnd w:id="194"/>
    </w:p>
    <w:p w14:paraId="585115C6">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升压站内电气设备布置主要由</w:t>
      </w:r>
      <w:r>
        <w:rPr>
          <w:rFonts w:hint="default" w:ascii="Times New Roman" w:hAnsi="Times New Roman" w:eastAsia="宋体" w:cs="Times New Roman"/>
          <w:color w:val="000000"/>
          <w:kern w:val="0"/>
          <w:sz w:val="28"/>
          <w:szCs w:val="28"/>
          <w:lang w:val="en-US" w:eastAsia="zh-CN" w:bidi="ar"/>
        </w:rPr>
        <w:t>35kV</w:t>
      </w:r>
      <w:r>
        <w:rPr>
          <w:rFonts w:hint="eastAsia" w:ascii="宋体" w:hAnsi="宋体" w:eastAsia="宋体" w:cs="宋体"/>
          <w:color w:val="000000"/>
          <w:kern w:val="0"/>
          <w:sz w:val="28"/>
          <w:szCs w:val="28"/>
          <w:lang w:val="en-US" w:eastAsia="zh-CN" w:bidi="ar"/>
        </w:rPr>
        <w:t xml:space="preserve">预制舱室（一次设备室、二次设备室、蓄电池室，控制室等）、户外 </w:t>
      </w:r>
      <w:r>
        <w:rPr>
          <w:rFonts w:hint="default" w:ascii="Times New Roman" w:hAnsi="Times New Roman" w:eastAsia="宋体" w:cs="Times New Roman"/>
          <w:color w:val="000000"/>
          <w:kern w:val="0"/>
          <w:sz w:val="28"/>
          <w:szCs w:val="28"/>
          <w:lang w:val="en-US" w:eastAsia="zh-CN" w:bidi="ar"/>
        </w:rPr>
        <w:t>GIS</w:t>
      </w:r>
      <w:r>
        <w:rPr>
          <w:rFonts w:hint="eastAsia" w:ascii="宋体" w:hAnsi="宋体" w:eastAsia="宋体" w:cs="宋体"/>
          <w:color w:val="000000"/>
          <w:kern w:val="0"/>
          <w:sz w:val="28"/>
          <w:szCs w:val="28"/>
          <w:lang w:val="en-US" w:eastAsia="zh-CN" w:bidi="ar"/>
        </w:rPr>
        <w:t>、户外主变压器、户外站用变、户外</w:t>
      </w:r>
      <w:r>
        <w:rPr>
          <w:rFonts w:hint="default" w:ascii="Times New Roman" w:hAnsi="Times New Roman" w:eastAsia="宋体" w:cs="Times New Roman"/>
          <w:color w:val="000000"/>
          <w:kern w:val="0"/>
          <w:sz w:val="28"/>
          <w:szCs w:val="28"/>
          <w:lang w:val="en-US" w:eastAsia="zh-CN" w:bidi="ar"/>
        </w:rPr>
        <w:t>SVG</w:t>
      </w:r>
      <w:r>
        <w:rPr>
          <w:rFonts w:hint="eastAsia" w:ascii="宋体" w:hAnsi="宋体" w:eastAsia="宋体" w:cs="宋体"/>
          <w:color w:val="000000"/>
          <w:kern w:val="0"/>
          <w:sz w:val="28"/>
          <w:szCs w:val="28"/>
          <w:lang w:val="en-US" w:eastAsia="zh-CN" w:bidi="ar"/>
        </w:rPr>
        <w:t xml:space="preserve">组成。 </w:t>
      </w:r>
    </w:p>
    <w:p w14:paraId="4AA0BA0D">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35kV</w:t>
      </w:r>
      <w:r>
        <w:rPr>
          <w:rFonts w:hint="eastAsia" w:ascii="宋体" w:hAnsi="宋体" w:eastAsia="宋体" w:cs="宋体"/>
          <w:color w:val="000000"/>
          <w:kern w:val="0"/>
          <w:sz w:val="28"/>
          <w:szCs w:val="28"/>
          <w:lang w:val="en-US" w:eastAsia="zh-CN" w:bidi="ar"/>
        </w:rPr>
        <w:t>预制舱（配电室）布置在站区西北侧；</w:t>
      </w:r>
      <w:r>
        <w:rPr>
          <w:rFonts w:hint="default" w:ascii="Times New Roman" w:hAnsi="Times New Roman" w:eastAsia="宋体" w:cs="Times New Roman"/>
          <w:color w:val="000000"/>
          <w:kern w:val="0"/>
          <w:sz w:val="28"/>
          <w:szCs w:val="28"/>
          <w:lang w:val="en-US" w:eastAsia="zh-CN" w:bidi="ar"/>
        </w:rPr>
        <w:t>220kV</w:t>
      </w:r>
      <w:r>
        <w:rPr>
          <w:rFonts w:hint="eastAsia" w:ascii="宋体" w:hAnsi="宋体" w:eastAsia="宋体" w:cs="宋体"/>
          <w:color w:val="000000"/>
          <w:kern w:val="0"/>
          <w:sz w:val="28"/>
          <w:szCs w:val="28"/>
          <w:lang w:val="en-US" w:eastAsia="zh-CN" w:bidi="ar"/>
        </w:rPr>
        <w:t>户外</w:t>
      </w:r>
      <w:r>
        <w:rPr>
          <w:rFonts w:hint="default" w:ascii="Times New Roman" w:hAnsi="Times New Roman" w:eastAsia="宋体" w:cs="Times New Roman"/>
          <w:color w:val="000000"/>
          <w:kern w:val="0"/>
          <w:sz w:val="28"/>
          <w:szCs w:val="28"/>
          <w:lang w:val="en-US" w:eastAsia="zh-CN" w:bidi="ar"/>
        </w:rPr>
        <w:t>GIS</w:t>
      </w:r>
      <w:r>
        <w:rPr>
          <w:rFonts w:hint="eastAsia" w:ascii="宋体" w:hAnsi="宋体" w:eastAsia="宋体" w:cs="宋体"/>
          <w:color w:val="000000"/>
          <w:kern w:val="0"/>
          <w:sz w:val="28"/>
          <w:szCs w:val="28"/>
          <w:lang w:val="en-US" w:eastAsia="zh-CN" w:bidi="ar"/>
        </w:rPr>
        <w:t>布置在站区东南侧，主变压器采用户外布置，位于</w:t>
      </w:r>
      <w:r>
        <w:rPr>
          <w:rFonts w:hint="default" w:ascii="Times New Roman" w:hAnsi="Times New Roman" w:eastAsia="宋体" w:cs="Times New Roman"/>
          <w:color w:val="000000"/>
          <w:kern w:val="0"/>
          <w:sz w:val="28"/>
          <w:szCs w:val="28"/>
          <w:lang w:val="en-US" w:eastAsia="zh-CN" w:bidi="ar"/>
        </w:rPr>
        <w:t>35kV</w:t>
      </w:r>
      <w:r>
        <w:rPr>
          <w:rFonts w:hint="eastAsia" w:ascii="宋体" w:hAnsi="宋体" w:eastAsia="宋体" w:cs="宋体"/>
          <w:color w:val="000000"/>
          <w:kern w:val="0"/>
          <w:sz w:val="28"/>
          <w:szCs w:val="28"/>
          <w:lang w:val="en-US" w:eastAsia="zh-CN" w:bidi="ar"/>
        </w:rPr>
        <w:t>预制舱及户外</w:t>
      </w:r>
      <w:r>
        <w:rPr>
          <w:rFonts w:hint="default" w:ascii="Times New Roman" w:hAnsi="Times New Roman" w:eastAsia="宋体" w:cs="Times New Roman"/>
          <w:color w:val="000000"/>
          <w:kern w:val="0"/>
          <w:sz w:val="28"/>
          <w:szCs w:val="28"/>
          <w:lang w:val="en-US" w:eastAsia="zh-CN" w:bidi="ar"/>
        </w:rPr>
        <w:t xml:space="preserve">220kV GIS </w:t>
      </w:r>
      <w:r>
        <w:rPr>
          <w:rFonts w:hint="eastAsia" w:ascii="宋体" w:hAnsi="宋体" w:eastAsia="宋体" w:cs="宋体"/>
          <w:color w:val="000000"/>
          <w:kern w:val="0"/>
          <w:sz w:val="28"/>
          <w:szCs w:val="28"/>
          <w:lang w:val="en-US" w:eastAsia="zh-CN" w:bidi="ar"/>
        </w:rPr>
        <w:t xml:space="preserve">中间。 </w:t>
      </w:r>
    </w:p>
    <w:p w14:paraId="1D2540D0">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动态无功补偿装置为户外布置型式</w:t>
      </w:r>
      <w:r>
        <w:rPr>
          <w:rFonts w:hint="eastAsia" w:ascii="宋体" w:hAnsi="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SVG</w:t>
      </w:r>
      <w:r>
        <w:rPr>
          <w:rFonts w:hint="eastAsia" w:ascii="宋体" w:hAnsi="宋体" w:eastAsia="宋体" w:cs="宋体"/>
          <w:color w:val="000000"/>
          <w:kern w:val="0"/>
          <w:sz w:val="28"/>
          <w:szCs w:val="28"/>
          <w:lang w:val="en-US" w:eastAsia="zh-CN" w:bidi="ar"/>
        </w:rPr>
        <w:t>布置在</w:t>
      </w:r>
      <w:r>
        <w:rPr>
          <w:rFonts w:hint="default" w:ascii="Times New Roman" w:hAnsi="Times New Roman" w:eastAsia="宋体" w:cs="Times New Roman"/>
          <w:color w:val="000000"/>
          <w:kern w:val="0"/>
          <w:sz w:val="28"/>
          <w:szCs w:val="28"/>
          <w:lang w:val="en-US" w:eastAsia="zh-CN" w:bidi="ar"/>
        </w:rPr>
        <w:t>35kV</w:t>
      </w:r>
      <w:r>
        <w:rPr>
          <w:rFonts w:hint="eastAsia" w:ascii="宋体" w:hAnsi="宋体" w:eastAsia="宋体" w:cs="宋体"/>
          <w:color w:val="000000"/>
          <w:kern w:val="0"/>
          <w:sz w:val="28"/>
          <w:szCs w:val="28"/>
          <w:lang w:val="en-US" w:eastAsia="zh-CN" w:bidi="ar"/>
        </w:rPr>
        <w:t>预制舱西侧。 本期扩建内容在前期工程中已规划，并留有位置，不需征地，电气总平面      布置格局及配电装置型式不变。</w:t>
      </w:r>
      <w:r>
        <w:rPr>
          <w:rFonts w:hint="default" w:ascii="Times New Roman" w:hAnsi="Times New Roman" w:eastAsia="宋体" w:cs="Times New Roman"/>
          <w:color w:val="000000"/>
          <w:kern w:val="0"/>
          <w:sz w:val="28"/>
          <w:szCs w:val="28"/>
          <w:lang w:val="en-US" w:eastAsia="zh-CN" w:bidi="ar"/>
        </w:rPr>
        <w:t>35kV</w:t>
      </w:r>
      <w:r>
        <w:rPr>
          <w:rFonts w:hint="eastAsia" w:ascii="宋体" w:hAnsi="宋体" w:eastAsia="宋体" w:cs="宋体"/>
          <w:color w:val="000000"/>
          <w:kern w:val="0"/>
          <w:sz w:val="28"/>
          <w:szCs w:val="28"/>
          <w:lang w:val="en-US" w:eastAsia="zh-CN" w:bidi="ar"/>
        </w:rPr>
        <w:t xml:space="preserve">预制舱前期已预留开关柜扩建空间，满足本期扩建要求。 </w:t>
      </w:r>
    </w:p>
    <w:p w14:paraId="0C7ABCBC">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本工程升压站海拔约</w:t>
      </w:r>
      <w:r>
        <w:rPr>
          <w:rFonts w:hint="default" w:ascii="Times New Roman" w:hAnsi="Times New Roman" w:eastAsia="宋体" w:cs="Times New Roman"/>
          <w:color w:val="000000"/>
          <w:kern w:val="0"/>
          <w:sz w:val="28"/>
          <w:szCs w:val="28"/>
          <w:lang w:val="en-US" w:eastAsia="zh-CN" w:bidi="ar"/>
        </w:rPr>
        <w:t>1000m</w:t>
      </w:r>
      <w:r>
        <w:rPr>
          <w:rFonts w:hint="eastAsia" w:ascii="宋体" w:hAnsi="宋体" w:eastAsia="宋体" w:cs="宋体"/>
          <w:color w:val="000000"/>
          <w:kern w:val="0"/>
          <w:sz w:val="28"/>
          <w:szCs w:val="28"/>
          <w:lang w:val="en-US" w:eastAsia="zh-CN" w:bidi="ar"/>
        </w:rPr>
        <w:t>。</w:t>
      </w:r>
    </w:p>
    <w:p w14:paraId="513BB47C">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outlineLvl w:val="2"/>
        <w:rPr>
          <w:rFonts w:hint="eastAsia" w:ascii="宋体" w:hAnsi="宋体" w:cs="宋体"/>
          <w:b/>
          <w:bCs/>
          <w:color w:val="000000"/>
          <w:kern w:val="0"/>
          <w:sz w:val="30"/>
          <w:szCs w:val="30"/>
          <w:lang w:val="en-US" w:eastAsia="zh-CN" w:bidi="ar"/>
        </w:rPr>
      </w:pPr>
      <w:bookmarkStart w:id="195" w:name="_Toc11341"/>
      <w:r>
        <w:rPr>
          <w:rFonts w:hint="eastAsia" w:ascii="宋体" w:hAnsi="宋体" w:cs="宋体"/>
          <w:b/>
          <w:bCs/>
          <w:color w:val="000000"/>
          <w:kern w:val="0"/>
          <w:sz w:val="30"/>
          <w:szCs w:val="30"/>
          <w:lang w:val="en-US" w:eastAsia="zh-CN" w:bidi="ar"/>
        </w:rPr>
        <w:t>2.3.3生活区布置</w:t>
      </w:r>
      <w:bookmarkEnd w:id="195"/>
    </w:p>
    <w:p w14:paraId="6BC1658E">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本工程生活区与生产区分开布置，生活区位于整个升压站西南侧，与 </w:t>
      </w:r>
    </w:p>
    <w:p w14:paraId="2353CEFD">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升压站共用一个出口，生活区内主要建筑有生活办公楼和备品备件室，前 </w:t>
      </w:r>
    </w:p>
    <w:p w14:paraId="0B2E3C27">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rPr>
          <w:rFonts w:hint="default" w:ascii="宋体" w:hAnsi="宋体" w:cs="宋体"/>
          <w:b/>
          <w:bCs/>
          <w:color w:val="000000"/>
          <w:kern w:val="0"/>
          <w:sz w:val="30"/>
          <w:szCs w:val="30"/>
          <w:lang w:val="en-US" w:eastAsia="zh-CN" w:bidi="ar"/>
        </w:rPr>
      </w:pPr>
      <w:r>
        <w:rPr>
          <w:rFonts w:hint="eastAsia" w:ascii="宋体" w:hAnsi="宋体" w:eastAsia="宋体" w:cs="宋体"/>
          <w:color w:val="000000"/>
          <w:kern w:val="0"/>
          <w:sz w:val="28"/>
          <w:szCs w:val="28"/>
          <w:lang w:val="en-US" w:eastAsia="zh-CN" w:bidi="ar"/>
        </w:rPr>
        <w:t>期已建成</w:t>
      </w:r>
      <w:r>
        <w:rPr>
          <w:rFonts w:hint="eastAsia" w:ascii="宋体" w:hAnsi="宋体" w:cs="宋体"/>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本期生活区平面布置格局不变。</w:t>
      </w:r>
    </w:p>
    <w:p w14:paraId="26A3D21C">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outlineLvl w:val="2"/>
        <w:rPr>
          <w:rFonts w:hint="eastAsia" w:ascii="宋体" w:hAnsi="宋体" w:cs="宋体"/>
          <w:b/>
          <w:bCs/>
          <w:color w:val="000000"/>
          <w:kern w:val="0"/>
          <w:sz w:val="30"/>
          <w:szCs w:val="30"/>
          <w:lang w:val="en-US" w:eastAsia="zh-CN" w:bidi="ar"/>
        </w:rPr>
      </w:pPr>
      <w:bookmarkStart w:id="196" w:name="_Toc9109"/>
      <w:r>
        <w:rPr>
          <w:rFonts w:hint="eastAsia" w:ascii="宋体" w:hAnsi="宋体" w:cs="宋体"/>
          <w:b/>
          <w:bCs/>
          <w:color w:val="000000"/>
          <w:kern w:val="0"/>
          <w:sz w:val="30"/>
          <w:szCs w:val="30"/>
          <w:lang w:val="en-US" w:eastAsia="zh-CN" w:bidi="ar"/>
        </w:rPr>
        <w:t>2.3.4工艺流程</w:t>
      </w:r>
      <w:bookmarkEnd w:id="196"/>
    </w:p>
    <w:p w14:paraId="2450CB8D">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rPr>
          <w:rFonts w:hint="default" w:ascii="宋体" w:hAnsi="宋体" w:cs="宋体"/>
          <w:b/>
          <w:bCs/>
          <w:color w:val="000000"/>
          <w:kern w:val="0"/>
          <w:sz w:val="28"/>
          <w:szCs w:val="28"/>
          <w:lang w:val="en-US" w:eastAsia="zh-CN" w:bidi="ar"/>
        </w:rPr>
      </w:pPr>
      <w:r>
        <w:rPr>
          <w:rFonts w:hint="eastAsia" w:ascii="宋体" w:hAnsi="宋体" w:cs="宋体"/>
          <w:b/>
          <w:bCs/>
          <w:color w:val="000000"/>
          <w:kern w:val="0"/>
          <w:sz w:val="28"/>
          <w:szCs w:val="28"/>
          <w:lang w:val="en-US" w:eastAsia="zh-CN" w:bidi="ar"/>
        </w:rPr>
        <w:t>2.3.4.1光伏组件</w:t>
      </w:r>
    </w:p>
    <w:p w14:paraId="27DC2174">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光伏组件选择峰值功率为</w:t>
      </w:r>
      <w:r>
        <w:rPr>
          <w:rFonts w:hint="default" w:ascii="Times New Roman" w:hAnsi="Times New Roman" w:eastAsia="宋体" w:cs="Times New Roman"/>
          <w:color w:val="000000"/>
          <w:kern w:val="0"/>
          <w:sz w:val="28"/>
          <w:szCs w:val="28"/>
          <w:lang w:val="en-US" w:eastAsia="zh-CN" w:bidi="ar"/>
        </w:rPr>
        <w:t>585Wp</w:t>
      </w:r>
      <w:r>
        <w:rPr>
          <w:rFonts w:hint="eastAsia" w:ascii="宋体" w:hAnsi="宋体" w:eastAsia="宋体" w:cs="宋体"/>
          <w:color w:val="000000"/>
          <w:kern w:val="0"/>
          <w:sz w:val="28"/>
          <w:szCs w:val="28"/>
          <w:lang w:val="en-US" w:eastAsia="zh-CN" w:bidi="ar"/>
        </w:rPr>
        <w:t>单晶硅双面光伏组件。</w:t>
      </w:r>
    </w:p>
    <w:p w14:paraId="1F64248A">
      <w:pPr>
        <w:keepNext w:val="0"/>
        <w:keepLines w:val="0"/>
        <w:pageBreakBefore w:val="0"/>
        <w:widowControl w:val="0"/>
        <w:suppressLineNumbers w:val="0"/>
        <w:kinsoku/>
        <w:wordWrap/>
        <w:overflowPunct/>
        <w:topLinePunct w:val="0"/>
        <w:autoSpaceDE/>
        <w:autoSpaceDN/>
        <w:bidi w:val="0"/>
        <w:adjustRightInd/>
        <w:snapToGrid/>
        <w:spacing w:line="420" w:lineRule="exact"/>
        <w:jc w:val="both"/>
        <w:textAlignment w:val="auto"/>
        <w:rPr>
          <w:rFonts w:hint="eastAsia" w:ascii="宋体" w:hAnsi="宋体" w:cs="宋体"/>
          <w:b/>
          <w:bCs/>
          <w:color w:val="000000"/>
          <w:kern w:val="0"/>
          <w:sz w:val="28"/>
          <w:szCs w:val="28"/>
          <w:lang w:val="en-US" w:eastAsia="zh-CN" w:bidi="ar"/>
        </w:rPr>
      </w:pPr>
      <w:r>
        <w:rPr>
          <w:rFonts w:hint="eastAsia" w:ascii="宋体" w:hAnsi="宋体" w:cs="宋体"/>
          <w:b/>
          <w:bCs/>
          <w:color w:val="000000"/>
          <w:kern w:val="0"/>
          <w:sz w:val="28"/>
          <w:szCs w:val="28"/>
          <w:lang w:val="en-US" w:eastAsia="zh-CN" w:bidi="ar"/>
        </w:rPr>
        <w:t>2.3.4.2光伏阵列运行方式</w:t>
      </w:r>
    </w:p>
    <w:p w14:paraId="55FD03B4">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1</w:t>
      </w:r>
      <w:r>
        <w:rPr>
          <w:rFonts w:hint="eastAsia" w:ascii="宋体" w:hAnsi="宋体" w:eastAsia="宋体" w:cs="宋体"/>
          <w:color w:val="000000"/>
          <w:kern w:val="0"/>
          <w:sz w:val="28"/>
          <w:szCs w:val="28"/>
          <w:lang w:val="en-US" w:eastAsia="zh-CN" w:bidi="ar"/>
        </w:rPr>
        <w:t xml:space="preserve">）方阵支架 </w:t>
      </w:r>
    </w:p>
    <w:p w14:paraId="4F7955EA">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本项目太阳电池方阵的运行方式采用固定倾角式的运行方式，即方阵 </w:t>
      </w:r>
    </w:p>
    <w:p w14:paraId="342D867E">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支架采用固定支架。 </w:t>
      </w:r>
    </w:p>
    <w:p w14:paraId="69AF0811">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2</w:t>
      </w:r>
      <w:r>
        <w:rPr>
          <w:rFonts w:hint="eastAsia" w:ascii="宋体" w:hAnsi="宋体" w:eastAsia="宋体" w:cs="宋体"/>
          <w:color w:val="000000"/>
          <w:kern w:val="0"/>
          <w:sz w:val="28"/>
          <w:szCs w:val="28"/>
          <w:lang w:val="en-US" w:eastAsia="zh-CN" w:bidi="ar"/>
        </w:rPr>
        <w:t xml:space="preserve">）光伏阵列最佳倾角 </w:t>
      </w:r>
    </w:p>
    <w:p w14:paraId="432E694A">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光伏支架最佳倾角为</w:t>
      </w:r>
      <w:r>
        <w:rPr>
          <w:rFonts w:hint="default" w:ascii="Times New Roman" w:hAnsi="Times New Roman" w:eastAsia="宋体" w:cs="Times New Roman"/>
          <w:color w:val="000000"/>
          <w:kern w:val="0"/>
          <w:sz w:val="28"/>
          <w:szCs w:val="28"/>
          <w:lang w:val="en-US" w:eastAsia="zh-CN" w:bidi="ar"/>
        </w:rPr>
        <w:t>22</w:t>
      </w:r>
      <w:r>
        <w:rPr>
          <w:rFonts w:hint="eastAsia" w:ascii="宋体" w:hAnsi="宋体" w:eastAsia="宋体" w:cs="宋体"/>
          <w:color w:val="000000"/>
          <w:kern w:val="0"/>
          <w:sz w:val="28"/>
          <w:szCs w:val="28"/>
          <w:lang w:val="en-US" w:eastAsia="zh-CN" w:bidi="ar"/>
        </w:rPr>
        <w:t xml:space="preserve">°。 </w:t>
      </w:r>
    </w:p>
    <w:p w14:paraId="10D9AB68">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3</w:t>
      </w:r>
      <w:r>
        <w:rPr>
          <w:rFonts w:hint="eastAsia" w:ascii="宋体" w:hAnsi="宋体" w:eastAsia="宋体" w:cs="宋体"/>
          <w:color w:val="000000"/>
          <w:kern w:val="0"/>
          <w:sz w:val="28"/>
          <w:szCs w:val="28"/>
          <w:lang w:val="en-US" w:eastAsia="zh-CN" w:bidi="ar"/>
        </w:rPr>
        <w:t xml:space="preserve">）光伏方阵容配优化选 </w:t>
      </w:r>
    </w:p>
    <w:p w14:paraId="5B6894DE">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本项目最终的容配比为</w:t>
      </w:r>
      <w:r>
        <w:rPr>
          <w:rFonts w:hint="default" w:ascii="Times New Roman" w:hAnsi="Times New Roman" w:eastAsia="宋体" w:cs="Times New Roman"/>
          <w:color w:val="000000"/>
          <w:kern w:val="0"/>
          <w:sz w:val="28"/>
          <w:szCs w:val="28"/>
          <w:lang w:val="en-US" w:eastAsia="zh-CN" w:bidi="ar"/>
        </w:rPr>
        <w:t>1.24</w:t>
      </w:r>
      <w:r>
        <w:rPr>
          <w:rFonts w:hint="eastAsia" w:ascii="宋体" w:hAnsi="宋体" w:eastAsia="宋体" w:cs="宋体"/>
          <w:color w:val="000000"/>
          <w:kern w:val="0"/>
          <w:sz w:val="28"/>
          <w:szCs w:val="28"/>
          <w:lang w:val="en-US" w:eastAsia="zh-CN" w:bidi="ar"/>
        </w:rPr>
        <w:t>。</w:t>
      </w:r>
    </w:p>
    <w:p w14:paraId="764CB1A2">
      <w:pPr>
        <w:keepNext w:val="0"/>
        <w:keepLines w:val="0"/>
        <w:pageBreakBefore w:val="0"/>
        <w:widowControl w:val="0"/>
        <w:suppressLineNumbers w:val="0"/>
        <w:kinsoku/>
        <w:wordWrap/>
        <w:overflowPunct/>
        <w:topLinePunct w:val="0"/>
        <w:autoSpaceDE/>
        <w:autoSpaceDN/>
        <w:bidi w:val="0"/>
        <w:adjustRightInd/>
        <w:snapToGrid/>
        <w:spacing w:line="420" w:lineRule="exact"/>
        <w:jc w:val="both"/>
        <w:textAlignment w:val="auto"/>
        <w:rPr>
          <w:rFonts w:hint="eastAsia" w:ascii="宋体" w:hAnsi="宋体" w:cs="宋体"/>
          <w:b/>
          <w:bCs/>
          <w:color w:val="000000"/>
          <w:kern w:val="0"/>
          <w:sz w:val="28"/>
          <w:szCs w:val="28"/>
          <w:lang w:val="en-US" w:eastAsia="zh-CN" w:bidi="ar"/>
        </w:rPr>
      </w:pPr>
      <w:r>
        <w:rPr>
          <w:rFonts w:hint="eastAsia" w:ascii="宋体" w:hAnsi="宋体" w:cs="宋体"/>
          <w:b/>
          <w:bCs/>
          <w:color w:val="000000"/>
          <w:kern w:val="0"/>
          <w:sz w:val="28"/>
          <w:szCs w:val="28"/>
          <w:lang w:val="en-US" w:eastAsia="zh-CN" w:bidi="ar"/>
        </w:rPr>
        <w:t>2.3.4.3逆变器</w:t>
      </w:r>
    </w:p>
    <w:p w14:paraId="475E48B8">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本项目采用</w:t>
      </w:r>
      <w:r>
        <w:rPr>
          <w:rFonts w:hint="default" w:ascii="Times New Roman" w:hAnsi="Times New Roman" w:eastAsia="宋体" w:cs="Times New Roman"/>
          <w:color w:val="000000"/>
          <w:kern w:val="0"/>
          <w:sz w:val="28"/>
          <w:szCs w:val="28"/>
          <w:lang w:val="en-US" w:eastAsia="zh-CN" w:bidi="ar"/>
        </w:rPr>
        <w:t>320kW</w:t>
      </w:r>
      <w:r>
        <w:rPr>
          <w:rFonts w:hint="eastAsia" w:ascii="宋体" w:hAnsi="宋体" w:eastAsia="宋体" w:cs="宋体"/>
          <w:color w:val="000000"/>
          <w:kern w:val="0"/>
          <w:sz w:val="28"/>
          <w:szCs w:val="28"/>
          <w:lang w:val="en-US" w:eastAsia="zh-CN" w:bidi="ar"/>
        </w:rPr>
        <w:t>组串式逆变器。</w:t>
      </w:r>
    </w:p>
    <w:p w14:paraId="071AB661">
      <w:pPr>
        <w:keepNext w:val="0"/>
        <w:keepLines w:val="0"/>
        <w:pageBreakBefore w:val="0"/>
        <w:widowControl w:val="0"/>
        <w:suppressLineNumbers w:val="0"/>
        <w:kinsoku/>
        <w:wordWrap/>
        <w:overflowPunct/>
        <w:topLinePunct w:val="0"/>
        <w:autoSpaceDE/>
        <w:autoSpaceDN/>
        <w:bidi w:val="0"/>
        <w:adjustRightInd/>
        <w:snapToGrid/>
        <w:spacing w:line="420" w:lineRule="exact"/>
        <w:jc w:val="both"/>
        <w:textAlignment w:val="auto"/>
        <w:rPr>
          <w:rFonts w:hint="eastAsia" w:ascii="宋体" w:hAnsi="宋体" w:cs="宋体"/>
          <w:b/>
          <w:bCs/>
          <w:color w:val="000000"/>
          <w:kern w:val="0"/>
          <w:sz w:val="28"/>
          <w:szCs w:val="28"/>
          <w:lang w:val="en-US" w:eastAsia="zh-CN" w:bidi="ar"/>
        </w:rPr>
      </w:pPr>
      <w:r>
        <w:rPr>
          <w:rFonts w:hint="eastAsia" w:ascii="宋体" w:hAnsi="宋体" w:cs="宋体"/>
          <w:b/>
          <w:bCs/>
          <w:color w:val="000000"/>
          <w:kern w:val="0"/>
          <w:sz w:val="28"/>
          <w:szCs w:val="28"/>
          <w:lang w:val="en-US" w:eastAsia="zh-CN" w:bidi="ar"/>
        </w:rPr>
        <w:t>2.3.4.4光伏方阵布置</w:t>
      </w:r>
    </w:p>
    <w:p w14:paraId="721E4CDC">
      <w:pPr>
        <w:keepNext w:val="0"/>
        <w:keepLines w:val="0"/>
        <w:pageBreakBefore w:val="0"/>
        <w:widowControl w:val="0"/>
        <w:numPr>
          <w:ilvl w:val="0"/>
          <w:numId w:val="6"/>
        </w:numPr>
        <w:suppressLineNumbers w:val="0"/>
        <w:kinsoku/>
        <w:wordWrap/>
        <w:overflowPunct/>
        <w:topLinePunct w:val="0"/>
        <w:autoSpaceDE/>
        <w:autoSpaceDN/>
        <w:bidi w:val="0"/>
        <w:adjustRightInd/>
        <w:snapToGrid/>
        <w:spacing w:line="420" w:lineRule="exact"/>
        <w:jc w:val="both"/>
        <w:textAlignment w:val="auto"/>
        <w:rPr>
          <w:rFonts w:hint="eastAsia" w:ascii="宋体" w:hAnsi="宋体" w:cs="宋体"/>
          <w:b/>
          <w:bCs/>
          <w:color w:val="000000"/>
          <w:kern w:val="0"/>
          <w:sz w:val="28"/>
          <w:szCs w:val="28"/>
          <w:lang w:val="en-US" w:eastAsia="zh-CN" w:bidi="ar"/>
        </w:rPr>
      </w:pPr>
      <w:r>
        <w:rPr>
          <w:rFonts w:hint="eastAsia" w:ascii="宋体" w:hAnsi="宋体" w:cs="宋体"/>
          <w:b/>
          <w:bCs/>
          <w:color w:val="000000"/>
          <w:kern w:val="0"/>
          <w:sz w:val="28"/>
          <w:szCs w:val="28"/>
          <w:lang w:val="en-US" w:eastAsia="zh-CN" w:bidi="ar"/>
        </w:rPr>
        <w:t>光伏子方阵布置</w:t>
      </w:r>
    </w:p>
    <w:p w14:paraId="262A7E06">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本工程全部采用</w:t>
      </w:r>
      <w:r>
        <w:rPr>
          <w:rFonts w:hint="default" w:ascii="Times New Roman" w:hAnsi="Times New Roman" w:eastAsia="宋体" w:cs="Times New Roman"/>
          <w:color w:val="000000"/>
          <w:kern w:val="0"/>
          <w:sz w:val="28"/>
          <w:szCs w:val="28"/>
          <w:lang w:val="en-US" w:eastAsia="zh-CN" w:bidi="ar"/>
        </w:rPr>
        <w:t>585Wp</w:t>
      </w:r>
      <w:r>
        <w:rPr>
          <w:rFonts w:hint="eastAsia" w:ascii="宋体" w:hAnsi="宋体" w:eastAsia="宋体" w:cs="宋体"/>
          <w:color w:val="000000"/>
          <w:kern w:val="0"/>
          <w:sz w:val="28"/>
          <w:szCs w:val="28"/>
          <w:lang w:val="en-US" w:eastAsia="zh-CN" w:bidi="ar"/>
        </w:rPr>
        <w:t>单晶硅电池组件，共有</w:t>
      </w:r>
      <w:r>
        <w:rPr>
          <w:rFonts w:hint="default" w:ascii="Times New Roman" w:hAnsi="Times New Roman" w:eastAsia="宋体" w:cs="Times New Roman"/>
          <w:color w:val="000000"/>
          <w:kern w:val="0"/>
          <w:sz w:val="28"/>
          <w:szCs w:val="28"/>
          <w:lang w:val="en-US" w:eastAsia="zh-CN" w:bidi="ar"/>
        </w:rPr>
        <w:t>18</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3.2MW</w:t>
      </w:r>
      <w:r>
        <w:rPr>
          <w:rFonts w:hint="eastAsia" w:ascii="宋体" w:hAnsi="宋体" w:eastAsia="宋体" w:cs="宋体"/>
          <w:color w:val="000000"/>
          <w:kern w:val="0"/>
          <w:sz w:val="28"/>
          <w:szCs w:val="28"/>
          <w:lang w:val="en-US" w:eastAsia="zh-CN" w:bidi="ar"/>
        </w:rPr>
        <w:t xml:space="preserve">的方阵、 </w:t>
      </w:r>
    </w:p>
    <w:p w14:paraId="57FFC27E">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default" w:ascii="Times New Roman" w:hAnsi="Times New Roman" w:eastAsia="宋体" w:cs="Times New Roman"/>
          <w:color w:val="000000"/>
          <w:kern w:val="0"/>
          <w:sz w:val="28"/>
          <w:szCs w:val="28"/>
          <w:lang w:val="en-US" w:eastAsia="zh-CN" w:bidi="ar"/>
        </w:rPr>
        <w:t>1</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2.6MW</w:t>
      </w:r>
      <w:r>
        <w:rPr>
          <w:rFonts w:hint="eastAsia" w:ascii="宋体" w:hAnsi="宋体" w:eastAsia="宋体" w:cs="宋体"/>
          <w:color w:val="000000"/>
          <w:kern w:val="0"/>
          <w:sz w:val="28"/>
          <w:szCs w:val="28"/>
          <w:lang w:val="en-US" w:eastAsia="zh-CN" w:bidi="ar"/>
        </w:rPr>
        <w:t>的方阵、</w:t>
      </w:r>
      <w:r>
        <w:rPr>
          <w:rFonts w:hint="default" w:ascii="Times New Roman" w:hAnsi="Times New Roman" w:eastAsia="宋体" w:cs="Times New Roman"/>
          <w:color w:val="000000"/>
          <w:kern w:val="0"/>
          <w:sz w:val="28"/>
          <w:szCs w:val="28"/>
          <w:lang w:val="en-US" w:eastAsia="zh-CN" w:bidi="ar"/>
        </w:rPr>
        <w:t>2</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2.0MW</w:t>
      </w:r>
      <w:r>
        <w:rPr>
          <w:rFonts w:hint="eastAsia" w:ascii="宋体" w:hAnsi="宋体" w:eastAsia="宋体" w:cs="宋体"/>
          <w:color w:val="000000"/>
          <w:kern w:val="0"/>
          <w:sz w:val="28"/>
          <w:szCs w:val="28"/>
          <w:lang w:val="en-US" w:eastAsia="zh-CN" w:bidi="ar"/>
        </w:rPr>
        <w:t>的方阵和</w:t>
      </w:r>
      <w:r>
        <w:rPr>
          <w:rFonts w:hint="default" w:ascii="Times New Roman" w:hAnsi="Times New Roman" w:eastAsia="宋体" w:cs="Times New Roman"/>
          <w:color w:val="000000"/>
          <w:kern w:val="0"/>
          <w:sz w:val="28"/>
          <w:szCs w:val="28"/>
          <w:lang w:val="en-US" w:eastAsia="zh-CN" w:bidi="ar"/>
        </w:rPr>
        <w:t>1</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1.6MW</w:t>
      </w:r>
      <w:r>
        <w:rPr>
          <w:rFonts w:hint="eastAsia" w:ascii="宋体" w:hAnsi="宋体" w:eastAsia="宋体" w:cs="宋体"/>
          <w:color w:val="000000"/>
          <w:kern w:val="0"/>
          <w:sz w:val="28"/>
          <w:szCs w:val="28"/>
          <w:lang w:val="en-US" w:eastAsia="zh-CN" w:bidi="ar"/>
        </w:rPr>
        <w:t>的方阵，合计</w:t>
      </w:r>
      <w:r>
        <w:rPr>
          <w:rFonts w:hint="default" w:ascii="Times New Roman" w:hAnsi="Times New Roman" w:eastAsia="宋体" w:cs="Times New Roman"/>
          <w:color w:val="000000"/>
          <w:kern w:val="0"/>
          <w:sz w:val="28"/>
          <w:szCs w:val="28"/>
          <w:lang w:val="en-US" w:eastAsia="zh-CN" w:bidi="ar"/>
        </w:rPr>
        <w:t xml:space="preserve">22 </w:t>
      </w:r>
    </w:p>
    <w:p w14:paraId="31469899">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个方阵。每个</w:t>
      </w:r>
      <w:r>
        <w:rPr>
          <w:rFonts w:hint="default" w:ascii="Times New Roman" w:hAnsi="Times New Roman" w:eastAsia="宋体" w:cs="Times New Roman"/>
          <w:color w:val="000000"/>
          <w:kern w:val="0"/>
          <w:sz w:val="28"/>
          <w:szCs w:val="28"/>
          <w:lang w:val="en-US" w:eastAsia="zh-CN" w:bidi="ar"/>
        </w:rPr>
        <w:t>3.2MW</w:t>
      </w:r>
      <w:r>
        <w:rPr>
          <w:rFonts w:hint="eastAsia" w:ascii="宋体" w:hAnsi="宋体" w:eastAsia="宋体" w:cs="宋体"/>
          <w:color w:val="000000"/>
          <w:kern w:val="0"/>
          <w:sz w:val="28"/>
          <w:szCs w:val="28"/>
          <w:lang w:val="en-US" w:eastAsia="zh-CN" w:bidi="ar"/>
        </w:rPr>
        <w:t>光伏方阵包含</w:t>
      </w:r>
      <w:r>
        <w:rPr>
          <w:rFonts w:hint="default" w:ascii="Times New Roman" w:hAnsi="Times New Roman" w:eastAsia="宋体" w:cs="Times New Roman"/>
          <w:color w:val="000000"/>
          <w:kern w:val="0"/>
          <w:sz w:val="28"/>
          <w:szCs w:val="28"/>
          <w:lang w:val="en-US" w:eastAsia="zh-CN" w:bidi="ar"/>
        </w:rPr>
        <w:t>10</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320kW</w:t>
      </w:r>
      <w:r>
        <w:rPr>
          <w:rFonts w:hint="eastAsia" w:ascii="宋体" w:hAnsi="宋体" w:eastAsia="宋体" w:cs="宋体"/>
          <w:color w:val="000000"/>
          <w:kern w:val="0"/>
          <w:sz w:val="28"/>
          <w:szCs w:val="28"/>
          <w:lang w:val="en-US" w:eastAsia="zh-CN" w:bidi="ar"/>
        </w:rPr>
        <w:t>发电单元；每个</w:t>
      </w:r>
      <w:r>
        <w:rPr>
          <w:rFonts w:hint="default" w:ascii="Times New Roman" w:hAnsi="Times New Roman" w:eastAsia="宋体" w:cs="Times New Roman"/>
          <w:color w:val="000000"/>
          <w:kern w:val="0"/>
          <w:sz w:val="28"/>
          <w:szCs w:val="28"/>
          <w:lang w:val="en-US" w:eastAsia="zh-CN" w:bidi="ar"/>
        </w:rPr>
        <w:t>2.6MW</w:t>
      </w:r>
    </w:p>
    <w:p w14:paraId="61D4253E">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rPr>
          <w:rFonts w:hint="eastAsia" w:ascii="宋体" w:hAnsi="宋体" w:cs="宋体"/>
          <w:b/>
          <w:bCs/>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光伏方阵包含</w:t>
      </w:r>
      <w:r>
        <w:rPr>
          <w:rFonts w:hint="default" w:ascii="Times New Roman" w:hAnsi="Times New Roman" w:eastAsia="宋体" w:cs="Times New Roman"/>
          <w:color w:val="000000"/>
          <w:kern w:val="0"/>
          <w:sz w:val="28"/>
          <w:szCs w:val="28"/>
          <w:lang w:val="en-US" w:eastAsia="zh-CN" w:bidi="ar"/>
        </w:rPr>
        <w:t>8</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320kW</w:t>
      </w:r>
      <w:r>
        <w:rPr>
          <w:rFonts w:hint="eastAsia" w:ascii="宋体" w:hAnsi="宋体" w:eastAsia="宋体" w:cs="宋体"/>
          <w:color w:val="000000"/>
          <w:kern w:val="0"/>
          <w:sz w:val="28"/>
          <w:szCs w:val="28"/>
          <w:lang w:val="en-US" w:eastAsia="zh-CN" w:bidi="ar"/>
        </w:rPr>
        <w:t>发电单元；每个</w:t>
      </w:r>
      <w:r>
        <w:rPr>
          <w:rFonts w:hint="default" w:ascii="Times New Roman" w:hAnsi="Times New Roman" w:eastAsia="宋体" w:cs="Times New Roman"/>
          <w:color w:val="000000"/>
          <w:kern w:val="0"/>
          <w:sz w:val="28"/>
          <w:szCs w:val="28"/>
          <w:lang w:val="en-US" w:eastAsia="zh-CN" w:bidi="ar"/>
        </w:rPr>
        <w:t>2.0MW</w:t>
      </w:r>
      <w:r>
        <w:rPr>
          <w:rFonts w:hint="eastAsia" w:ascii="宋体" w:hAnsi="宋体" w:eastAsia="宋体" w:cs="宋体"/>
          <w:color w:val="000000"/>
          <w:kern w:val="0"/>
          <w:sz w:val="28"/>
          <w:szCs w:val="28"/>
          <w:lang w:val="en-US" w:eastAsia="zh-CN" w:bidi="ar"/>
        </w:rPr>
        <w:t>光伏方阵包含</w:t>
      </w:r>
      <w:r>
        <w:rPr>
          <w:rFonts w:hint="default" w:ascii="Times New Roman" w:hAnsi="Times New Roman" w:eastAsia="宋体" w:cs="Times New Roman"/>
          <w:color w:val="000000"/>
          <w:kern w:val="0"/>
          <w:sz w:val="28"/>
          <w:szCs w:val="28"/>
          <w:lang w:val="en-US" w:eastAsia="zh-CN" w:bidi="ar"/>
        </w:rPr>
        <w:t>6</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320kW</w:t>
      </w:r>
      <w:r>
        <w:rPr>
          <w:rFonts w:hint="eastAsia" w:ascii="宋体" w:hAnsi="宋体" w:eastAsia="宋体" w:cs="宋体"/>
          <w:color w:val="000000"/>
          <w:kern w:val="0"/>
          <w:sz w:val="28"/>
          <w:szCs w:val="28"/>
          <w:lang w:val="en-US" w:eastAsia="zh-CN" w:bidi="ar"/>
        </w:rPr>
        <w:t>发电单元；每个</w:t>
      </w:r>
      <w:r>
        <w:rPr>
          <w:rFonts w:hint="default" w:ascii="Times New Roman" w:hAnsi="Times New Roman" w:eastAsia="宋体" w:cs="Times New Roman"/>
          <w:color w:val="000000"/>
          <w:kern w:val="0"/>
          <w:sz w:val="28"/>
          <w:szCs w:val="28"/>
          <w:lang w:val="en-US" w:eastAsia="zh-CN" w:bidi="ar"/>
        </w:rPr>
        <w:t>1.60MW</w:t>
      </w:r>
      <w:r>
        <w:rPr>
          <w:rFonts w:hint="eastAsia" w:ascii="宋体" w:hAnsi="宋体" w:eastAsia="宋体" w:cs="宋体"/>
          <w:color w:val="000000"/>
          <w:kern w:val="0"/>
          <w:sz w:val="28"/>
          <w:szCs w:val="28"/>
          <w:lang w:val="en-US" w:eastAsia="zh-CN" w:bidi="ar"/>
        </w:rPr>
        <w:t>光伏方阵包含</w:t>
      </w:r>
      <w:r>
        <w:rPr>
          <w:rFonts w:hint="default" w:ascii="Times New Roman" w:hAnsi="Times New Roman" w:eastAsia="宋体" w:cs="Times New Roman"/>
          <w:color w:val="000000"/>
          <w:kern w:val="0"/>
          <w:sz w:val="28"/>
          <w:szCs w:val="28"/>
          <w:lang w:val="en-US" w:eastAsia="zh-CN" w:bidi="ar"/>
        </w:rPr>
        <w:t>5</w:t>
      </w:r>
      <w:r>
        <w:rPr>
          <w:rFonts w:hint="eastAsia" w:ascii="宋体" w:hAnsi="宋体" w:eastAsia="宋体" w:cs="宋体"/>
          <w:color w:val="000000"/>
          <w:kern w:val="0"/>
          <w:sz w:val="28"/>
          <w:szCs w:val="28"/>
          <w:lang w:val="en-US" w:eastAsia="zh-CN" w:bidi="ar"/>
        </w:rPr>
        <w:t>个</w:t>
      </w:r>
      <w:r>
        <w:rPr>
          <w:rFonts w:hint="default" w:ascii="Times New Roman" w:hAnsi="Times New Roman" w:eastAsia="宋体" w:cs="Times New Roman"/>
          <w:color w:val="000000"/>
          <w:kern w:val="0"/>
          <w:sz w:val="28"/>
          <w:szCs w:val="28"/>
          <w:lang w:val="en-US" w:eastAsia="zh-CN" w:bidi="ar"/>
        </w:rPr>
        <w:t>320kW</w:t>
      </w:r>
      <w:r>
        <w:rPr>
          <w:rFonts w:hint="eastAsia" w:ascii="宋体" w:hAnsi="宋体" w:eastAsia="宋体" w:cs="宋体"/>
          <w:color w:val="000000"/>
          <w:kern w:val="0"/>
          <w:sz w:val="28"/>
          <w:szCs w:val="28"/>
          <w:lang w:val="en-US" w:eastAsia="zh-CN" w:bidi="ar"/>
        </w:rPr>
        <w:t>发电单元。</w:t>
      </w:r>
    </w:p>
    <w:p w14:paraId="3264ABB4">
      <w:pPr>
        <w:keepNext w:val="0"/>
        <w:keepLines w:val="0"/>
        <w:pageBreakBefore w:val="0"/>
        <w:widowControl w:val="0"/>
        <w:numPr>
          <w:ilvl w:val="0"/>
          <w:numId w:val="6"/>
        </w:numPr>
        <w:suppressLineNumbers w:val="0"/>
        <w:kinsoku/>
        <w:wordWrap/>
        <w:overflowPunct/>
        <w:topLinePunct w:val="0"/>
        <w:autoSpaceDE/>
        <w:autoSpaceDN/>
        <w:bidi w:val="0"/>
        <w:adjustRightInd/>
        <w:snapToGrid/>
        <w:spacing w:line="420" w:lineRule="exact"/>
        <w:jc w:val="both"/>
        <w:textAlignment w:val="auto"/>
        <w:rPr>
          <w:rFonts w:hint="default" w:ascii="宋体" w:hAnsi="宋体" w:cs="宋体"/>
          <w:b/>
          <w:bCs/>
          <w:color w:val="000000"/>
          <w:kern w:val="0"/>
          <w:sz w:val="28"/>
          <w:szCs w:val="28"/>
          <w:lang w:val="en-US" w:eastAsia="zh-CN" w:bidi="ar"/>
        </w:rPr>
      </w:pPr>
      <w:r>
        <w:rPr>
          <w:rFonts w:hint="eastAsia" w:ascii="宋体" w:hAnsi="宋体" w:cs="宋体"/>
          <w:b/>
          <w:bCs/>
          <w:color w:val="000000"/>
          <w:kern w:val="0"/>
          <w:sz w:val="28"/>
          <w:szCs w:val="28"/>
          <w:lang w:val="en-US" w:eastAsia="zh-CN" w:bidi="ar"/>
        </w:rPr>
        <w:t>光伏阵列布置</w:t>
      </w:r>
    </w:p>
    <w:p w14:paraId="3FB85C01">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并网光伏发电系统分层结构 </w:t>
      </w:r>
    </w:p>
    <w:p w14:paraId="6AF13498">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①光伏组串 </w:t>
      </w:r>
    </w:p>
    <w:p w14:paraId="72B470B3">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由若干光伏组件串联起来，其输出电压在逆变器允许工作电压范围内， </w:t>
      </w:r>
    </w:p>
    <w:p w14:paraId="17955044">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这样的光伏组件串联体称为光伏组串。 </w:t>
      </w:r>
    </w:p>
    <w:p w14:paraId="4AE59D33">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②光伏组串单元 </w:t>
      </w:r>
    </w:p>
    <w:p w14:paraId="448CC0EB">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布置在一个固定支架上的所有光伏组串并联组成一个光伏组串单元。 </w:t>
      </w:r>
    </w:p>
    <w:p w14:paraId="09330FA6">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③光伏发电子系统 </w:t>
      </w:r>
    </w:p>
    <w:p w14:paraId="299004D5">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由若干个并联的光伏组串单元与逆变箱变系统联合组成一个光伏发电子系统。 </w:t>
      </w:r>
    </w:p>
    <w:p w14:paraId="594A8BA1">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④光伏发电系统 </w:t>
      </w:r>
    </w:p>
    <w:p w14:paraId="5F33FED6">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由一个或若干个光伏发电子系统经升压并联后输至电网构成光伏发电系统。</w:t>
      </w:r>
    </w:p>
    <w:p w14:paraId="1AEA470B">
      <w:pPr>
        <w:keepNext w:val="0"/>
        <w:keepLines w:val="0"/>
        <w:pageBreakBefore w:val="0"/>
        <w:widowControl w:val="0"/>
        <w:suppressLineNumbers w:val="0"/>
        <w:kinsoku/>
        <w:wordWrap/>
        <w:overflowPunct/>
        <w:topLinePunct w:val="0"/>
        <w:autoSpaceDE/>
        <w:autoSpaceDN/>
        <w:bidi w:val="0"/>
        <w:adjustRightInd/>
        <w:snapToGrid/>
        <w:spacing w:line="420" w:lineRule="exact"/>
        <w:jc w:val="both"/>
        <w:textAlignment w:val="auto"/>
        <w:rPr>
          <w:rFonts w:hint="eastAsia" w:ascii="宋体" w:hAnsi="宋体" w:cs="宋体"/>
          <w:b/>
          <w:bCs/>
          <w:color w:val="000000"/>
          <w:kern w:val="0"/>
          <w:sz w:val="28"/>
          <w:szCs w:val="28"/>
          <w:lang w:val="en-US" w:eastAsia="zh-CN" w:bidi="ar"/>
        </w:rPr>
      </w:pPr>
      <w:r>
        <w:rPr>
          <w:rFonts w:hint="eastAsia" w:ascii="宋体" w:hAnsi="宋体" w:cs="宋体"/>
          <w:b/>
          <w:bCs/>
          <w:color w:val="000000"/>
          <w:kern w:val="0"/>
          <w:sz w:val="28"/>
          <w:szCs w:val="28"/>
          <w:lang w:val="en-US" w:eastAsia="zh-CN" w:bidi="ar"/>
        </w:rPr>
        <w:t>（3）光伏组串布置</w:t>
      </w:r>
    </w:p>
    <w:p w14:paraId="3A806AF6">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布置在一个固定支架上的所有光伏组件串联组成一个光伏组串单元。 </w:t>
      </w:r>
    </w:p>
    <w:p w14:paraId="1584F531">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①组件排列方式 </w:t>
      </w:r>
    </w:p>
    <w:p w14:paraId="4FCA8CF1">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本工程的组件排列方式为纵向排列。 </w:t>
      </w:r>
    </w:p>
    <w:p w14:paraId="5ED0133D">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②组串并联数量 </w:t>
      </w:r>
    </w:p>
    <w:p w14:paraId="10709350">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根据光伏组串设计成果，本工程串联光伏组件数量 </w:t>
      </w:r>
      <w:r>
        <w:rPr>
          <w:rFonts w:hint="default" w:ascii="Times New Roman" w:hAnsi="Times New Roman" w:eastAsia="宋体" w:cs="Times New Roman"/>
          <w:color w:val="000000"/>
          <w:kern w:val="0"/>
          <w:sz w:val="28"/>
          <w:szCs w:val="28"/>
          <w:lang w:val="en-US" w:eastAsia="zh-CN" w:bidi="ar"/>
        </w:rPr>
        <w:t xml:space="preserve">N </w:t>
      </w:r>
      <w:r>
        <w:rPr>
          <w:rFonts w:hint="eastAsia" w:ascii="宋体" w:hAnsi="宋体" w:eastAsia="宋体" w:cs="宋体"/>
          <w:color w:val="000000"/>
          <w:kern w:val="0"/>
          <w:sz w:val="28"/>
          <w:szCs w:val="28"/>
          <w:lang w:val="en-US" w:eastAsia="zh-CN" w:bidi="ar"/>
        </w:rPr>
        <w:t>应满足：</w:t>
      </w:r>
      <w:r>
        <w:rPr>
          <w:rFonts w:hint="default" w:ascii="Times New Roman" w:hAnsi="Times New Roman" w:eastAsia="宋体" w:cs="Times New Roman"/>
          <w:color w:val="000000"/>
          <w:kern w:val="0"/>
          <w:sz w:val="28"/>
          <w:szCs w:val="28"/>
          <w:lang w:val="en-US" w:eastAsia="zh-CN" w:bidi="ar"/>
        </w:rPr>
        <w:t>N</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28</w:t>
      </w:r>
      <w:r>
        <w:rPr>
          <w:rFonts w:hint="eastAsia" w:ascii="宋体" w:hAnsi="宋体" w:eastAsia="宋体" w:cs="宋体"/>
          <w:color w:val="000000"/>
          <w:kern w:val="0"/>
          <w:sz w:val="28"/>
          <w:szCs w:val="28"/>
          <w:lang w:val="en-US" w:eastAsia="zh-CN" w:bidi="ar"/>
        </w:rPr>
        <w:t>，本工程以</w:t>
      </w:r>
      <w:r>
        <w:rPr>
          <w:rFonts w:hint="default" w:ascii="Times New Roman" w:hAnsi="Times New Roman" w:eastAsia="宋体" w:cs="Times New Roman"/>
          <w:color w:val="000000"/>
          <w:kern w:val="0"/>
          <w:sz w:val="28"/>
          <w:szCs w:val="28"/>
          <w:lang w:val="en-US" w:eastAsia="zh-CN" w:bidi="ar"/>
        </w:rPr>
        <w:t>28</w:t>
      </w:r>
      <w:r>
        <w:rPr>
          <w:rFonts w:hint="eastAsia" w:ascii="宋体" w:hAnsi="宋体" w:eastAsia="宋体" w:cs="宋体"/>
          <w:color w:val="000000"/>
          <w:kern w:val="0"/>
          <w:sz w:val="28"/>
          <w:szCs w:val="28"/>
          <w:lang w:val="en-US" w:eastAsia="zh-CN" w:bidi="ar"/>
        </w:rPr>
        <w:t xml:space="preserve">块组件为一个组串。布置在一个固定支架上的所有光伏组件串联组成一个光伏组串单元。 </w:t>
      </w:r>
    </w:p>
    <w:p w14:paraId="7FC64150">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③单支架光伏组串排列设计 </w:t>
      </w:r>
    </w:p>
    <w:p w14:paraId="5B3BB06D">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本工程每个支架按</w:t>
      </w:r>
      <w:r>
        <w:rPr>
          <w:rFonts w:hint="default" w:ascii="Times New Roman" w:hAnsi="Times New Roman" w:eastAsia="宋体" w:cs="Times New Roman"/>
          <w:color w:val="000000"/>
          <w:kern w:val="0"/>
          <w:sz w:val="28"/>
          <w:szCs w:val="28"/>
          <w:lang w:val="en-US" w:eastAsia="zh-CN" w:bidi="ar"/>
        </w:rPr>
        <w:t>2</w:t>
      </w:r>
      <w:r>
        <w:rPr>
          <w:rFonts w:hint="eastAsia" w:ascii="宋体" w:hAnsi="宋体" w:eastAsia="宋体" w:cs="宋体"/>
          <w:color w:val="000000"/>
          <w:kern w:val="0"/>
          <w:sz w:val="28"/>
          <w:szCs w:val="28"/>
          <w:lang w:val="en-US" w:eastAsia="zh-CN" w:bidi="ar"/>
        </w:rPr>
        <w:t>排、每排</w:t>
      </w:r>
      <w:r>
        <w:rPr>
          <w:rFonts w:hint="default" w:ascii="Times New Roman" w:hAnsi="Times New Roman" w:eastAsia="宋体" w:cs="Times New Roman"/>
          <w:color w:val="000000"/>
          <w:kern w:val="0"/>
          <w:sz w:val="28"/>
          <w:szCs w:val="28"/>
          <w:lang w:val="en-US" w:eastAsia="zh-CN" w:bidi="ar"/>
        </w:rPr>
        <w:t>14</w:t>
      </w:r>
      <w:r>
        <w:rPr>
          <w:rFonts w:hint="eastAsia" w:ascii="宋体" w:hAnsi="宋体" w:eastAsia="宋体" w:cs="宋体"/>
          <w:color w:val="000000"/>
          <w:kern w:val="0"/>
          <w:sz w:val="28"/>
          <w:szCs w:val="28"/>
          <w:lang w:val="en-US" w:eastAsia="zh-CN" w:bidi="ar"/>
        </w:rPr>
        <w:t>个组件进行设计，即</w:t>
      </w:r>
      <w:r>
        <w:rPr>
          <w:rFonts w:hint="eastAsia" w:ascii="宋体" w:hAnsi="宋体" w:cs="宋体"/>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每个支架上安装</w:t>
      </w:r>
      <w:r>
        <w:rPr>
          <w:rFonts w:hint="default" w:ascii="Times New Roman" w:hAnsi="Times New Roman" w:eastAsia="宋体" w:cs="Times New Roman"/>
          <w:color w:val="000000"/>
          <w:kern w:val="0"/>
          <w:sz w:val="28"/>
          <w:szCs w:val="28"/>
          <w:lang w:val="en-US" w:eastAsia="zh-CN" w:bidi="ar"/>
        </w:rPr>
        <w:t>28</w:t>
      </w:r>
      <w:r>
        <w:rPr>
          <w:rFonts w:hint="eastAsia" w:ascii="宋体" w:hAnsi="宋体" w:eastAsia="宋体" w:cs="宋体"/>
          <w:color w:val="000000"/>
          <w:kern w:val="0"/>
          <w:sz w:val="28"/>
          <w:szCs w:val="28"/>
          <w:lang w:val="en-US" w:eastAsia="zh-CN" w:bidi="ar"/>
        </w:rPr>
        <w:t>块双面双玻光伏组件，构成</w:t>
      </w:r>
      <w:r>
        <w:rPr>
          <w:rFonts w:hint="default" w:ascii="Times New Roman" w:hAnsi="Times New Roman" w:eastAsia="宋体" w:cs="Times New Roman"/>
          <w:color w:val="000000"/>
          <w:kern w:val="0"/>
          <w:sz w:val="28"/>
          <w:szCs w:val="28"/>
          <w:lang w:val="en-US" w:eastAsia="zh-CN" w:bidi="ar"/>
        </w:rPr>
        <w:t>1</w:t>
      </w:r>
      <w:r>
        <w:rPr>
          <w:rFonts w:hint="eastAsia" w:ascii="宋体" w:hAnsi="宋体" w:eastAsia="宋体" w:cs="宋体"/>
          <w:color w:val="000000"/>
          <w:kern w:val="0"/>
          <w:sz w:val="28"/>
          <w:szCs w:val="28"/>
          <w:lang w:val="en-US" w:eastAsia="zh-CN" w:bidi="ar"/>
        </w:rPr>
        <w:t>个组串。</w:t>
      </w:r>
    </w:p>
    <w:p w14:paraId="146C6654">
      <w:pPr>
        <w:keepNext w:val="0"/>
        <w:keepLines w:val="0"/>
        <w:pageBreakBefore w:val="0"/>
        <w:widowControl w:val="0"/>
        <w:suppressLineNumbers w:val="0"/>
        <w:kinsoku/>
        <w:wordWrap/>
        <w:overflowPunct/>
        <w:topLinePunct w:val="0"/>
        <w:autoSpaceDE/>
        <w:autoSpaceDN/>
        <w:bidi w:val="0"/>
        <w:adjustRightInd/>
        <w:snapToGrid/>
        <w:spacing w:line="420" w:lineRule="exact"/>
        <w:jc w:val="both"/>
        <w:textAlignment w:val="auto"/>
        <w:rPr>
          <w:rFonts w:hint="eastAsia" w:ascii="宋体" w:hAnsi="宋体" w:cs="宋体"/>
          <w:b/>
          <w:bCs/>
          <w:color w:val="000000"/>
          <w:kern w:val="0"/>
          <w:sz w:val="28"/>
          <w:szCs w:val="28"/>
          <w:lang w:val="en-US" w:eastAsia="zh-CN" w:bidi="ar"/>
        </w:rPr>
      </w:pPr>
      <w:r>
        <w:rPr>
          <w:rFonts w:hint="eastAsia" w:ascii="宋体" w:hAnsi="宋体" w:cs="宋体"/>
          <w:b/>
          <w:bCs/>
          <w:color w:val="000000"/>
          <w:kern w:val="0"/>
          <w:sz w:val="28"/>
          <w:szCs w:val="28"/>
          <w:lang w:val="en-US" w:eastAsia="zh-CN" w:bidi="ar"/>
        </w:rPr>
        <w:t>2.3.4.5光伏电缆敷设</w:t>
      </w:r>
    </w:p>
    <w:p w14:paraId="6BC2E9D6">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光伏发电系统的太阳电池方阵，组串直流输出电缆通道东西方向沿太 </w:t>
      </w:r>
    </w:p>
    <w:p w14:paraId="634C6D7F">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阳能组件的安装支架进入组串式逆变器，南北方向电缆采用沿电缆穿保护 </w:t>
      </w:r>
    </w:p>
    <w:p w14:paraId="7EEAD58C">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管进入纵向设置的直埋壕沟敷设至组串式逆变器。组串式逆变器出线交流 </w:t>
      </w:r>
    </w:p>
    <w:p w14:paraId="0F143B47">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电缆沿着纵向设置的电缆壕沟或桥架敷设至方阵对应的箱变。 </w:t>
      </w:r>
    </w:p>
    <w:p w14:paraId="0CF74C7A">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箱变高压侧电缆及集电线路电缆沿场内道路边布置的电缆壕沟敷设及架空引至</w:t>
      </w:r>
      <w:r>
        <w:rPr>
          <w:rFonts w:hint="default" w:ascii="Times New Roman" w:hAnsi="Times New Roman" w:eastAsia="宋体" w:cs="Times New Roman"/>
          <w:color w:val="000000"/>
          <w:kern w:val="0"/>
          <w:sz w:val="28"/>
          <w:szCs w:val="28"/>
          <w:lang w:val="en-US" w:eastAsia="zh-CN" w:bidi="ar"/>
        </w:rPr>
        <w:t>35kV</w:t>
      </w:r>
      <w:r>
        <w:rPr>
          <w:rFonts w:hint="eastAsia" w:ascii="宋体" w:hAnsi="宋体" w:eastAsia="宋体" w:cs="宋体"/>
          <w:color w:val="000000"/>
          <w:kern w:val="0"/>
          <w:sz w:val="28"/>
          <w:szCs w:val="28"/>
          <w:lang w:val="en-US" w:eastAsia="zh-CN" w:bidi="ar"/>
        </w:rPr>
        <w:t>配电装置。电缆过道路部分埋管敷设的部分，埋管长度各伸出道路两侧不小于</w:t>
      </w:r>
      <w:r>
        <w:rPr>
          <w:rFonts w:hint="default" w:ascii="Times New Roman" w:hAnsi="Times New Roman" w:eastAsia="宋体" w:cs="Times New Roman"/>
          <w:color w:val="000000"/>
          <w:kern w:val="0"/>
          <w:sz w:val="28"/>
          <w:szCs w:val="28"/>
          <w:lang w:val="en-US" w:eastAsia="zh-CN" w:bidi="ar"/>
        </w:rPr>
        <w:t>1m</w:t>
      </w:r>
      <w:r>
        <w:rPr>
          <w:rFonts w:hint="eastAsia" w:ascii="宋体" w:hAnsi="宋体" w:eastAsia="宋体" w:cs="宋体"/>
          <w:color w:val="000000"/>
          <w:kern w:val="0"/>
          <w:sz w:val="28"/>
          <w:szCs w:val="28"/>
          <w:lang w:val="en-US" w:eastAsia="zh-CN" w:bidi="ar"/>
        </w:rPr>
        <w:t>，埋地深度不小于</w:t>
      </w:r>
      <w:r>
        <w:rPr>
          <w:rFonts w:hint="default" w:ascii="Times New Roman" w:hAnsi="Times New Roman" w:eastAsia="宋体" w:cs="Times New Roman"/>
          <w:color w:val="000000"/>
          <w:kern w:val="0"/>
          <w:sz w:val="28"/>
          <w:szCs w:val="28"/>
          <w:lang w:val="en-US" w:eastAsia="zh-CN" w:bidi="ar"/>
        </w:rPr>
        <w:t>1.0m</w:t>
      </w:r>
      <w:r>
        <w:rPr>
          <w:rFonts w:hint="eastAsia" w:ascii="宋体" w:hAnsi="宋体" w:eastAsia="宋体" w:cs="宋体"/>
          <w:color w:val="000000"/>
          <w:kern w:val="0"/>
          <w:sz w:val="28"/>
          <w:szCs w:val="28"/>
          <w:lang w:val="en-US" w:eastAsia="zh-CN" w:bidi="ar"/>
        </w:rPr>
        <w:t>。</w:t>
      </w:r>
    </w:p>
    <w:p w14:paraId="53621A8A">
      <w:pPr>
        <w:keepNext w:val="0"/>
        <w:keepLines w:val="0"/>
        <w:pageBreakBefore w:val="0"/>
        <w:widowControl w:val="0"/>
        <w:suppressLineNumbers w:val="0"/>
        <w:kinsoku/>
        <w:wordWrap/>
        <w:overflowPunct/>
        <w:topLinePunct w:val="0"/>
        <w:autoSpaceDE/>
        <w:autoSpaceDN/>
        <w:bidi w:val="0"/>
        <w:adjustRightInd/>
        <w:snapToGrid/>
        <w:spacing w:line="420" w:lineRule="exact"/>
        <w:jc w:val="both"/>
        <w:textAlignment w:val="auto"/>
        <w:rPr>
          <w:rFonts w:hint="eastAsia" w:ascii="宋体" w:hAnsi="宋体" w:cs="宋体"/>
          <w:b/>
          <w:bCs/>
          <w:color w:val="000000"/>
          <w:kern w:val="0"/>
          <w:sz w:val="28"/>
          <w:szCs w:val="28"/>
          <w:lang w:val="en-US" w:eastAsia="zh-CN" w:bidi="ar"/>
        </w:rPr>
      </w:pPr>
      <w:r>
        <w:rPr>
          <w:rFonts w:hint="eastAsia" w:ascii="宋体" w:hAnsi="宋体" w:cs="宋体"/>
          <w:b/>
          <w:bCs/>
          <w:color w:val="000000"/>
          <w:kern w:val="0"/>
          <w:sz w:val="28"/>
          <w:szCs w:val="28"/>
          <w:lang w:val="en-US" w:eastAsia="zh-CN" w:bidi="ar"/>
        </w:rPr>
        <w:t>2.3.4.6集线电路汇集</w:t>
      </w:r>
    </w:p>
    <w:p w14:paraId="1D4FFAA6">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本工程集电线路选用电缆</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 xml:space="preserve">架空线路集电方案。 </w:t>
      </w:r>
    </w:p>
    <w:p w14:paraId="67F94B3B">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1</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ZC-YJLHV22-26/35-3</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95mm</w:t>
      </w:r>
      <w:r>
        <w:rPr>
          <w:rFonts w:hint="eastAsia" w:ascii="Times New Roman" w:hAnsi="Times New Roman" w:eastAsia="宋体" w:cs="Times New Roman"/>
          <w:color w:val="000000"/>
          <w:kern w:val="0"/>
          <w:sz w:val="28"/>
          <w:szCs w:val="28"/>
          <w:lang w:val="en-US" w:eastAsia="zh-CN" w:bidi="ar"/>
        </w:rPr>
        <w:t>²</w:t>
      </w:r>
      <w:r>
        <w:rPr>
          <w:rFonts w:hint="eastAsia" w:ascii="宋体" w:hAnsi="宋体" w:eastAsia="宋体" w:cs="宋体"/>
          <w:color w:val="000000"/>
          <w:kern w:val="0"/>
          <w:sz w:val="28"/>
          <w:szCs w:val="28"/>
          <w:lang w:val="en-US" w:eastAsia="zh-CN" w:bidi="ar"/>
        </w:rPr>
        <w:t xml:space="preserve">阻燃型铝合金芯电力电缆，长度约 </w:t>
      </w:r>
    </w:p>
    <w:p w14:paraId="19BA6940">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default" w:ascii="Times New Roman" w:hAnsi="Times New Roman" w:eastAsia="宋体" w:cs="Times New Roman"/>
          <w:color w:val="000000"/>
          <w:kern w:val="0"/>
          <w:sz w:val="28"/>
          <w:szCs w:val="28"/>
          <w:lang w:val="en-US" w:eastAsia="zh-CN" w:bidi="ar"/>
        </w:rPr>
        <w:t>6.5km</w:t>
      </w:r>
      <w:r>
        <w:rPr>
          <w:rFonts w:hint="eastAsia" w:ascii="宋体" w:hAnsi="宋体" w:eastAsia="宋体" w:cs="宋体"/>
          <w:color w:val="000000"/>
          <w:kern w:val="0"/>
          <w:sz w:val="28"/>
          <w:szCs w:val="28"/>
          <w:lang w:val="en-US" w:eastAsia="zh-CN" w:bidi="ar"/>
        </w:rPr>
        <w:t xml:space="preserve">； </w:t>
      </w:r>
    </w:p>
    <w:p w14:paraId="2B2F4291">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2</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ZC-YJLHV22-26/35-3</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185mm</w:t>
      </w:r>
      <w:r>
        <w:rPr>
          <w:rFonts w:hint="eastAsia" w:ascii="Times New Roman" w:hAnsi="Times New Roman" w:eastAsia="宋体" w:cs="Times New Roman"/>
          <w:color w:val="000000"/>
          <w:kern w:val="0"/>
          <w:sz w:val="28"/>
          <w:szCs w:val="28"/>
          <w:lang w:val="en-US" w:eastAsia="zh-CN" w:bidi="ar"/>
        </w:rPr>
        <w:t>²</w:t>
      </w:r>
      <w:r>
        <w:rPr>
          <w:rFonts w:hint="eastAsia" w:ascii="宋体" w:hAnsi="宋体" w:eastAsia="宋体" w:cs="宋体"/>
          <w:color w:val="000000"/>
          <w:kern w:val="0"/>
          <w:sz w:val="28"/>
          <w:szCs w:val="28"/>
          <w:lang w:val="en-US" w:eastAsia="zh-CN" w:bidi="ar"/>
        </w:rPr>
        <w:t xml:space="preserve">阻燃型铝合金芯电力电缆，长度约 </w:t>
      </w:r>
    </w:p>
    <w:p w14:paraId="14C46065">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default" w:ascii="Times New Roman" w:hAnsi="Times New Roman" w:eastAsia="宋体" w:cs="Times New Roman"/>
          <w:color w:val="000000"/>
          <w:kern w:val="0"/>
          <w:sz w:val="28"/>
          <w:szCs w:val="28"/>
          <w:lang w:val="en-US" w:eastAsia="zh-CN" w:bidi="ar"/>
        </w:rPr>
        <w:t>0.8km</w:t>
      </w:r>
      <w:r>
        <w:rPr>
          <w:rFonts w:hint="eastAsia" w:ascii="宋体" w:hAnsi="宋体" w:eastAsia="宋体" w:cs="宋体"/>
          <w:color w:val="000000"/>
          <w:kern w:val="0"/>
          <w:sz w:val="28"/>
          <w:szCs w:val="28"/>
          <w:lang w:val="en-US" w:eastAsia="zh-CN" w:bidi="ar"/>
        </w:rPr>
        <w:t xml:space="preserve">； </w:t>
      </w:r>
    </w:p>
    <w:p w14:paraId="5FB39B6E">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3</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ZC-YJLHV22-26/35-3</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300mm</w:t>
      </w:r>
      <w:r>
        <w:rPr>
          <w:rFonts w:hint="eastAsia" w:ascii="Times New Roman" w:hAnsi="Times New Roman" w:eastAsia="宋体" w:cs="Times New Roman"/>
          <w:color w:val="000000"/>
          <w:kern w:val="0"/>
          <w:sz w:val="28"/>
          <w:szCs w:val="28"/>
          <w:lang w:val="en-US" w:eastAsia="zh-CN" w:bidi="ar"/>
        </w:rPr>
        <w:t>²</w:t>
      </w:r>
      <w:r>
        <w:rPr>
          <w:rFonts w:hint="eastAsia" w:ascii="宋体" w:hAnsi="宋体" w:eastAsia="宋体" w:cs="宋体"/>
          <w:color w:val="000000"/>
          <w:kern w:val="0"/>
          <w:sz w:val="28"/>
          <w:szCs w:val="28"/>
          <w:lang w:val="en-US" w:eastAsia="zh-CN" w:bidi="ar"/>
        </w:rPr>
        <w:t xml:space="preserve">阻燃型铝合金芯电力电缆，长度约 </w:t>
      </w:r>
    </w:p>
    <w:p w14:paraId="0C2FB023">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default" w:ascii="Times New Roman" w:hAnsi="Times New Roman" w:eastAsia="宋体" w:cs="Times New Roman"/>
          <w:color w:val="000000"/>
          <w:kern w:val="0"/>
          <w:sz w:val="28"/>
          <w:szCs w:val="28"/>
          <w:lang w:val="en-US" w:eastAsia="zh-CN" w:bidi="ar"/>
        </w:rPr>
        <w:t>1km</w:t>
      </w:r>
      <w:r>
        <w:rPr>
          <w:rFonts w:hint="eastAsia" w:ascii="宋体" w:hAnsi="宋体" w:eastAsia="宋体" w:cs="宋体"/>
          <w:color w:val="000000"/>
          <w:kern w:val="0"/>
          <w:sz w:val="28"/>
          <w:szCs w:val="28"/>
          <w:lang w:val="en-US" w:eastAsia="zh-CN" w:bidi="ar"/>
        </w:rPr>
        <w:t xml:space="preserve">； </w:t>
      </w:r>
    </w:p>
    <w:p w14:paraId="57A1713A">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4</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ZC-YJLHV22-26/35-3</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400mm</w:t>
      </w:r>
      <w:r>
        <w:rPr>
          <w:rFonts w:hint="eastAsia" w:ascii="Times New Roman" w:hAnsi="Times New Roman" w:eastAsia="宋体" w:cs="Times New Roman"/>
          <w:color w:val="000000"/>
          <w:kern w:val="0"/>
          <w:sz w:val="28"/>
          <w:szCs w:val="28"/>
          <w:lang w:val="en-US" w:eastAsia="zh-CN" w:bidi="ar"/>
        </w:rPr>
        <w:t>²</w:t>
      </w:r>
      <w:r>
        <w:rPr>
          <w:rFonts w:hint="eastAsia" w:ascii="宋体" w:hAnsi="宋体" w:eastAsia="宋体" w:cs="宋体"/>
          <w:color w:val="000000"/>
          <w:kern w:val="0"/>
          <w:sz w:val="28"/>
          <w:szCs w:val="28"/>
          <w:lang w:val="en-US" w:eastAsia="zh-CN" w:bidi="ar"/>
        </w:rPr>
        <w:t xml:space="preserve">阻燃型铝合金芯电力电缆，长度约 </w:t>
      </w:r>
    </w:p>
    <w:p w14:paraId="7CD91214">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default" w:ascii="Times New Roman" w:hAnsi="Times New Roman" w:eastAsia="宋体" w:cs="Times New Roman"/>
          <w:color w:val="000000"/>
          <w:kern w:val="0"/>
          <w:sz w:val="28"/>
          <w:szCs w:val="28"/>
          <w:lang w:val="en-US" w:eastAsia="zh-CN" w:bidi="ar"/>
        </w:rPr>
        <w:t>1km</w:t>
      </w:r>
      <w:r>
        <w:rPr>
          <w:rFonts w:hint="eastAsia" w:ascii="宋体" w:hAnsi="宋体" w:eastAsia="宋体" w:cs="宋体"/>
          <w:color w:val="000000"/>
          <w:kern w:val="0"/>
          <w:sz w:val="28"/>
          <w:szCs w:val="28"/>
          <w:lang w:val="en-US" w:eastAsia="zh-CN" w:bidi="ar"/>
        </w:rPr>
        <w:t xml:space="preserve">； </w:t>
      </w:r>
    </w:p>
    <w:p w14:paraId="58C155F3">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5</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ZC-YJLHV22-26/35-3</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500mm</w:t>
      </w:r>
      <w:r>
        <w:rPr>
          <w:rFonts w:hint="eastAsia" w:ascii="Times New Roman" w:hAnsi="Times New Roman" w:eastAsia="宋体" w:cs="Times New Roman"/>
          <w:color w:val="000000"/>
          <w:kern w:val="0"/>
          <w:sz w:val="28"/>
          <w:szCs w:val="28"/>
          <w:lang w:val="en-US" w:eastAsia="zh-CN" w:bidi="ar"/>
        </w:rPr>
        <w:t>²</w:t>
      </w:r>
      <w:r>
        <w:rPr>
          <w:rFonts w:hint="eastAsia" w:ascii="宋体" w:hAnsi="宋体" w:eastAsia="宋体" w:cs="宋体"/>
          <w:color w:val="000000"/>
          <w:kern w:val="0"/>
          <w:sz w:val="28"/>
          <w:szCs w:val="28"/>
          <w:lang w:val="en-US" w:eastAsia="zh-CN" w:bidi="ar"/>
        </w:rPr>
        <w:t xml:space="preserve">阻燃型铝合金芯电力电缆，长度约 </w:t>
      </w:r>
    </w:p>
    <w:p w14:paraId="663CD001">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default" w:ascii="Times New Roman" w:hAnsi="Times New Roman" w:eastAsia="宋体" w:cs="Times New Roman"/>
          <w:color w:val="000000"/>
          <w:kern w:val="0"/>
          <w:sz w:val="28"/>
          <w:szCs w:val="28"/>
          <w:lang w:val="en-US" w:eastAsia="zh-CN" w:bidi="ar"/>
        </w:rPr>
        <w:t>0.8km</w:t>
      </w:r>
      <w:r>
        <w:rPr>
          <w:rFonts w:hint="eastAsia" w:ascii="宋体" w:hAnsi="宋体" w:eastAsia="宋体" w:cs="宋体"/>
          <w:color w:val="000000"/>
          <w:kern w:val="0"/>
          <w:sz w:val="28"/>
          <w:szCs w:val="28"/>
          <w:lang w:val="en-US" w:eastAsia="zh-CN" w:bidi="ar"/>
        </w:rPr>
        <w:t xml:space="preserve">； </w:t>
      </w:r>
    </w:p>
    <w:p w14:paraId="1A8255C3">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6</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ZC-YJV22-26/35-3</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400mm</w:t>
      </w:r>
      <w:r>
        <w:rPr>
          <w:rFonts w:hint="eastAsia" w:ascii="Times New Roman" w:hAnsi="Times New Roman" w:eastAsia="宋体" w:cs="Times New Roman"/>
          <w:color w:val="000000"/>
          <w:kern w:val="0"/>
          <w:sz w:val="28"/>
          <w:szCs w:val="28"/>
          <w:lang w:val="en-US" w:eastAsia="zh-CN" w:bidi="ar"/>
        </w:rPr>
        <w:t>²</w:t>
      </w:r>
      <w:r>
        <w:rPr>
          <w:rFonts w:hint="eastAsia" w:ascii="宋体" w:hAnsi="宋体" w:eastAsia="宋体" w:cs="宋体"/>
          <w:color w:val="000000"/>
          <w:kern w:val="0"/>
          <w:sz w:val="28"/>
          <w:szCs w:val="28"/>
          <w:lang w:val="en-US" w:eastAsia="zh-CN" w:bidi="ar"/>
        </w:rPr>
        <w:t>阻燃型铜芯电力电缆，长度约</w:t>
      </w:r>
      <w:r>
        <w:rPr>
          <w:rFonts w:hint="default" w:ascii="Times New Roman" w:hAnsi="Times New Roman" w:eastAsia="宋体" w:cs="Times New Roman"/>
          <w:color w:val="000000"/>
          <w:kern w:val="0"/>
          <w:sz w:val="28"/>
          <w:szCs w:val="28"/>
          <w:lang w:val="en-US" w:eastAsia="zh-CN" w:bidi="ar"/>
        </w:rPr>
        <w:t xml:space="preserve">0.5km </w:t>
      </w:r>
    </w:p>
    <w:p w14:paraId="19A8EBFD">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7</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ZC-YJV22-26/35-3</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500mm</w:t>
      </w:r>
      <w:r>
        <w:rPr>
          <w:rFonts w:hint="eastAsia" w:ascii="Times New Roman" w:hAnsi="Times New Roman" w:eastAsia="宋体" w:cs="Times New Roman"/>
          <w:color w:val="000000"/>
          <w:kern w:val="0"/>
          <w:sz w:val="28"/>
          <w:szCs w:val="28"/>
          <w:lang w:val="en-US" w:eastAsia="zh-CN" w:bidi="ar"/>
        </w:rPr>
        <w:t>²</w:t>
      </w:r>
      <w:r>
        <w:rPr>
          <w:rFonts w:hint="eastAsia" w:ascii="宋体" w:hAnsi="宋体" w:eastAsia="宋体" w:cs="宋体"/>
          <w:color w:val="000000"/>
          <w:kern w:val="0"/>
          <w:sz w:val="28"/>
          <w:szCs w:val="28"/>
          <w:lang w:val="en-US" w:eastAsia="zh-CN" w:bidi="ar"/>
        </w:rPr>
        <w:t xml:space="preserve">阻燃型铜芯电力电缆，长度约 </w:t>
      </w:r>
      <w:r>
        <w:rPr>
          <w:rFonts w:hint="default" w:ascii="Times New Roman" w:hAnsi="Times New Roman" w:eastAsia="宋体" w:cs="Times New Roman"/>
          <w:color w:val="000000"/>
          <w:kern w:val="0"/>
          <w:sz w:val="28"/>
          <w:szCs w:val="28"/>
          <w:lang w:val="en-US" w:eastAsia="zh-CN" w:bidi="ar"/>
        </w:rPr>
        <w:t xml:space="preserve">0.7km </w:t>
      </w:r>
    </w:p>
    <w:p w14:paraId="51E4B51E">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8</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JNRLH1/LB20A-240/30</w:t>
      </w:r>
      <w:r>
        <w:rPr>
          <w:rFonts w:hint="eastAsia" w:ascii="宋体" w:hAnsi="宋体" w:eastAsia="宋体" w:cs="宋体"/>
          <w:color w:val="000000"/>
          <w:kern w:val="0"/>
          <w:sz w:val="28"/>
          <w:szCs w:val="28"/>
          <w:lang w:val="en-US" w:eastAsia="zh-CN" w:bidi="ar"/>
        </w:rPr>
        <w:t>高强度耐热钢芯铝绞线，地线采用</w:t>
      </w:r>
      <w:r>
        <w:rPr>
          <w:rFonts w:hint="default" w:ascii="Times New Roman" w:hAnsi="Times New Roman" w:eastAsia="宋体" w:cs="Times New Roman"/>
          <w:color w:val="000000"/>
          <w:kern w:val="0"/>
          <w:sz w:val="28"/>
          <w:szCs w:val="28"/>
          <w:lang w:val="en-US" w:eastAsia="zh-CN" w:bidi="ar"/>
        </w:rPr>
        <w:t>24</w:t>
      </w:r>
      <w:r>
        <w:rPr>
          <w:rFonts w:hint="eastAsia" w:ascii="宋体" w:hAnsi="宋体" w:eastAsia="宋体" w:cs="宋体"/>
          <w:color w:val="000000"/>
          <w:kern w:val="0"/>
          <w:sz w:val="28"/>
          <w:szCs w:val="28"/>
          <w:lang w:val="en-US" w:eastAsia="zh-CN" w:bidi="ar"/>
        </w:rPr>
        <w:t xml:space="preserve">芯 </w:t>
      </w:r>
    </w:p>
    <w:p w14:paraId="49980E9E">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default" w:ascii="Times New Roman" w:hAnsi="Times New Roman" w:eastAsia="宋体" w:cs="Times New Roman"/>
          <w:color w:val="000000"/>
          <w:kern w:val="0"/>
          <w:sz w:val="28"/>
          <w:szCs w:val="28"/>
          <w:lang w:val="en-US" w:eastAsia="zh-CN" w:bidi="ar"/>
        </w:rPr>
        <w:t>OPGW</w:t>
      </w:r>
      <w:r>
        <w:rPr>
          <w:rFonts w:hint="eastAsia" w:ascii="宋体" w:hAnsi="宋体" w:eastAsia="宋体" w:cs="宋体"/>
          <w:color w:val="000000"/>
          <w:kern w:val="0"/>
          <w:sz w:val="28"/>
          <w:szCs w:val="28"/>
          <w:lang w:val="en-US" w:eastAsia="zh-CN" w:bidi="ar"/>
        </w:rPr>
        <w:t>光缆复合地线，架空线路总长度为</w:t>
      </w:r>
      <w:r>
        <w:rPr>
          <w:rFonts w:hint="default" w:ascii="Times New Roman" w:hAnsi="Times New Roman" w:eastAsia="宋体" w:cs="Times New Roman"/>
          <w:color w:val="000000"/>
          <w:kern w:val="0"/>
          <w:sz w:val="28"/>
          <w:szCs w:val="28"/>
          <w:lang w:val="en-US" w:eastAsia="zh-CN" w:bidi="ar"/>
        </w:rPr>
        <w:t>6.1km</w:t>
      </w:r>
      <w:r>
        <w:rPr>
          <w:rFonts w:hint="eastAsia" w:ascii="宋体" w:hAnsi="宋体" w:eastAsia="宋体" w:cs="宋体"/>
          <w:color w:val="000000"/>
          <w:kern w:val="0"/>
          <w:sz w:val="28"/>
          <w:szCs w:val="28"/>
          <w:lang w:val="en-US" w:eastAsia="zh-CN" w:bidi="ar"/>
        </w:rPr>
        <w:t>，其中同塔双回长度约为</w:t>
      </w:r>
      <w:r>
        <w:rPr>
          <w:rFonts w:hint="default" w:ascii="Times New Roman" w:hAnsi="Times New Roman" w:eastAsia="宋体" w:cs="Times New Roman"/>
          <w:color w:val="000000"/>
          <w:kern w:val="0"/>
          <w:sz w:val="28"/>
          <w:szCs w:val="28"/>
          <w:lang w:val="en-US" w:eastAsia="zh-CN" w:bidi="ar"/>
        </w:rPr>
        <w:t>4.5km</w:t>
      </w:r>
      <w:r>
        <w:rPr>
          <w:rFonts w:hint="eastAsia" w:ascii="Times New Roman" w:hAnsi="Times New Roman" w:eastAsia="宋体" w:cs="Times New Roman"/>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单回长度约为</w:t>
      </w:r>
      <w:r>
        <w:rPr>
          <w:rFonts w:hint="default" w:ascii="Times New Roman" w:hAnsi="Times New Roman" w:eastAsia="宋体" w:cs="Times New Roman"/>
          <w:color w:val="000000"/>
          <w:kern w:val="0"/>
          <w:sz w:val="28"/>
          <w:szCs w:val="28"/>
          <w:lang w:val="en-US" w:eastAsia="zh-CN" w:bidi="ar"/>
        </w:rPr>
        <w:t>1.6km</w:t>
      </w:r>
      <w:r>
        <w:rPr>
          <w:rFonts w:hint="eastAsia" w:ascii="宋体" w:hAnsi="宋体" w:eastAsia="宋体" w:cs="宋体"/>
          <w:color w:val="000000"/>
          <w:kern w:val="0"/>
          <w:sz w:val="28"/>
          <w:szCs w:val="28"/>
          <w:lang w:val="en-US" w:eastAsia="zh-CN" w:bidi="ar"/>
        </w:rPr>
        <w:t>。</w:t>
      </w:r>
    </w:p>
    <w:p w14:paraId="28277A06">
      <w:pPr>
        <w:keepNext w:val="0"/>
        <w:keepLines w:val="0"/>
        <w:pageBreakBefore w:val="0"/>
        <w:widowControl w:val="0"/>
        <w:suppressLineNumbers w:val="0"/>
        <w:kinsoku/>
        <w:wordWrap/>
        <w:overflowPunct/>
        <w:topLinePunct w:val="0"/>
        <w:autoSpaceDE/>
        <w:autoSpaceDN/>
        <w:bidi w:val="0"/>
        <w:adjustRightInd/>
        <w:snapToGrid/>
        <w:spacing w:line="420" w:lineRule="exact"/>
        <w:jc w:val="both"/>
        <w:textAlignment w:val="auto"/>
        <w:rPr>
          <w:rFonts w:hint="eastAsia" w:ascii="宋体" w:hAnsi="宋体" w:cs="宋体"/>
          <w:b/>
          <w:bCs/>
          <w:color w:val="000000"/>
          <w:kern w:val="0"/>
          <w:sz w:val="28"/>
          <w:szCs w:val="28"/>
          <w:lang w:val="en-US" w:eastAsia="zh-CN" w:bidi="ar"/>
        </w:rPr>
      </w:pPr>
      <w:r>
        <w:rPr>
          <w:rFonts w:hint="eastAsia" w:ascii="宋体" w:hAnsi="宋体" w:cs="宋体"/>
          <w:b/>
          <w:bCs/>
          <w:color w:val="000000"/>
          <w:kern w:val="0"/>
          <w:sz w:val="28"/>
          <w:szCs w:val="28"/>
          <w:lang w:val="en-US" w:eastAsia="zh-CN" w:bidi="ar"/>
        </w:rPr>
        <w:t>2.3.4.7主要生产设备</w:t>
      </w:r>
    </w:p>
    <w:p w14:paraId="442CFA4A">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主要的生产设备如下表。 </w:t>
      </w:r>
    </w:p>
    <w:p w14:paraId="4620BCF4">
      <w:pPr>
        <w:keepNext w:val="0"/>
        <w:keepLines w:val="0"/>
        <w:pageBreakBefore w:val="0"/>
        <w:widowControl/>
        <w:suppressLineNumbers w:val="0"/>
        <w:kinsoku/>
        <w:wordWrap/>
        <w:overflowPunct/>
        <w:topLinePunct w:val="0"/>
        <w:autoSpaceDE/>
        <w:autoSpaceDN/>
        <w:bidi w:val="0"/>
        <w:adjustRightInd/>
        <w:snapToGrid/>
        <w:spacing w:line="420" w:lineRule="exact"/>
        <w:jc w:val="center"/>
        <w:textAlignment w:val="auto"/>
      </w:pPr>
      <w:r>
        <w:rPr>
          <w:rFonts w:hint="eastAsia" w:ascii="宋体" w:hAnsi="宋体" w:eastAsia="宋体" w:cs="宋体"/>
          <w:b/>
          <w:bCs/>
          <w:color w:val="000000"/>
          <w:kern w:val="0"/>
          <w:sz w:val="24"/>
          <w:szCs w:val="24"/>
          <w:lang w:val="en-US" w:eastAsia="zh-CN" w:bidi="ar"/>
        </w:rPr>
        <w:t xml:space="preserve">表 </w:t>
      </w:r>
      <w:r>
        <w:rPr>
          <w:rFonts w:hint="default" w:ascii="Times New Roman" w:hAnsi="Times New Roman" w:eastAsia="宋体" w:cs="Times New Roman"/>
          <w:b/>
          <w:bCs/>
          <w:color w:val="000000"/>
          <w:kern w:val="0"/>
          <w:sz w:val="24"/>
          <w:szCs w:val="24"/>
          <w:lang w:val="en-US" w:eastAsia="zh-CN" w:bidi="ar"/>
        </w:rPr>
        <w:t xml:space="preserve">2.2-1 </w:t>
      </w:r>
      <w:r>
        <w:rPr>
          <w:rFonts w:hint="eastAsia" w:ascii="宋体" w:hAnsi="宋体" w:eastAsia="宋体" w:cs="宋体"/>
          <w:b/>
          <w:bCs/>
          <w:color w:val="000000"/>
          <w:kern w:val="0"/>
          <w:sz w:val="24"/>
          <w:szCs w:val="24"/>
          <w:lang w:val="en-US" w:eastAsia="zh-CN" w:bidi="ar"/>
        </w:rPr>
        <w:t>光伏区主要电气一次设备材料清单</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0"/>
        <w:gridCol w:w="3973"/>
        <w:gridCol w:w="1025"/>
        <w:gridCol w:w="1524"/>
        <w:gridCol w:w="1070"/>
      </w:tblGrid>
      <w:tr w14:paraId="5F04D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930" w:type="dxa"/>
            <w:vAlign w:val="center"/>
          </w:tcPr>
          <w:p w14:paraId="074FA67C">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kern w:val="0"/>
                <w:sz w:val="21"/>
                <w:szCs w:val="21"/>
                <w:vertAlign w:val="baseline"/>
                <w:lang w:val="en-US" w:eastAsia="zh-CN" w:bidi="ar"/>
              </w:rPr>
            </w:pPr>
            <w:r>
              <w:rPr>
                <w:rFonts w:hint="eastAsia" w:ascii="宋体" w:hAnsi="宋体" w:eastAsia="宋体" w:cs="宋体"/>
                <w:b/>
                <w:bCs/>
                <w:color w:val="auto"/>
                <w:kern w:val="0"/>
                <w:sz w:val="21"/>
                <w:szCs w:val="21"/>
                <w:vertAlign w:val="baseline"/>
                <w:lang w:val="en-US" w:eastAsia="zh-CN" w:bidi="ar"/>
              </w:rPr>
              <w:t>序号</w:t>
            </w:r>
          </w:p>
        </w:tc>
        <w:tc>
          <w:tcPr>
            <w:tcW w:w="3973" w:type="dxa"/>
            <w:vAlign w:val="center"/>
          </w:tcPr>
          <w:p w14:paraId="7C8B1D6C">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kern w:val="0"/>
                <w:sz w:val="21"/>
                <w:szCs w:val="21"/>
                <w:vertAlign w:val="baseline"/>
                <w:lang w:val="en-US" w:eastAsia="zh-CN" w:bidi="ar"/>
              </w:rPr>
            </w:pPr>
            <w:r>
              <w:rPr>
                <w:rFonts w:hint="eastAsia" w:ascii="宋体" w:hAnsi="宋体" w:eastAsia="宋体" w:cs="宋体"/>
                <w:b/>
                <w:bCs/>
                <w:color w:val="auto"/>
                <w:kern w:val="0"/>
                <w:sz w:val="21"/>
                <w:szCs w:val="21"/>
                <w:vertAlign w:val="baseline"/>
                <w:lang w:val="en-US" w:eastAsia="zh-CN" w:bidi="ar"/>
              </w:rPr>
              <w:t>光伏发电设备</w:t>
            </w:r>
          </w:p>
        </w:tc>
        <w:tc>
          <w:tcPr>
            <w:tcW w:w="1025" w:type="dxa"/>
            <w:vAlign w:val="center"/>
          </w:tcPr>
          <w:p w14:paraId="1EED3099">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kern w:val="0"/>
                <w:sz w:val="21"/>
                <w:szCs w:val="21"/>
                <w:vertAlign w:val="baseline"/>
                <w:lang w:val="en-US" w:eastAsia="zh-CN" w:bidi="ar"/>
              </w:rPr>
            </w:pPr>
            <w:r>
              <w:rPr>
                <w:rFonts w:hint="eastAsia" w:ascii="宋体" w:hAnsi="宋体" w:eastAsia="宋体" w:cs="宋体"/>
                <w:b/>
                <w:bCs/>
                <w:color w:val="auto"/>
                <w:kern w:val="0"/>
                <w:sz w:val="21"/>
                <w:szCs w:val="21"/>
                <w:vertAlign w:val="baseline"/>
                <w:lang w:val="en-US" w:eastAsia="zh-CN" w:bidi="ar"/>
              </w:rPr>
              <w:t>单位</w:t>
            </w:r>
          </w:p>
        </w:tc>
        <w:tc>
          <w:tcPr>
            <w:tcW w:w="1524" w:type="dxa"/>
            <w:vAlign w:val="center"/>
          </w:tcPr>
          <w:p w14:paraId="1C1E9533">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kern w:val="0"/>
                <w:sz w:val="21"/>
                <w:szCs w:val="21"/>
                <w:vertAlign w:val="baseline"/>
                <w:lang w:val="en-US" w:eastAsia="zh-CN" w:bidi="ar"/>
              </w:rPr>
            </w:pPr>
            <w:r>
              <w:rPr>
                <w:rFonts w:hint="eastAsia" w:ascii="宋体" w:hAnsi="宋体" w:eastAsia="宋体" w:cs="宋体"/>
                <w:b/>
                <w:bCs/>
                <w:color w:val="auto"/>
                <w:kern w:val="0"/>
                <w:sz w:val="21"/>
                <w:szCs w:val="21"/>
                <w:vertAlign w:val="baseline"/>
                <w:lang w:val="en-US" w:eastAsia="zh-CN" w:bidi="ar"/>
              </w:rPr>
              <w:t>数量</w:t>
            </w:r>
          </w:p>
        </w:tc>
        <w:tc>
          <w:tcPr>
            <w:tcW w:w="1070" w:type="dxa"/>
            <w:vAlign w:val="center"/>
          </w:tcPr>
          <w:p w14:paraId="75C3D70C">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kern w:val="0"/>
                <w:sz w:val="21"/>
                <w:szCs w:val="21"/>
                <w:vertAlign w:val="baseline"/>
                <w:lang w:val="en-US" w:eastAsia="zh-CN" w:bidi="ar"/>
              </w:rPr>
            </w:pPr>
            <w:r>
              <w:rPr>
                <w:rFonts w:hint="eastAsia" w:ascii="宋体" w:hAnsi="宋体" w:eastAsia="宋体" w:cs="宋体"/>
                <w:b/>
                <w:bCs/>
                <w:color w:val="auto"/>
                <w:kern w:val="0"/>
                <w:sz w:val="21"/>
                <w:szCs w:val="21"/>
                <w:vertAlign w:val="baseline"/>
                <w:lang w:val="en-US" w:eastAsia="zh-CN" w:bidi="ar"/>
              </w:rPr>
              <w:t>备注</w:t>
            </w:r>
          </w:p>
        </w:tc>
      </w:tr>
      <w:tr w14:paraId="4D218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930" w:type="dxa"/>
            <w:vAlign w:val="center"/>
          </w:tcPr>
          <w:p w14:paraId="63AD43A3">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1.1</w:t>
            </w:r>
          </w:p>
        </w:tc>
        <w:tc>
          <w:tcPr>
            <w:tcW w:w="3973" w:type="dxa"/>
            <w:vAlign w:val="center"/>
          </w:tcPr>
          <w:p w14:paraId="2F5C2353">
            <w:pPr>
              <w:keepNext w:val="0"/>
              <w:keepLines w:val="0"/>
              <w:widowControl/>
              <w:suppressLineNumbers w:val="0"/>
              <w:jc w:val="center"/>
              <w:rPr>
                <w:rFonts w:hint="eastAsia" w:ascii="宋体" w:hAnsi="宋体" w:eastAsia="宋体" w:cs="宋体"/>
                <w:color w:val="000000"/>
                <w:kern w:val="0"/>
                <w:sz w:val="20"/>
                <w:szCs w:val="20"/>
                <w:vertAlign w:val="baseline"/>
                <w:lang w:val="en-US" w:eastAsia="zh-CN" w:bidi="ar"/>
              </w:rPr>
            </w:pPr>
            <w:r>
              <w:rPr>
                <w:rFonts w:ascii="仿宋_GB2312" w:hAnsi="仿宋_GB2312" w:eastAsia="仿宋_GB2312" w:cs="仿宋_GB2312"/>
                <w:color w:val="000000"/>
                <w:kern w:val="0"/>
                <w:sz w:val="20"/>
                <w:szCs w:val="20"/>
                <w:lang w:val="en-US" w:eastAsia="zh-CN" w:bidi="ar"/>
              </w:rPr>
              <w:t>单晶硅组件（Wp） 585</w:t>
            </w:r>
          </w:p>
        </w:tc>
        <w:tc>
          <w:tcPr>
            <w:tcW w:w="1025" w:type="dxa"/>
            <w:vAlign w:val="center"/>
          </w:tcPr>
          <w:p w14:paraId="400C4A08">
            <w:pPr>
              <w:pStyle w:val="26"/>
              <w:keepNext w:val="0"/>
              <w:keepLines w:val="0"/>
              <w:pageBreakBefore w:val="0"/>
              <w:widowControl w:val="0"/>
              <w:kinsoku/>
              <w:wordWrap/>
              <w:overflowPunct/>
              <w:topLinePunct w:val="0"/>
              <w:autoSpaceDE/>
              <w:autoSpaceDN/>
              <w:bidi w:val="0"/>
              <w:adjustRightInd/>
              <w:snapToGrid/>
              <w:spacing w:line="400" w:lineRule="exact"/>
              <w:ind w:firstLine="200" w:firstLineChars="100"/>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themeColor="text1"/>
                <w:sz w:val="20"/>
                <w:szCs w:val="20"/>
                <w14:textFill>
                  <w14:solidFill>
                    <w14:schemeClr w14:val="tx1"/>
                  </w14:solidFill>
                </w14:textFill>
              </w:rPr>
              <w:t>块</w:t>
            </w:r>
          </w:p>
        </w:tc>
        <w:tc>
          <w:tcPr>
            <w:tcW w:w="1524" w:type="dxa"/>
            <w:vAlign w:val="center"/>
          </w:tcPr>
          <w:p w14:paraId="4DB87BDE">
            <w:pPr>
              <w:keepNext w:val="0"/>
              <w:keepLines w:val="0"/>
              <w:widowControl/>
              <w:suppressLineNumbers w:val="0"/>
              <w:jc w:val="center"/>
              <w:rPr>
                <w:rFonts w:hint="eastAsia" w:ascii="宋体" w:hAnsi="宋体" w:eastAsia="宋体" w:cs="宋体"/>
                <w:color w:val="000000"/>
                <w:kern w:val="0"/>
                <w:sz w:val="20"/>
                <w:szCs w:val="20"/>
                <w:vertAlign w:val="baseline"/>
                <w:lang w:val="en-US" w:eastAsia="zh-CN" w:bidi="ar"/>
              </w:rPr>
            </w:pPr>
            <w:r>
              <w:rPr>
                <w:rFonts w:ascii="仿宋_GB2312" w:hAnsi="仿宋_GB2312" w:eastAsia="仿宋_GB2312" w:cs="仿宋_GB2312"/>
                <w:color w:val="000000"/>
                <w:kern w:val="0"/>
                <w:sz w:val="20"/>
                <w:szCs w:val="20"/>
                <w:lang w:val="en-US" w:eastAsia="zh-CN" w:bidi="ar"/>
              </w:rPr>
              <w:t>138908</w:t>
            </w:r>
          </w:p>
        </w:tc>
        <w:tc>
          <w:tcPr>
            <w:tcW w:w="1070" w:type="dxa"/>
            <w:vAlign w:val="center"/>
          </w:tcPr>
          <w:p w14:paraId="2BA3A0D0">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r>
      <w:tr w14:paraId="37FC8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vAlign w:val="center"/>
          </w:tcPr>
          <w:p w14:paraId="3A2525D1">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1.2</w:t>
            </w:r>
          </w:p>
        </w:tc>
        <w:tc>
          <w:tcPr>
            <w:tcW w:w="3973" w:type="dxa"/>
            <w:vAlign w:val="center"/>
          </w:tcPr>
          <w:p w14:paraId="14954C02">
            <w:pPr>
              <w:keepNext w:val="0"/>
              <w:keepLines w:val="0"/>
              <w:widowControl/>
              <w:suppressLineNumbers w:val="0"/>
              <w:jc w:val="center"/>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lang w:val="en-US" w:eastAsia="zh-CN" w:bidi="ar"/>
              </w:rPr>
              <w:t>逆变及变配电设备</w:t>
            </w:r>
          </w:p>
        </w:tc>
        <w:tc>
          <w:tcPr>
            <w:tcW w:w="1025" w:type="dxa"/>
            <w:vAlign w:val="center"/>
          </w:tcPr>
          <w:p w14:paraId="4EE4AD43">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c>
          <w:tcPr>
            <w:tcW w:w="1524" w:type="dxa"/>
            <w:vAlign w:val="center"/>
          </w:tcPr>
          <w:p w14:paraId="54FD9626">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c>
          <w:tcPr>
            <w:tcW w:w="1070" w:type="dxa"/>
            <w:vAlign w:val="center"/>
          </w:tcPr>
          <w:p w14:paraId="6D1BBC8B">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r>
      <w:tr w14:paraId="2AE55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vAlign w:val="center"/>
          </w:tcPr>
          <w:p w14:paraId="4C9C18CB">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c>
          <w:tcPr>
            <w:tcW w:w="3973" w:type="dxa"/>
            <w:vAlign w:val="center"/>
          </w:tcPr>
          <w:p w14:paraId="48B0CD7E">
            <w:pPr>
              <w:keepNext w:val="0"/>
              <w:keepLines w:val="0"/>
              <w:widowControl/>
              <w:suppressLineNumbers w:val="0"/>
              <w:jc w:val="center"/>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lang w:val="en-US" w:eastAsia="zh-CN" w:bidi="ar"/>
              </w:rPr>
              <w:t>组串式逆变器 320kW</w:t>
            </w:r>
          </w:p>
        </w:tc>
        <w:tc>
          <w:tcPr>
            <w:tcW w:w="1025" w:type="dxa"/>
            <w:vAlign w:val="center"/>
          </w:tcPr>
          <w:p w14:paraId="72685ACE">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台</w:t>
            </w:r>
          </w:p>
        </w:tc>
        <w:tc>
          <w:tcPr>
            <w:tcW w:w="1524" w:type="dxa"/>
            <w:vAlign w:val="center"/>
          </w:tcPr>
          <w:p w14:paraId="30477A17">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205</w:t>
            </w:r>
          </w:p>
        </w:tc>
        <w:tc>
          <w:tcPr>
            <w:tcW w:w="1070" w:type="dxa"/>
            <w:vAlign w:val="center"/>
          </w:tcPr>
          <w:p w14:paraId="193B3E92">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r>
      <w:tr w14:paraId="52D05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trPr>
        <w:tc>
          <w:tcPr>
            <w:tcW w:w="930" w:type="dxa"/>
            <w:vAlign w:val="center"/>
          </w:tcPr>
          <w:p w14:paraId="1FACFF45">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c>
          <w:tcPr>
            <w:tcW w:w="3973" w:type="dxa"/>
            <w:vAlign w:val="center"/>
          </w:tcPr>
          <w:p w14:paraId="0BA3556C">
            <w:pPr>
              <w:keepNext w:val="0"/>
              <w:keepLines w:val="0"/>
              <w:widowControl/>
              <w:suppressLineNumbers w:val="0"/>
              <w:jc w:val="center"/>
              <w:rPr>
                <w:rFonts w:hint="eastAsia" w:ascii="宋体" w:hAnsi="宋体" w:eastAsia="宋体" w:cs="宋体"/>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箱变 1600kVA</w:t>
            </w:r>
          </w:p>
        </w:tc>
        <w:tc>
          <w:tcPr>
            <w:tcW w:w="1025" w:type="dxa"/>
            <w:vAlign w:val="center"/>
          </w:tcPr>
          <w:p w14:paraId="4039CEF3">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台</w:t>
            </w:r>
          </w:p>
        </w:tc>
        <w:tc>
          <w:tcPr>
            <w:tcW w:w="1524" w:type="dxa"/>
            <w:vAlign w:val="center"/>
          </w:tcPr>
          <w:p w14:paraId="5B98368B">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1</w:t>
            </w:r>
          </w:p>
        </w:tc>
        <w:tc>
          <w:tcPr>
            <w:tcW w:w="1070" w:type="dxa"/>
            <w:vMerge w:val="restart"/>
            <w:vAlign w:val="center"/>
          </w:tcPr>
          <w:p w14:paraId="1C43252D">
            <w:pPr>
              <w:keepNext w:val="0"/>
              <w:keepLines w:val="0"/>
              <w:widowControl/>
              <w:suppressLineNumbers w:val="0"/>
              <w:jc w:val="left"/>
            </w:pPr>
            <w:r>
              <w:rPr>
                <w:rFonts w:ascii="仿宋_GB2312" w:hAnsi="仿宋_GB2312" w:eastAsia="仿宋_GB2312" w:cs="仿宋_GB2312"/>
                <w:color w:val="000000"/>
                <w:kern w:val="0"/>
                <w:sz w:val="20"/>
                <w:szCs w:val="20"/>
                <w:lang w:val="en-US" w:eastAsia="zh-CN" w:bidi="ar"/>
              </w:rPr>
              <w:t>每套含箱变保护测控（过流保护</w:t>
            </w:r>
            <w:r>
              <w:rPr>
                <w:rFonts w:hint="eastAsia" w:ascii="仿宋_GB2312" w:hAnsi="仿宋_GB2312" w:eastAsia="仿宋_GB2312" w:cs="仿宋_GB2312"/>
                <w:color w:val="000000"/>
                <w:kern w:val="0"/>
                <w:sz w:val="20"/>
                <w:szCs w:val="20"/>
                <w:lang w:val="en-US" w:eastAsia="zh-CN" w:bidi="ar"/>
              </w:rPr>
              <w:t>、</w:t>
            </w:r>
            <w:r>
              <w:rPr>
                <w:rFonts w:ascii="仿宋_GB2312" w:hAnsi="仿宋_GB2312" w:eastAsia="仿宋_GB2312" w:cs="仿宋_GB2312"/>
                <w:color w:val="000000"/>
                <w:kern w:val="0"/>
                <w:sz w:val="20"/>
                <w:szCs w:val="20"/>
                <w:lang w:val="en-US" w:eastAsia="zh-CN" w:bidi="ar"/>
              </w:rPr>
              <w:t>低压侧零序电压保护</w:t>
            </w:r>
            <w:r>
              <w:rPr>
                <w:rFonts w:hint="eastAsia" w:ascii="仿宋_GB2312" w:hAnsi="仿宋_GB2312" w:eastAsia="仿宋_GB2312" w:cs="仿宋_GB2312"/>
                <w:color w:val="000000"/>
                <w:kern w:val="0"/>
                <w:sz w:val="20"/>
                <w:szCs w:val="20"/>
                <w:lang w:val="en-US" w:eastAsia="zh-CN" w:bidi="ar"/>
              </w:rPr>
              <w:t>）</w:t>
            </w:r>
            <w:r>
              <w:rPr>
                <w:rFonts w:ascii="仿宋_GB2312" w:hAnsi="仿宋_GB2312" w:eastAsia="仿宋_GB2312" w:cs="仿宋_GB2312"/>
                <w:color w:val="000000"/>
                <w:kern w:val="0"/>
                <w:sz w:val="20"/>
                <w:szCs w:val="20"/>
                <w:lang w:val="en-US" w:eastAsia="zh-CN" w:bidi="ar"/>
              </w:rPr>
              <w:t>1套、光伏区环网交换机（4光4电）1台、微纵</w:t>
            </w:r>
            <w:r>
              <w:rPr>
                <w:rFonts w:hint="eastAsia" w:ascii="仿宋_GB2312" w:hAnsi="仿宋_GB2312" w:eastAsia="仿宋_GB2312" w:cs="仿宋_GB2312"/>
                <w:color w:val="000000"/>
                <w:kern w:val="0"/>
                <w:sz w:val="20"/>
                <w:szCs w:val="20"/>
                <w:lang w:val="en-US" w:eastAsia="zh-CN" w:bidi="ar"/>
              </w:rPr>
              <w:t>1</w:t>
            </w:r>
            <w:r>
              <w:rPr>
                <w:rFonts w:ascii="仿宋_GB2312" w:hAnsi="仿宋_GB2312" w:eastAsia="仿宋_GB2312" w:cs="仿宋_GB2312"/>
                <w:color w:val="000000"/>
                <w:kern w:val="0"/>
                <w:sz w:val="20"/>
                <w:szCs w:val="20"/>
                <w:lang w:val="en-US" w:eastAsia="zh-CN" w:bidi="ar"/>
              </w:rPr>
              <w:t xml:space="preserve">台、高低压侧 </w:t>
            </w:r>
          </w:p>
          <w:p w14:paraId="34B7424C">
            <w:pPr>
              <w:keepNext w:val="0"/>
              <w:keepLines w:val="0"/>
              <w:widowControl/>
              <w:suppressLineNumbers w:val="0"/>
              <w:jc w:val="left"/>
              <w:rPr>
                <w:rFonts w:hint="eastAsia" w:ascii="宋体" w:hAnsi="宋体" w:eastAsia="宋体" w:cs="宋体"/>
                <w:color w:val="000000"/>
                <w:kern w:val="0"/>
                <w:sz w:val="20"/>
                <w:szCs w:val="20"/>
                <w:vertAlign w:val="baseline"/>
                <w:lang w:val="en-US" w:eastAsia="zh-CN" w:bidi="ar"/>
              </w:rPr>
            </w:pPr>
            <w:r>
              <w:rPr>
                <w:rFonts w:ascii="仿宋_GB2312" w:hAnsi="仿宋_GB2312" w:eastAsia="仿宋_GB2312" w:cs="仿宋_GB2312"/>
                <w:color w:val="000000"/>
                <w:kern w:val="0"/>
                <w:sz w:val="20"/>
                <w:szCs w:val="20"/>
                <w:lang w:val="en-US" w:eastAsia="zh-CN" w:bidi="ar"/>
              </w:rPr>
              <w:t>智能电能表各1块</w:t>
            </w:r>
          </w:p>
        </w:tc>
      </w:tr>
      <w:tr w14:paraId="50A48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6" w:hRule="atLeast"/>
        </w:trPr>
        <w:tc>
          <w:tcPr>
            <w:tcW w:w="930" w:type="dxa"/>
            <w:vAlign w:val="center"/>
          </w:tcPr>
          <w:p w14:paraId="03DA4516">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c>
          <w:tcPr>
            <w:tcW w:w="3973" w:type="dxa"/>
            <w:vAlign w:val="center"/>
          </w:tcPr>
          <w:p w14:paraId="32474538">
            <w:pPr>
              <w:keepNext w:val="0"/>
              <w:keepLines w:val="0"/>
              <w:widowControl/>
              <w:suppressLineNumbers w:val="0"/>
              <w:jc w:val="center"/>
              <w:rPr>
                <w:rFonts w:hint="eastAsia" w:ascii="宋体" w:hAnsi="宋体" w:eastAsia="宋体" w:cs="宋体"/>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箱变 2000kVA</w:t>
            </w:r>
          </w:p>
        </w:tc>
        <w:tc>
          <w:tcPr>
            <w:tcW w:w="1025" w:type="dxa"/>
            <w:vAlign w:val="center"/>
          </w:tcPr>
          <w:p w14:paraId="63E0E69B">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台</w:t>
            </w:r>
          </w:p>
        </w:tc>
        <w:tc>
          <w:tcPr>
            <w:tcW w:w="1524" w:type="dxa"/>
            <w:vAlign w:val="center"/>
          </w:tcPr>
          <w:p w14:paraId="7D9426C9">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1</w:t>
            </w:r>
          </w:p>
        </w:tc>
        <w:tc>
          <w:tcPr>
            <w:tcW w:w="1070" w:type="dxa"/>
            <w:vMerge w:val="continue"/>
            <w:vAlign w:val="center"/>
          </w:tcPr>
          <w:p w14:paraId="428D425E">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r>
      <w:tr w14:paraId="79378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930" w:type="dxa"/>
            <w:vAlign w:val="center"/>
          </w:tcPr>
          <w:p w14:paraId="27208BB4">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c>
          <w:tcPr>
            <w:tcW w:w="3973" w:type="dxa"/>
            <w:vAlign w:val="center"/>
          </w:tcPr>
          <w:p w14:paraId="7C7AE610">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箱变 2600kVA</w:t>
            </w:r>
          </w:p>
        </w:tc>
        <w:tc>
          <w:tcPr>
            <w:tcW w:w="1025" w:type="dxa"/>
            <w:vAlign w:val="center"/>
          </w:tcPr>
          <w:p w14:paraId="2DE0B59D">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台</w:t>
            </w:r>
          </w:p>
        </w:tc>
        <w:tc>
          <w:tcPr>
            <w:tcW w:w="1524" w:type="dxa"/>
            <w:vAlign w:val="center"/>
          </w:tcPr>
          <w:p w14:paraId="639E6042">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b/>
                <w:bCs/>
                <w:color w:val="000000"/>
                <w:kern w:val="0"/>
                <w:sz w:val="20"/>
                <w:szCs w:val="20"/>
                <w:vertAlign w:val="baseline"/>
                <w:lang w:val="en-US" w:eastAsia="zh-CN" w:bidi="ar"/>
              </w:rPr>
            </w:pPr>
            <w:r>
              <w:rPr>
                <w:rFonts w:hint="eastAsia" w:ascii="宋体" w:hAnsi="宋体" w:eastAsia="宋体" w:cs="宋体"/>
                <w:b w:val="0"/>
                <w:bCs w:val="0"/>
                <w:color w:val="000000"/>
                <w:kern w:val="0"/>
                <w:sz w:val="20"/>
                <w:szCs w:val="20"/>
                <w:vertAlign w:val="baseline"/>
                <w:lang w:val="en-US" w:eastAsia="zh-CN" w:bidi="ar"/>
              </w:rPr>
              <w:t>3</w:t>
            </w:r>
          </w:p>
        </w:tc>
        <w:tc>
          <w:tcPr>
            <w:tcW w:w="1070" w:type="dxa"/>
            <w:vMerge w:val="continue"/>
            <w:vAlign w:val="center"/>
          </w:tcPr>
          <w:p w14:paraId="6E4894AA">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r>
      <w:tr w14:paraId="19499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vAlign w:val="center"/>
          </w:tcPr>
          <w:p w14:paraId="384E35FE">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c>
          <w:tcPr>
            <w:tcW w:w="3973" w:type="dxa"/>
            <w:vAlign w:val="center"/>
          </w:tcPr>
          <w:p w14:paraId="2DB1DDCE">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箱变 3200kVA</w:t>
            </w:r>
          </w:p>
        </w:tc>
        <w:tc>
          <w:tcPr>
            <w:tcW w:w="1025" w:type="dxa"/>
            <w:vAlign w:val="center"/>
          </w:tcPr>
          <w:p w14:paraId="1C0ED73A">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台</w:t>
            </w:r>
          </w:p>
        </w:tc>
        <w:tc>
          <w:tcPr>
            <w:tcW w:w="1524" w:type="dxa"/>
            <w:vAlign w:val="center"/>
          </w:tcPr>
          <w:p w14:paraId="1AB045C4">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17</w:t>
            </w:r>
          </w:p>
        </w:tc>
        <w:tc>
          <w:tcPr>
            <w:tcW w:w="1070" w:type="dxa"/>
            <w:vMerge w:val="continue"/>
            <w:vAlign w:val="center"/>
          </w:tcPr>
          <w:p w14:paraId="365B013D">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r>
      <w:tr w14:paraId="77333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vAlign w:val="center"/>
          </w:tcPr>
          <w:p w14:paraId="33E2C90C">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c>
          <w:tcPr>
            <w:tcW w:w="3973" w:type="dxa"/>
            <w:vAlign w:val="center"/>
          </w:tcPr>
          <w:p w14:paraId="252D3507">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通讯箱</w:t>
            </w:r>
          </w:p>
        </w:tc>
        <w:tc>
          <w:tcPr>
            <w:tcW w:w="1025" w:type="dxa"/>
            <w:vAlign w:val="center"/>
          </w:tcPr>
          <w:p w14:paraId="6C754496">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台</w:t>
            </w:r>
          </w:p>
        </w:tc>
        <w:tc>
          <w:tcPr>
            <w:tcW w:w="1524" w:type="dxa"/>
            <w:vAlign w:val="center"/>
          </w:tcPr>
          <w:p w14:paraId="0DA7D534">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22</w:t>
            </w:r>
          </w:p>
        </w:tc>
        <w:tc>
          <w:tcPr>
            <w:tcW w:w="1070" w:type="dxa"/>
            <w:vAlign w:val="center"/>
          </w:tcPr>
          <w:p w14:paraId="0037F0B9">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r>
      <w:tr w14:paraId="43FDE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vAlign w:val="center"/>
          </w:tcPr>
          <w:p w14:paraId="387FBE44">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1.3</w:t>
            </w:r>
          </w:p>
        </w:tc>
        <w:tc>
          <w:tcPr>
            <w:tcW w:w="3973" w:type="dxa"/>
            <w:vAlign w:val="center"/>
          </w:tcPr>
          <w:p w14:paraId="39FE5B96">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集电线路</w:t>
            </w:r>
          </w:p>
        </w:tc>
        <w:tc>
          <w:tcPr>
            <w:tcW w:w="1025" w:type="dxa"/>
            <w:vAlign w:val="center"/>
          </w:tcPr>
          <w:p w14:paraId="726CCF46">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c>
          <w:tcPr>
            <w:tcW w:w="1524" w:type="dxa"/>
            <w:vAlign w:val="center"/>
          </w:tcPr>
          <w:p w14:paraId="431EC7E1">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c>
          <w:tcPr>
            <w:tcW w:w="1070" w:type="dxa"/>
            <w:vAlign w:val="center"/>
          </w:tcPr>
          <w:p w14:paraId="49D4EB12">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r>
      <w:tr w14:paraId="2AD5D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vAlign w:val="center"/>
          </w:tcPr>
          <w:p w14:paraId="1A917598">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1.3.1</w:t>
            </w:r>
          </w:p>
        </w:tc>
        <w:tc>
          <w:tcPr>
            <w:tcW w:w="3973" w:type="dxa"/>
            <w:vAlign w:val="center"/>
          </w:tcPr>
          <w:p w14:paraId="47CB73BE">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电力电缆部分</w:t>
            </w:r>
          </w:p>
        </w:tc>
        <w:tc>
          <w:tcPr>
            <w:tcW w:w="1025" w:type="dxa"/>
            <w:vAlign w:val="center"/>
          </w:tcPr>
          <w:p w14:paraId="7565517F">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c>
          <w:tcPr>
            <w:tcW w:w="1524" w:type="dxa"/>
            <w:vAlign w:val="center"/>
          </w:tcPr>
          <w:p w14:paraId="0EB9130A">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c>
          <w:tcPr>
            <w:tcW w:w="1070" w:type="dxa"/>
            <w:vAlign w:val="center"/>
          </w:tcPr>
          <w:p w14:paraId="0ADEE875">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r>
      <w:tr w14:paraId="6A0C7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vAlign w:val="center"/>
          </w:tcPr>
          <w:p w14:paraId="31BCB7F7">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c>
          <w:tcPr>
            <w:tcW w:w="3973" w:type="dxa"/>
            <w:vAlign w:val="center"/>
          </w:tcPr>
          <w:p w14:paraId="161233B9">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光伏小线 H1Z2Z2-K -1×4mm2(1500V 系统)</w:t>
            </w:r>
          </w:p>
        </w:tc>
        <w:tc>
          <w:tcPr>
            <w:tcW w:w="1025" w:type="dxa"/>
            <w:vAlign w:val="center"/>
          </w:tcPr>
          <w:p w14:paraId="26180E5A">
            <w:pPr>
              <w:keepNext w:val="0"/>
              <w:keepLines w:val="0"/>
              <w:widowControl/>
              <w:suppressLineNumbers w:val="0"/>
              <w:jc w:val="center"/>
              <w:rPr>
                <w:rFonts w:hint="eastAsia" w:ascii="宋体" w:hAnsi="宋体" w:eastAsia="宋体" w:cs="宋体"/>
                <w:color w:val="000000"/>
                <w:kern w:val="0"/>
                <w:sz w:val="20"/>
                <w:szCs w:val="20"/>
                <w:vertAlign w:val="baseline"/>
                <w:lang w:val="en-US" w:eastAsia="zh-CN" w:bidi="ar"/>
              </w:rPr>
            </w:pPr>
            <w:r>
              <w:rPr>
                <w:rFonts w:ascii="仿宋_GB2312" w:hAnsi="仿宋_GB2312" w:eastAsia="仿宋_GB2312" w:cs="仿宋_GB2312"/>
                <w:color w:val="000000"/>
                <w:kern w:val="0"/>
                <w:sz w:val="20"/>
                <w:szCs w:val="20"/>
                <w:lang w:val="en-US" w:eastAsia="zh-CN" w:bidi="ar"/>
              </w:rPr>
              <w:t>km</w:t>
            </w:r>
          </w:p>
        </w:tc>
        <w:tc>
          <w:tcPr>
            <w:tcW w:w="1524" w:type="dxa"/>
            <w:vAlign w:val="center"/>
          </w:tcPr>
          <w:p w14:paraId="53EC0131">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650</w:t>
            </w:r>
          </w:p>
        </w:tc>
        <w:tc>
          <w:tcPr>
            <w:tcW w:w="1070" w:type="dxa"/>
            <w:vAlign w:val="center"/>
          </w:tcPr>
          <w:p w14:paraId="0B9DCC0D">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r>
      <w:tr w14:paraId="546FA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 w:type="dxa"/>
            <w:vAlign w:val="center"/>
          </w:tcPr>
          <w:p w14:paraId="70D53928">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c>
          <w:tcPr>
            <w:tcW w:w="3973" w:type="dxa"/>
            <w:vAlign w:val="center"/>
          </w:tcPr>
          <w:p w14:paraId="51CDF664">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电力电缆 ZRC-YJLHV22-1.8/3KV-3×240</w:t>
            </w:r>
          </w:p>
        </w:tc>
        <w:tc>
          <w:tcPr>
            <w:tcW w:w="1025" w:type="dxa"/>
            <w:vAlign w:val="center"/>
          </w:tcPr>
          <w:p w14:paraId="57E093E2">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km</w:t>
            </w:r>
          </w:p>
        </w:tc>
        <w:tc>
          <w:tcPr>
            <w:tcW w:w="1524" w:type="dxa"/>
            <w:vAlign w:val="center"/>
          </w:tcPr>
          <w:p w14:paraId="327E9008">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40</w:t>
            </w:r>
          </w:p>
        </w:tc>
        <w:tc>
          <w:tcPr>
            <w:tcW w:w="1070" w:type="dxa"/>
            <w:vAlign w:val="center"/>
          </w:tcPr>
          <w:p w14:paraId="7DB683CE">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r>
      <w:tr w14:paraId="31A2F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930" w:type="dxa"/>
            <w:vMerge w:val="restart"/>
            <w:vAlign w:val="center"/>
          </w:tcPr>
          <w:p w14:paraId="73D08373">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c>
          <w:tcPr>
            <w:tcW w:w="3973" w:type="dxa"/>
            <w:vAlign w:val="center"/>
          </w:tcPr>
          <w:p w14:paraId="18FA5C58">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通讯箱电源电缆</w:t>
            </w:r>
          </w:p>
        </w:tc>
        <w:tc>
          <w:tcPr>
            <w:tcW w:w="1025" w:type="dxa"/>
            <w:vMerge w:val="restart"/>
            <w:vAlign w:val="center"/>
          </w:tcPr>
          <w:p w14:paraId="075764B0">
            <w:pPr>
              <w:keepNext w:val="0"/>
              <w:keepLines w:val="0"/>
              <w:widowControl/>
              <w:suppressLineNumbers w:val="0"/>
              <w:jc w:val="center"/>
              <w:rPr>
                <w:rFonts w:hint="default"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m</w:t>
            </w:r>
          </w:p>
        </w:tc>
        <w:tc>
          <w:tcPr>
            <w:tcW w:w="1524" w:type="dxa"/>
            <w:vMerge w:val="restart"/>
            <w:vAlign w:val="center"/>
          </w:tcPr>
          <w:p w14:paraId="73E5C302">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500</w:t>
            </w:r>
          </w:p>
        </w:tc>
        <w:tc>
          <w:tcPr>
            <w:tcW w:w="1070" w:type="dxa"/>
            <w:vMerge w:val="restart"/>
            <w:vAlign w:val="center"/>
          </w:tcPr>
          <w:p w14:paraId="5FD45798">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r>
      <w:tr w14:paraId="02A37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930" w:type="dxa"/>
            <w:vMerge w:val="continue"/>
            <w:vAlign w:val="center"/>
          </w:tcPr>
          <w:p w14:paraId="39F1CCD3">
            <w:pPr>
              <w:keepNext w:val="0"/>
              <w:keepLines w:val="0"/>
              <w:widowControl/>
              <w:suppressLineNumbers w:val="0"/>
              <w:jc w:val="left"/>
            </w:pPr>
          </w:p>
        </w:tc>
        <w:tc>
          <w:tcPr>
            <w:tcW w:w="3973" w:type="dxa"/>
            <w:vAlign w:val="center"/>
          </w:tcPr>
          <w:p w14:paraId="363539B9">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ZRC-YJLHV22-0.6/1kV-2×4</w:t>
            </w:r>
          </w:p>
        </w:tc>
        <w:tc>
          <w:tcPr>
            <w:tcW w:w="1025" w:type="dxa"/>
            <w:vMerge w:val="continue"/>
            <w:vAlign w:val="center"/>
          </w:tcPr>
          <w:p w14:paraId="1A68D184">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p>
        </w:tc>
        <w:tc>
          <w:tcPr>
            <w:tcW w:w="1524" w:type="dxa"/>
            <w:vMerge w:val="continue"/>
            <w:vAlign w:val="center"/>
          </w:tcPr>
          <w:p w14:paraId="62E79E52">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p>
        </w:tc>
        <w:tc>
          <w:tcPr>
            <w:tcW w:w="1070" w:type="dxa"/>
            <w:vMerge w:val="continue"/>
            <w:vAlign w:val="center"/>
          </w:tcPr>
          <w:p w14:paraId="4363760A">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p>
        </w:tc>
      </w:tr>
      <w:tr w14:paraId="16296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Merge w:val="restart"/>
            <w:vAlign w:val="center"/>
          </w:tcPr>
          <w:p w14:paraId="69481F83">
            <w:pPr>
              <w:keepNext w:val="0"/>
              <w:keepLines w:val="0"/>
              <w:widowControl/>
              <w:suppressLineNumbers w:val="0"/>
              <w:jc w:val="left"/>
            </w:pPr>
          </w:p>
        </w:tc>
        <w:tc>
          <w:tcPr>
            <w:tcW w:w="3973" w:type="dxa"/>
            <w:vAlign w:val="center"/>
          </w:tcPr>
          <w:p w14:paraId="49A43CC1">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PLC 模块电源电缆</w:t>
            </w:r>
          </w:p>
        </w:tc>
        <w:tc>
          <w:tcPr>
            <w:tcW w:w="1025" w:type="dxa"/>
            <w:vMerge w:val="restart"/>
            <w:vAlign w:val="center"/>
          </w:tcPr>
          <w:p w14:paraId="5715C423">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m</w:t>
            </w:r>
          </w:p>
        </w:tc>
        <w:tc>
          <w:tcPr>
            <w:tcW w:w="1524" w:type="dxa"/>
            <w:vMerge w:val="restart"/>
            <w:vAlign w:val="center"/>
          </w:tcPr>
          <w:p w14:paraId="7FA332C4">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color w:val="000000"/>
                <w:kern w:val="0"/>
                <w:sz w:val="20"/>
                <w:szCs w:val="20"/>
                <w:lang w:val="en-US" w:eastAsia="zh-CN" w:bidi="ar"/>
              </w:rPr>
            </w:pPr>
            <w:r>
              <w:rPr>
                <w:rFonts w:hint="eastAsia" w:ascii="宋体" w:hAnsi="宋体" w:eastAsia="宋体" w:cs="宋体"/>
                <w:color w:val="000000"/>
                <w:kern w:val="0"/>
                <w:sz w:val="20"/>
                <w:szCs w:val="20"/>
                <w:vertAlign w:val="baseline"/>
                <w:lang w:val="en-US" w:eastAsia="zh-CN" w:bidi="ar"/>
              </w:rPr>
              <w:t>500</w:t>
            </w:r>
          </w:p>
        </w:tc>
        <w:tc>
          <w:tcPr>
            <w:tcW w:w="1070" w:type="dxa"/>
            <w:vMerge w:val="restart"/>
            <w:vAlign w:val="center"/>
          </w:tcPr>
          <w:p w14:paraId="24BC39B9">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p>
        </w:tc>
      </w:tr>
      <w:tr w14:paraId="7A986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Merge w:val="continue"/>
            <w:vAlign w:val="center"/>
          </w:tcPr>
          <w:p w14:paraId="1E50CF2C">
            <w:pPr>
              <w:keepNext w:val="0"/>
              <w:keepLines w:val="0"/>
              <w:widowControl/>
              <w:suppressLineNumbers w:val="0"/>
              <w:jc w:val="center"/>
            </w:pPr>
          </w:p>
        </w:tc>
        <w:tc>
          <w:tcPr>
            <w:tcW w:w="3973" w:type="dxa"/>
            <w:vAlign w:val="center"/>
          </w:tcPr>
          <w:p w14:paraId="7C272317">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ZRC-YJLHV22-0.6/1kV-4×4</w:t>
            </w:r>
          </w:p>
        </w:tc>
        <w:tc>
          <w:tcPr>
            <w:tcW w:w="1025" w:type="dxa"/>
            <w:vMerge w:val="continue"/>
            <w:vAlign w:val="center"/>
          </w:tcPr>
          <w:p w14:paraId="40E0FF34">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c>
          <w:tcPr>
            <w:tcW w:w="1524" w:type="dxa"/>
            <w:vMerge w:val="continue"/>
            <w:vAlign w:val="center"/>
          </w:tcPr>
          <w:p w14:paraId="6DE4AC7D">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c>
          <w:tcPr>
            <w:tcW w:w="1070" w:type="dxa"/>
            <w:vMerge w:val="continue"/>
            <w:vAlign w:val="center"/>
          </w:tcPr>
          <w:p w14:paraId="2991ADFE">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20FEC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1716C9C8">
            <w:pPr>
              <w:keepNext w:val="0"/>
              <w:keepLines w:val="0"/>
              <w:widowControl/>
              <w:suppressLineNumbers w:val="0"/>
              <w:jc w:val="center"/>
            </w:pPr>
          </w:p>
        </w:tc>
        <w:tc>
          <w:tcPr>
            <w:tcW w:w="3973" w:type="dxa"/>
            <w:vAlign w:val="center"/>
          </w:tcPr>
          <w:p w14:paraId="3F9E4143">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箱变测控通讯电缆 超五类网线</w:t>
            </w:r>
          </w:p>
        </w:tc>
        <w:tc>
          <w:tcPr>
            <w:tcW w:w="1025" w:type="dxa"/>
            <w:vAlign w:val="center"/>
          </w:tcPr>
          <w:p w14:paraId="1A989135">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m</w:t>
            </w:r>
          </w:p>
        </w:tc>
        <w:tc>
          <w:tcPr>
            <w:tcW w:w="1524" w:type="dxa"/>
            <w:vAlign w:val="center"/>
          </w:tcPr>
          <w:p w14:paraId="4A2AA708">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ascii="仿宋_GB2312" w:hAnsi="仿宋_GB2312" w:eastAsia="仿宋_GB2312" w:cs="仿宋_GB2312"/>
                <w:color w:val="000000"/>
                <w:kern w:val="0"/>
                <w:sz w:val="20"/>
                <w:szCs w:val="20"/>
                <w:lang w:val="en-US" w:eastAsia="zh-CN" w:bidi="ar"/>
              </w:rPr>
            </w:pPr>
            <w:r>
              <w:rPr>
                <w:rFonts w:hint="eastAsia" w:ascii="宋体" w:hAnsi="宋体" w:eastAsia="宋体" w:cs="宋体"/>
                <w:color w:val="000000"/>
                <w:kern w:val="0"/>
                <w:sz w:val="20"/>
                <w:szCs w:val="20"/>
                <w:vertAlign w:val="baseline"/>
                <w:lang w:val="en-US" w:eastAsia="zh-CN" w:bidi="ar"/>
              </w:rPr>
              <w:t>500</w:t>
            </w:r>
          </w:p>
        </w:tc>
        <w:tc>
          <w:tcPr>
            <w:tcW w:w="1070" w:type="dxa"/>
            <w:vAlign w:val="center"/>
          </w:tcPr>
          <w:p w14:paraId="60E79069">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5C40E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38DF27E9">
            <w:pPr>
              <w:keepNext w:val="0"/>
              <w:keepLines w:val="0"/>
              <w:widowControl/>
              <w:suppressLineNumbers w:val="0"/>
              <w:jc w:val="center"/>
            </w:pPr>
          </w:p>
        </w:tc>
        <w:tc>
          <w:tcPr>
            <w:tcW w:w="3973" w:type="dxa"/>
            <w:vAlign w:val="center"/>
          </w:tcPr>
          <w:p w14:paraId="65FAFA8C">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高压电缆（铝合金） ZRC-YJHLV22-26/35kV 3×95mm</w:t>
            </w:r>
            <w:r>
              <w:rPr>
                <w:rFonts w:ascii="Arial" w:hAnsi="Arial" w:eastAsia="宋体" w:cs="Arial"/>
                <w:color w:val="000000"/>
                <w:kern w:val="0"/>
                <w:sz w:val="20"/>
                <w:szCs w:val="20"/>
                <w:lang w:val="en-US" w:eastAsia="zh-CN" w:bidi="ar"/>
              </w:rPr>
              <w:t>²</w:t>
            </w:r>
          </w:p>
        </w:tc>
        <w:tc>
          <w:tcPr>
            <w:tcW w:w="1025" w:type="dxa"/>
            <w:vAlign w:val="center"/>
          </w:tcPr>
          <w:p w14:paraId="6724BBCB">
            <w:pPr>
              <w:keepNext w:val="0"/>
              <w:keepLines w:val="0"/>
              <w:widowControl/>
              <w:suppressLineNumbers w:val="0"/>
              <w:jc w:val="center"/>
              <w:rPr>
                <w:rFonts w:hint="eastAsia"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m</w:t>
            </w:r>
          </w:p>
        </w:tc>
        <w:tc>
          <w:tcPr>
            <w:tcW w:w="1524" w:type="dxa"/>
            <w:vAlign w:val="center"/>
          </w:tcPr>
          <w:p w14:paraId="30538C67">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6500</w:t>
            </w:r>
          </w:p>
        </w:tc>
        <w:tc>
          <w:tcPr>
            <w:tcW w:w="1070" w:type="dxa"/>
            <w:vAlign w:val="center"/>
          </w:tcPr>
          <w:p w14:paraId="72951158">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1F1AC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1FD727C4">
            <w:pPr>
              <w:keepNext w:val="0"/>
              <w:keepLines w:val="0"/>
              <w:widowControl/>
              <w:suppressLineNumbers w:val="0"/>
              <w:jc w:val="center"/>
            </w:pPr>
          </w:p>
        </w:tc>
        <w:tc>
          <w:tcPr>
            <w:tcW w:w="3973" w:type="dxa"/>
            <w:vAlign w:val="center"/>
          </w:tcPr>
          <w:p w14:paraId="7B818E64">
            <w:pPr>
              <w:keepNext w:val="0"/>
              <w:keepLines w:val="0"/>
              <w:widowControl/>
              <w:suppressLineNumbers w:val="0"/>
              <w:jc w:val="left"/>
            </w:pPr>
            <w:r>
              <w:rPr>
                <w:rFonts w:ascii="仿宋_GB2312" w:hAnsi="仿宋_GB2312" w:eastAsia="仿宋_GB2312" w:cs="仿宋_GB2312"/>
                <w:color w:val="000000"/>
                <w:kern w:val="0"/>
                <w:sz w:val="20"/>
                <w:szCs w:val="20"/>
                <w:lang w:val="en-US" w:eastAsia="zh-CN" w:bidi="ar"/>
              </w:rPr>
              <w:t xml:space="preserve">高压电缆（铝合金） ZRC-YJLHV22-26/35-3 </w:t>
            </w:r>
          </w:p>
          <w:p w14:paraId="0B44CD90">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×185mm</w:t>
            </w:r>
            <w:r>
              <w:rPr>
                <w:rFonts w:ascii="Arial" w:hAnsi="Arial" w:eastAsia="宋体" w:cs="Arial"/>
                <w:color w:val="000000"/>
                <w:kern w:val="0"/>
                <w:sz w:val="20"/>
                <w:szCs w:val="20"/>
                <w:lang w:val="en-US" w:eastAsia="zh-CN" w:bidi="ar"/>
              </w:rPr>
              <w:t>²</w:t>
            </w:r>
          </w:p>
        </w:tc>
        <w:tc>
          <w:tcPr>
            <w:tcW w:w="1025" w:type="dxa"/>
            <w:vAlign w:val="center"/>
          </w:tcPr>
          <w:p w14:paraId="6228716F">
            <w:pPr>
              <w:keepNext w:val="0"/>
              <w:keepLines w:val="0"/>
              <w:widowControl/>
              <w:suppressLineNumbers w:val="0"/>
              <w:jc w:val="center"/>
              <w:rPr>
                <w:rFonts w:hint="eastAsia"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m</w:t>
            </w:r>
          </w:p>
        </w:tc>
        <w:tc>
          <w:tcPr>
            <w:tcW w:w="1524" w:type="dxa"/>
            <w:vAlign w:val="center"/>
          </w:tcPr>
          <w:p w14:paraId="2143B762">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800</w:t>
            </w:r>
          </w:p>
        </w:tc>
        <w:tc>
          <w:tcPr>
            <w:tcW w:w="1070" w:type="dxa"/>
            <w:vAlign w:val="center"/>
          </w:tcPr>
          <w:p w14:paraId="53B88B67">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6C6AF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0A26E325">
            <w:pPr>
              <w:keepNext w:val="0"/>
              <w:keepLines w:val="0"/>
              <w:widowControl/>
              <w:suppressLineNumbers w:val="0"/>
              <w:jc w:val="center"/>
            </w:pPr>
          </w:p>
        </w:tc>
        <w:tc>
          <w:tcPr>
            <w:tcW w:w="3973" w:type="dxa"/>
            <w:vAlign w:val="center"/>
          </w:tcPr>
          <w:p w14:paraId="6D2151F6">
            <w:pPr>
              <w:keepNext w:val="0"/>
              <w:keepLines w:val="0"/>
              <w:widowControl/>
              <w:suppressLineNumbers w:val="0"/>
              <w:jc w:val="left"/>
            </w:pPr>
            <w:r>
              <w:rPr>
                <w:rFonts w:ascii="仿宋_GB2312" w:hAnsi="仿宋_GB2312" w:eastAsia="仿宋_GB2312" w:cs="仿宋_GB2312"/>
                <w:color w:val="000000"/>
                <w:kern w:val="0"/>
                <w:sz w:val="20"/>
                <w:szCs w:val="20"/>
                <w:lang w:val="en-US" w:eastAsia="zh-CN" w:bidi="ar"/>
              </w:rPr>
              <w:t xml:space="preserve">高压电缆（铝合金） ZRC-YJLHV22-26/35-3 </w:t>
            </w:r>
          </w:p>
          <w:p w14:paraId="3B94496B">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×300mm</w:t>
            </w:r>
            <w:r>
              <w:rPr>
                <w:rFonts w:ascii="Arial" w:hAnsi="Arial" w:eastAsia="宋体" w:cs="Arial"/>
                <w:color w:val="000000"/>
                <w:kern w:val="0"/>
                <w:sz w:val="20"/>
                <w:szCs w:val="20"/>
                <w:lang w:val="en-US" w:eastAsia="zh-CN" w:bidi="ar"/>
              </w:rPr>
              <w:t>²</w:t>
            </w:r>
          </w:p>
        </w:tc>
        <w:tc>
          <w:tcPr>
            <w:tcW w:w="1025" w:type="dxa"/>
            <w:vAlign w:val="center"/>
          </w:tcPr>
          <w:p w14:paraId="0B21D0A4">
            <w:pPr>
              <w:keepNext w:val="0"/>
              <w:keepLines w:val="0"/>
              <w:widowControl/>
              <w:suppressLineNumbers w:val="0"/>
              <w:jc w:val="center"/>
              <w:rPr>
                <w:rFonts w:hint="eastAsia"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m</w:t>
            </w:r>
          </w:p>
        </w:tc>
        <w:tc>
          <w:tcPr>
            <w:tcW w:w="1524" w:type="dxa"/>
            <w:vAlign w:val="center"/>
          </w:tcPr>
          <w:p w14:paraId="3503078B">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1000</w:t>
            </w:r>
          </w:p>
        </w:tc>
        <w:tc>
          <w:tcPr>
            <w:tcW w:w="1070" w:type="dxa"/>
            <w:vAlign w:val="center"/>
          </w:tcPr>
          <w:p w14:paraId="5A145184">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42FFB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2E9ED77A">
            <w:pPr>
              <w:keepNext w:val="0"/>
              <w:keepLines w:val="0"/>
              <w:widowControl/>
              <w:suppressLineNumbers w:val="0"/>
              <w:jc w:val="center"/>
            </w:pPr>
          </w:p>
        </w:tc>
        <w:tc>
          <w:tcPr>
            <w:tcW w:w="3973" w:type="dxa"/>
            <w:vAlign w:val="center"/>
          </w:tcPr>
          <w:p w14:paraId="7B4FCF4B">
            <w:pPr>
              <w:keepNext w:val="0"/>
              <w:keepLines w:val="0"/>
              <w:widowControl/>
              <w:suppressLineNumbers w:val="0"/>
              <w:jc w:val="left"/>
            </w:pPr>
            <w:r>
              <w:rPr>
                <w:rFonts w:ascii="仿宋_GB2312" w:hAnsi="仿宋_GB2312" w:eastAsia="仿宋_GB2312" w:cs="仿宋_GB2312"/>
                <w:color w:val="000000"/>
                <w:kern w:val="0"/>
                <w:sz w:val="20"/>
                <w:szCs w:val="20"/>
                <w:lang w:val="en-US" w:eastAsia="zh-CN" w:bidi="ar"/>
              </w:rPr>
              <w:t xml:space="preserve">高压电缆（铝合金） ZRC-YJLHV22-26/35-3 </w:t>
            </w:r>
          </w:p>
          <w:p w14:paraId="006DBC61">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×400mm</w:t>
            </w:r>
            <w:r>
              <w:rPr>
                <w:rFonts w:ascii="Arial" w:hAnsi="Arial" w:eastAsia="宋体" w:cs="Arial"/>
                <w:color w:val="000000"/>
                <w:kern w:val="0"/>
                <w:sz w:val="20"/>
                <w:szCs w:val="20"/>
                <w:lang w:val="en-US" w:eastAsia="zh-CN" w:bidi="ar"/>
              </w:rPr>
              <w:t>²</w:t>
            </w:r>
          </w:p>
        </w:tc>
        <w:tc>
          <w:tcPr>
            <w:tcW w:w="1025" w:type="dxa"/>
            <w:vAlign w:val="center"/>
          </w:tcPr>
          <w:p w14:paraId="5069C1DF">
            <w:pPr>
              <w:keepNext w:val="0"/>
              <w:keepLines w:val="0"/>
              <w:widowControl/>
              <w:suppressLineNumbers w:val="0"/>
              <w:jc w:val="center"/>
              <w:rPr>
                <w:rFonts w:hint="eastAsia"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m</w:t>
            </w:r>
          </w:p>
        </w:tc>
        <w:tc>
          <w:tcPr>
            <w:tcW w:w="1524" w:type="dxa"/>
            <w:vAlign w:val="center"/>
          </w:tcPr>
          <w:p w14:paraId="6994A845">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1000</w:t>
            </w:r>
          </w:p>
        </w:tc>
        <w:tc>
          <w:tcPr>
            <w:tcW w:w="1070" w:type="dxa"/>
            <w:vAlign w:val="center"/>
          </w:tcPr>
          <w:p w14:paraId="627F52AF">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24B00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07C0BFAF">
            <w:pPr>
              <w:keepNext w:val="0"/>
              <w:keepLines w:val="0"/>
              <w:widowControl/>
              <w:suppressLineNumbers w:val="0"/>
              <w:jc w:val="center"/>
            </w:pPr>
          </w:p>
        </w:tc>
        <w:tc>
          <w:tcPr>
            <w:tcW w:w="3973" w:type="dxa"/>
            <w:vAlign w:val="center"/>
          </w:tcPr>
          <w:p w14:paraId="27AE4DA8">
            <w:pPr>
              <w:keepNext w:val="0"/>
              <w:keepLines w:val="0"/>
              <w:widowControl/>
              <w:suppressLineNumbers w:val="0"/>
              <w:jc w:val="left"/>
            </w:pPr>
            <w:r>
              <w:rPr>
                <w:rFonts w:ascii="仿宋_GB2312" w:hAnsi="仿宋_GB2312" w:eastAsia="仿宋_GB2312" w:cs="仿宋_GB2312"/>
                <w:color w:val="000000"/>
                <w:kern w:val="0"/>
                <w:sz w:val="20"/>
                <w:szCs w:val="20"/>
                <w:lang w:val="en-US" w:eastAsia="zh-CN" w:bidi="ar"/>
              </w:rPr>
              <w:t xml:space="preserve">高压电缆（铝合金） ZRC-YJLHV22-26/35-3 </w:t>
            </w:r>
          </w:p>
          <w:p w14:paraId="0A8BA62F">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×500mm</w:t>
            </w:r>
            <w:r>
              <w:rPr>
                <w:rFonts w:ascii="Arial" w:hAnsi="Arial" w:eastAsia="宋体" w:cs="Arial"/>
                <w:color w:val="000000"/>
                <w:kern w:val="0"/>
                <w:sz w:val="20"/>
                <w:szCs w:val="20"/>
                <w:lang w:val="en-US" w:eastAsia="zh-CN" w:bidi="ar"/>
              </w:rPr>
              <w:t>²</w:t>
            </w:r>
          </w:p>
        </w:tc>
        <w:tc>
          <w:tcPr>
            <w:tcW w:w="1025" w:type="dxa"/>
            <w:vAlign w:val="center"/>
          </w:tcPr>
          <w:p w14:paraId="7ACA51FE">
            <w:pPr>
              <w:keepNext w:val="0"/>
              <w:keepLines w:val="0"/>
              <w:widowControl/>
              <w:suppressLineNumbers w:val="0"/>
              <w:jc w:val="center"/>
              <w:rPr>
                <w:rFonts w:hint="eastAsia"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m</w:t>
            </w:r>
          </w:p>
        </w:tc>
        <w:tc>
          <w:tcPr>
            <w:tcW w:w="1524" w:type="dxa"/>
            <w:vAlign w:val="center"/>
          </w:tcPr>
          <w:p w14:paraId="5CCC024D">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800</w:t>
            </w:r>
          </w:p>
        </w:tc>
        <w:tc>
          <w:tcPr>
            <w:tcW w:w="1070" w:type="dxa"/>
            <w:vAlign w:val="center"/>
          </w:tcPr>
          <w:p w14:paraId="0FE59ED1">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6C9E7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0FDA5007">
            <w:pPr>
              <w:keepNext w:val="0"/>
              <w:keepLines w:val="0"/>
              <w:widowControl/>
              <w:suppressLineNumbers w:val="0"/>
              <w:jc w:val="center"/>
            </w:pPr>
          </w:p>
        </w:tc>
        <w:tc>
          <w:tcPr>
            <w:tcW w:w="3973" w:type="dxa"/>
            <w:vAlign w:val="center"/>
          </w:tcPr>
          <w:p w14:paraId="1E2109FA">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高压电缆 ZC-YJV22-26/35kV-3×240mm</w:t>
            </w:r>
            <w:r>
              <w:rPr>
                <w:rFonts w:ascii="Arial" w:hAnsi="Arial" w:eastAsia="宋体" w:cs="Arial"/>
                <w:color w:val="000000"/>
                <w:kern w:val="0"/>
                <w:sz w:val="20"/>
                <w:szCs w:val="20"/>
                <w:lang w:val="en-US" w:eastAsia="zh-CN" w:bidi="ar"/>
              </w:rPr>
              <w:t>²</w:t>
            </w:r>
          </w:p>
        </w:tc>
        <w:tc>
          <w:tcPr>
            <w:tcW w:w="1025" w:type="dxa"/>
            <w:vAlign w:val="center"/>
          </w:tcPr>
          <w:p w14:paraId="31BBD36C">
            <w:pPr>
              <w:keepNext w:val="0"/>
              <w:keepLines w:val="0"/>
              <w:widowControl/>
              <w:suppressLineNumbers w:val="0"/>
              <w:jc w:val="center"/>
              <w:rPr>
                <w:rFonts w:hint="eastAsia"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m</w:t>
            </w:r>
          </w:p>
        </w:tc>
        <w:tc>
          <w:tcPr>
            <w:tcW w:w="1524" w:type="dxa"/>
            <w:vAlign w:val="center"/>
          </w:tcPr>
          <w:p w14:paraId="73756CA3">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500</w:t>
            </w:r>
          </w:p>
        </w:tc>
        <w:tc>
          <w:tcPr>
            <w:tcW w:w="1070" w:type="dxa"/>
            <w:vAlign w:val="center"/>
          </w:tcPr>
          <w:p w14:paraId="61A911FF">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263DC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4811853F">
            <w:pPr>
              <w:keepNext w:val="0"/>
              <w:keepLines w:val="0"/>
              <w:widowControl/>
              <w:suppressLineNumbers w:val="0"/>
              <w:jc w:val="center"/>
            </w:pPr>
          </w:p>
        </w:tc>
        <w:tc>
          <w:tcPr>
            <w:tcW w:w="3973" w:type="dxa"/>
            <w:vAlign w:val="center"/>
          </w:tcPr>
          <w:p w14:paraId="6B46833F">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高压电缆 ZC-YJV22-26/35kV-3×400mm</w:t>
            </w:r>
            <w:r>
              <w:rPr>
                <w:rFonts w:ascii="Arial" w:hAnsi="Arial" w:eastAsia="宋体" w:cs="Arial"/>
                <w:color w:val="000000"/>
                <w:kern w:val="0"/>
                <w:sz w:val="20"/>
                <w:szCs w:val="20"/>
                <w:lang w:val="en-US" w:eastAsia="zh-CN" w:bidi="ar"/>
              </w:rPr>
              <w:t>²</w:t>
            </w:r>
          </w:p>
        </w:tc>
        <w:tc>
          <w:tcPr>
            <w:tcW w:w="1025" w:type="dxa"/>
            <w:vAlign w:val="center"/>
          </w:tcPr>
          <w:p w14:paraId="22E1ACF7">
            <w:pPr>
              <w:keepNext w:val="0"/>
              <w:keepLines w:val="0"/>
              <w:widowControl/>
              <w:suppressLineNumbers w:val="0"/>
              <w:jc w:val="center"/>
              <w:rPr>
                <w:rFonts w:hint="eastAsia"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m</w:t>
            </w:r>
          </w:p>
        </w:tc>
        <w:tc>
          <w:tcPr>
            <w:tcW w:w="1524" w:type="dxa"/>
            <w:vAlign w:val="center"/>
          </w:tcPr>
          <w:p w14:paraId="0F5FBB04">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500</w:t>
            </w:r>
          </w:p>
        </w:tc>
        <w:tc>
          <w:tcPr>
            <w:tcW w:w="1070" w:type="dxa"/>
            <w:vAlign w:val="center"/>
          </w:tcPr>
          <w:p w14:paraId="2262E59B">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6DE57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506753C7">
            <w:pPr>
              <w:keepNext w:val="0"/>
              <w:keepLines w:val="0"/>
              <w:widowControl/>
              <w:suppressLineNumbers w:val="0"/>
              <w:jc w:val="center"/>
            </w:pPr>
          </w:p>
        </w:tc>
        <w:tc>
          <w:tcPr>
            <w:tcW w:w="3973" w:type="dxa"/>
            <w:vAlign w:val="center"/>
          </w:tcPr>
          <w:p w14:paraId="0B970CFC">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高压电缆 ZC-YJV22-26/35kV-3×500mm</w:t>
            </w:r>
            <w:r>
              <w:rPr>
                <w:rFonts w:ascii="Arial" w:hAnsi="Arial" w:eastAsia="宋体" w:cs="Arial"/>
                <w:color w:val="000000"/>
                <w:kern w:val="0"/>
                <w:sz w:val="20"/>
                <w:szCs w:val="20"/>
                <w:lang w:val="en-US" w:eastAsia="zh-CN" w:bidi="ar"/>
              </w:rPr>
              <w:t>²</w:t>
            </w:r>
          </w:p>
        </w:tc>
        <w:tc>
          <w:tcPr>
            <w:tcW w:w="1025" w:type="dxa"/>
            <w:vAlign w:val="center"/>
          </w:tcPr>
          <w:p w14:paraId="00A06982">
            <w:pPr>
              <w:keepNext w:val="0"/>
              <w:keepLines w:val="0"/>
              <w:widowControl/>
              <w:suppressLineNumbers w:val="0"/>
              <w:jc w:val="center"/>
              <w:rPr>
                <w:rFonts w:hint="eastAsia"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m</w:t>
            </w:r>
          </w:p>
        </w:tc>
        <w:tc>
          <w:tcPr>
            <w:tcW w:w="1524" w:type="dxa"/>
            <w:vAlign w:val="center"/>
          </w:tcPr>
          <w:p w14:paraId="46445A67">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700</w:t>
            </w:r>
          </w:p>
        </w:tc>
        <w:tc>
          <w:tcPr>
            <w:tcW w:w="1070" w:type="dxa"/>
            <w:vAlign w:val="center"/>
          </w:tcPr>
          <w:p w14:paraId="433ADB5F">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3CF1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2B96EEA4">
            <w:pPr>
              <w:keepNext w:val="0"/>
              <w:keepLines w:val="0"/>
              <w:widowControl/>
              <w:suppressLineNumbers w:val="0"/>
              <w:jc w:val="center"/>
            </w:pPr>
          </w:p>
        </w:tc>
        <w:tc>
          <w:tcPr>
            <w:tcW w:w="3973" w:type="dxa"/>
            <w:vAlign w:val="center"/>
          </w:tcPr>
          <w:p w14:paraId="3F053F85">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光缆 GYTY53-24B1</w:t>
            </w:r>
          </w:p>
        </w:tc>
        <w:tc>
          <w:tcPr>
            <w:tcW w:w="1025" w:type="dxa"/>
            <w:vAlign w:val="center"/>
          </w:tcPr>
          <w:p w14:paraId="75D5F6AB">
            <w:pPr>
              <w:keepNext w:val="0"/>
              <w:keepLines w:val="0"/>
              <w:widowControl/>
              <w:suppressLineNumbers w:val="0"/>
              <w:jc w:val="center"/>
              <w:rPr>
                <w:rFonts w:hint="eastAsia"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km</w:t>
            </w:r>
          </w:p>
        </w:tc>
        <w:tc>
          <w:tcPr>
            <w:tcW w:w="1524" w:type="dxa"/>
            <w:vAlign w:val="center"/>
          </w:tcPr>
          <w:p w14:paraId="75C56275">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12</w:t>
            </w:r>
          </w:p>
        </w:tc>
        <w:tc>
          <w:tcPr>
            <w:tcW w:w="1070" w:type="dxa"/>
            <w:vAlign w:val="center"/>
          </w:tcPr>
          <w:p w14:paraId="0452062A">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1179B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1B366310">
            <w:pPr>
              <w:keepNext w:val="0"/>
              <w:keepLines w:val="0"/>
              <w:widowControl/>
              <w:suppressLineNumbers w:val="0"/>
              <w:jc w:val="center"/>
            </w:pPr>
          </w:p>
        </w:tc>
        <w:tc>
          <w:tcPr>
            <w:tcW w:w="3973" w:type="dxa"/>
            <w:vAlign w:val="center"/>
          </w:tcPr>
          <w:p w14:paraId="5929BDF7">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低压铜铝过渡终端</w:t>
            </w:r>
          </w:p>
        </w:tc>
        <w:tc>
          <w:tcPr>
            <w:tcW w:w="1025" w:type="dxa"/>
            <w:vAlign w:val="center"/>
          </w:tcPr>
          <w:p w14:paraId="09649CFD">
            <w:pPr>
              <w:keepNext w:val="0"/>
              <w:keepLines w:val="0"/>
              <w:widowControl/>
              <w:suppressLineNumbers w:val="0"/>
              <w:jc w:val="center"/>
              <w:rPr>
                <w:rFonts w:hint="default"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套</w:t>
            </w:r>
          </w:p>
        </w:tc>
        <w:tc>
          <w:tcPr>
            <w:tcW w:w="1524" w:type="dxa"/>
            <w:vAlign w:val="center"/>
          </w:tcPr>
          <w:p w14:paraId="1FC823FD">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420</w:t>
            </w:r>
          </w:p>
        </w:tc>
        <w:tc>
          <w:tcPr>
            <w:tcW w:w="1070" w:type="dxa"/>
            <w:vAlign w:val="center"/>
          </w:tcPr>
          <w:p w14:paraId="5E12E5DB">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6FCD0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39B1902F">
            <w:pPr>
              <w:keepNext w:val="0"/>
              <w:keepLines w:val="0"/>
              <w:widowControl/>
              <w:suppressLineNumbers w:val="0"/>
              <w:jc w:val="center"/>
            </w:pPr>
          </w:p>
        </w:tc>
        <w:tc>
          <w:tcPr>
            <w:tcW w:w="3973" w:type="dxa"/>
            <w:vAlign w:val="center"/>
          </w:tcPr>
          <w:p w14:paraId="5AB98CAE">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35kV 中间接头（铝）</w:t>
            </w:r>
          </w:p>
        </w:tc>
        <w:tc>
          <w:tcPr>
            <w:tcW w:w="1025" w:type="dxa"/>
            <w:vAlign w:val="center"/>
          </w:tcPr>
          <w:p w14:paraId="41E416A3">
            <w:pPr>
              <w:keepNext w:val="0"/>
              <w:keepLines w:val="0"/>
              <w:widowControl/>
              <w:suppressLineNumbers w:val="0"/>
              <w:jc w:val="center"/>
              <w:rPr>
                <w:rFonts w:hint="eastAsia"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套</w:t>
            </w:r>
          </w:p>
        </w:tc>
        <w:tc>
          <w:tcPr>
            <w:tcW w:w="1524" w:type="dxa"/>
            <w:vAlign w:val="center"/>
          </w:tcPr>
          <w:p w14:paraId="6E890DC4">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8</w:t>
            </w:r>
          </w:p>
        </w:tc>
        <w:tc>
          <w:tcPr>
            <w:tcW w:w="1070" w:type="dxa"/>
            <w:vAlign w:val="center"/>
          </w:tcPr>
          <w:p w14:paraId="5AF4BD1E">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2A182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01720955">
            <w:pPr>
              <w:keepNext w:val="0"/>
              <w:keepLines w:val="0"/>
              <w:widowControl/>
              <w:suppressLineNumbers w:val="0"/>
              <w:jc w:val="center"/>
            </w:pPr>
          </w:p>
        </w:tc>
        <w:tc>
          <w:tcPr>
            <w:tcW w:w="3973" w:type="dxa"/>
            <w:vAlign w:val="center"/>
          </w:tcPr>
          <w:p w14:paraId="06D44ED1">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35kV 电缆头及辅材</w:t>
            </w:r>
          </w:p>
        </w:tc>
        <w:tc>
          <w:tcPr>
            <w:tcW w:w="1025" w:type="dxa"/>
            <w:vAlign w:val="center"/>
          </w:tcPr>
          <w:p w14:paraId="69771547">
            <w:pPr>
              <w:keepNext w:val="0"/>
              <w:keepLines w:val="0"/>
              <w:widowControl/>
              <w:suppressLineNumbers w:val="0"/>
              <w:jc w:val="center"/>
              <w:rPr>
                <w:rFonts w:hint="eastAsia"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套</w:t>
            </w:r>
          </w:p>
        </w:tc>
        <w:tc>
          <w:tcPr>
            <w:tcW w:w="1524" w:type="dxa"/>
            <w:vAlign w:val="center"/>
          </w:tcPr>
          <w:p w14:paraId="4C78FC06">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50</w:t>
            </w:r>
          </w:p>
        </w:tc>
        <w:tc>
          <w:tcPr>
            <w:tcW w:w="1070" w:type="dxa"/>
            <w:vAlign w:val="center"/>
          </w:tcPr>
          <w:p w14:paraId="42002366">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533CB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6F09BDF2">
            <w:pPr>
              <w:keepNext w:val="0"/>
              <w:keepLines w:val="0"/>
              <w:widowControl/>
              <w:suppressLineNumbers w:val="0"/>
              <w:jc w:val="center"/>
            </w:pPr>
          </w:p>
        </w:tc>
        <w:tc>
          <w:tcPr>
            <w:tcW w:w="3973" w:type="dxa"/>
            <w:vAlign w:val="center"/>
          </w:tcPr>
          <w:p w14:paraId="5D4E3DD1">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35kV 高压电缆绝缘实验</w:t>
            </w:r>
          </w:p>
        </w:tc>
        <w:tc>
          <w:tcPr>
            <w:tcW w:w="1025" w:type="dxa"/>
            <w:vAlign w:val="center"/>
          </w:tcPr>
          <w:p w14:paraId="3FCCE236">
            <w:pPr>
              <w:keepNext w:val="0"/>
              <w:keepLines w:val="0"/>
              <w:widowControl/>
              <w:suppressLineNumbers w:val="0"/>
              <w:jc w:val="center"/>
              <w:rPr>
                <w:rFonts w:hint="default"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项</w:t>
            </w:r>
          </w:p>
        </w:tc>
        <w:tc>
          <w:tcPr>
            <w:tcW w:w="1524" w:type="dxa"/>
            <w:vAlign w:val="center"/>
          </w:tcPr>
          <w:p w14:paraId="48A1D1B7">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1</w:t>
            </w:r>
          </w:p>
        </w:tc>
        <w:tc>
          <w:tcPr>
            <w:tcW w:w="1070" w:type="dxa"/>
            <w:vAlign w:val="center"/>
          </w:tcPr>
          <w:p w14:paraId="70A20F14">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7ADD7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0F333A05">
            <w:pPr>
              <w:keepNext w:val="0"/>
              <w:keepLines w:val="0"/>
              <w:widowControl/>
              <w:suppressLineNumbers w:val="0"/>
              <w:jc w:val="center"/>
            </w:pPr>
          </w:p>
        </w:tc>
        <w:tc>
          <w:tcPr>
            <w:tcW w:w="3973" w:type="dxa"/>
            <w:vAlign w:val="center"/>
          </w:tcPr>
          <w:p w14:paraId="1DB1D7CA">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直流电缆和低压电力电缆耐压和绝缘测试</w:t>
            </w:r>
          </w:p>
        </w:tc>
        <w:tc>
          <w:tcPr>
            <w:tcW w:w="1025" w:type="dxa"/>
            <w:vAlign w:val="center"/>
          </w:tcPr>
          <w:p w14:paraId="33FCCED7">
            <w:pPr>
              <w:keepNext w:val="0"/>
              <w:keepLines w:val="0"/>
              <w:widowControl/>
              <w:suppressLineNumbers w:val="0"/>
              <w:jc w:val="center"/>
              <w:rPr>
                <w:rFonts w:hint="eastAsia"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项</w:t>
            </w:r>
          </w:p>
        </w:tc>
        <w:tc>
          <w:tcPr>
            <w:tcW w:w="1524" w:type="dxa"/>
            <w:vAlign w:val="center"/>
          </w:tcPr>
          <w:p w14:paraId="2AB628B6">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1</w:t>
            </w:r>
          </w:p>
        </w:tc>
        <w:tc>
          <w:tcPr>
            <w:tcW w:w="1070" w:type="dxa"/>
            <w:vAlign w:val="center"/>
          </w:tcPr>
          <w:p w14:paraId="0E2CE002">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6118B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31972AC7">
            <w:pPr>
              <w:keepNext w:val="0"/>
              <w:keepLines w:val="0"/>
              <w:widowControl/>
              <w:suppressLineNumbers w:val="0"/>
              <w:jc w:val="center"/>
            </w:pPr>
          </w:p>
        </w:tc>
        <w:tc>
          <w:tcPr>
            <w:tcW w:w="3973" w:type="dxa"/>
            <w:vAlign w:val="center"/>
          </w:tcPr>
          <w:p w14:paraId="2E7001A2">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电缆桥架 100x100</w:t>
            </w:r>
          </w:p>
        </w:tc>
        <w:tc>
          <w:tcPr>
            <w:tcW w:w="1025" w:type="dxa"/>
            <w:vAlign w:val="center"/>
          </w:tcPr>
          <w:p w14:paraId="08B38720">
            <w:pPr>
              <w:keepNext w:val="0"/>
              <w:keepLines w:val="0"/>
              <w:widowControl/>
              <w:suppressLineNumbers w:val="0"/>
              <w:jc w:val="center"/>
              <w:rPr>
                <w:rFonts w:hint="eastAsia"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km</w:t>
            </w:r>
          </w:p>
        </w:tc>
        <w:tc>
          <w:tcPr>
            <w:tcW w:w="1524" w:type="dxa"/>
            <w:vAlign w:val="center"/>
          </w:tcPr>
          <w:p w14:paraId="792C3165">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15</w:t>
            </w:r>
          </w:p>
        </w:tc>
        <w:tc>
          <w:tcPr>
            <w:tcW w:w="1070" w:type="dxa"/>
            <w:vAlign w:val="center"/>
          </w:tcPr>
          <w:p w14:paraId="534C312F">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62510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5E92725C">
            <w:pPr>
              <w:keepNext w:val="0"/>
              <w:keepLines w:val="0"/>
              <w:widowControl/>
              <w:suppressLineNumbers w:val="0"/>
              <w:jc w:val="center"/>
            </w:pPr>
          </w:p>
        </w:tc>
        <w:tc>
          <w:tcPr>
            <w:tcW w:w="3973" w:type="dxa"/>
            <w:vAlign w:val="center"/>
          </w:tcPr>
          <w:p w14:paraId="07437568">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电缆桥架 200x100</w:t>
            </w:r>
          </w:p>
        </w:tc>
        <w:tc>
          <w:tcPr>
            <w:tcW w:w="1025" w:type="dxa"/>
            <w:vAlign w:val="center"/>
          </w:tcPr>
          <w:p w14:paraId="754E268A">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km</w:t>
            </w:r>
          </w:p>
        </w:tc>
        <w:tc>
          <w:tcPr>
            <w:tcW w:w="1524" w:type="dxa"/>
            <w:vAlign w:val="center"/>
          </w:tcPr>
          <w:p w14:paraId="36218B2F">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7</w:t>
            </w:r>
          </w:p>
        </w:tc>
        <w:tc>
          <w:tcPr>
            <w:tcW w:w="1070" w:type="dxa"/>
            <w:vAlign w:val="center"/>
          </w:tcPr>
          <w:p w14:paraId="01A8C25A">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56FF1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53EDE87C">
            <w:pPr>
              <w:keepNext w:val="0"/>
              <w:keepLines w:val="0"/>
              <w:widowControl/>
              <w:suppressLineNumbers w:val="0"/>
              <w:jc w:val="center"/>
            </w:pPr>
          </w:p>
        </w:tc>
        <w:tc>
          <w:tcPr>
            <w:tcW w:w="3973" w:type="dxa"/>
            <w:vAlign w:val="center"/>
          </w:tcPr>
          <w:p w14:paraId="7B92152A">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电缆桥架 400x100</w:t>
            </w:r>
          </w:p>
        </w:tc>
        <w:tc>
          <w:tcPr>
            <w:tcW w:w="1025" w:type="dxa"/>
            <w:vAlign w:val="center"/>
          </w:tcPr>
          <w:p w14:paraId="2EEE746C">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km</w:t>
            </w:r>
          </w:p>
        </w:tc>
        <w:tc>
          <w:tcPr>
            <w:tcW w:w="1524" w:type="dxa"/>
            <w:vAlign w:val="center"/>
          </w:tcPr>
          <w:p w14:paraId="08EC7588">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5</w:t>
            </w:r>
          </w:p>
        </w:tc>
        <w:tc>
          <w:tcPr>
            <w:tcW w:w="1070" w:type="dxa"/>
            <w:vAlign w:val="center"/>
          </w:tcPr>
          <w:p w14:paraId="52732490">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620E1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6A26EEFF">
            <w:pPr>
              <w:keepNext w:val="0"/>
              <w:keepLines w:val="0"/>
              <w:widowControl/>
              <w:suppressLineNumbers w:val="0"/>
              <w:jc w:val="center"/>
            </w:pPr>
          </w:p>
        </w:tc>
        <w:tc>
          <w:tcPr>
            <w:tcW w:w="3973" w:type="dxa"/>
            <w:vAlign w:val="center"/>
          </w:tcPr>
          <w:p w14:paraId="1B85ADB3">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电力穿线管 PE 管Φ50</w:t>
            </w:r>
          </w:p>
        </w:tc>
        <w:tc>
          <w:tcPr>
            <w:tcW w:w="1025" w:type="dxa"/>
            <w:vAlign w:val="center"/>
          </w:tcPr>
          <w:p w14:paraId="37D6801B">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km</w:t>
            </w:r>
          </w:p>
        </w:tc>
        <w:tc>
          <w:tcPr>
            <w:tcW w:w="1524" w:type="dxa"/>
            <w:vAlign w:val="center"/>
          </w:tcPr>
          <w:p w14:paraId="1DC647C0">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40</w:t>
            </w:r>
          </w:p>
        </w:tc>
        <w:tc>
          <w:tcPr>
            <w:tcW w:w="1070" w:type="dxa"/>
            <w:vAlign w:val="center"/>
          </w:tcPr>
          <w:p w14:paraId="68BD9358">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1AF47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3674FC1C">
            <w:pPr>
              <w:keepNext w:val="0"/>
              <w:keepLines w:val="0"/>
              <w:widowControl/>
              <w:suppressLineNumbers w:val="0"/>
              <w:jc w:val="center"/>
            </w:pPr>
          </w:p>
        </w:tc>
        <w:tc>
          <w:tcPr>
            <w:tcW w:w="3973" w:type="dxa"/>
            <w:vAlign w:val="center"/>
          </w:tcPr>
          <w:p w14:paraId="640E9512">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电力穿线管 PE 管Φ100</w:t>
            </w:r>
          </w:p>
        </w:tc>
        <w:tc>
          <w:tcPr>
            <w:tcW w:w="1025" w:type="dxa"/>
            <w:vAlign w:val="center"/>
          </w:tcPr>
          <w:p w14:paraId="783E9876">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km</w:t>
            </w:r>
          </w:p>
        </w:tc>
        <w:tc>
          <w:tcPr>
            <w:tcW w:w="1524" w:type="dxa"/>
            <w:vAlign w:val="center"/>
          </w:tcPr>
          <w:p w14:paraId="33268CA6">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0.8</w:t>
            </w:r>
          </w:p>
        </w:tc>
        <w:tc>
          <w:tcPr>
            <w:tcW w:w="1070" w:type="dxa"/>
            <w:vAlign w:val="center"/>
          </w:tcPr>
          <w:p w14:paraId="61F252EE">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6C101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6756B2DE">
            <w:pPr>
              <w:keepNext w:val="0"/>
              <w:keepLines w:val="0"/>
              <w:widowControl/>
              <w:suppressLineNumbers w:val="0"/>
              <w:jc w:val="center"/>
            </w:pPr>
          </w:p>
        </w:tc>
        <w:tc>
          <w:tcPr>
            <w:tcW w:w="3973" w:type="dxa"/>
            <w:vAlign w:val="center"/>
          </w:tcPr>
          <w:p w14:paraId="58746033">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电力穿线钢管Φ200</w:t>
            </w:r>
          </w:p>
        </w:tc>
        <w:tc>
          <w:tcPr>
            <w:tcW w:w="1025" w:type="dxa"/>
            <w:vAlign w:val="center"/>
          </w:tcPr>
          <w:p w14:paraId="1570EE3E">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m</w:t>
            </w:r>
          </w:p>
        </w:tc>
        <w:tc>
          <w:tcPr>
            <w:tcW w:w="1524" w:type="dxa"/>
            <w:vAlign w:val="center"/>
          </w:tcPr>
          <w:p w14:paraId="1253630C">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300</w:t>
            </w:r>
          </w:p>
        </w:tc>
        <w:tc>
          <w:tcPr>
            <w:tcW w:w="1070" w:type="dxa"/>
            <w:vAlign w:val="center"/>
          </w:tcPr>
          <w:p w14:paraId="37E6F3EE">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13E3D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2D7A6F44">
            <w:pPr>
              <w:keepNext w:val="0"/>
              <w:keepLines w:val="0"/>
              <w:widowControl/>
              <w:suppressLineNumbers w:val="0"/>
              <w:jc w:val="center"/>
            </w:pPr>
          </w:p>
        </w:tc>
        <w:tc>
          <w:tcPr>
            <w:tcW w:w="3973" w:type="dxa"/>
            <w:vAlign w:val="center"/>
          </w:tcPr>
          <w:p w14:paraId="187CE4A4">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电力穿线钢管Φ100</w:t>
            </w:r>
          </w:p>
        </w:tc>
        <w:tc>
          <w:tcPr>
            <w:tcW w:w="1025" w:type="dxa"/>
            <w:vAlign w:val="center"/>
          </w:tcPr>
          <w:p w14:paraId="36F65F1C">
            <w:pPr>
              <w:keepNext w:val="0"/>
              <w:keepLines w:val="0"/>
              <w:widowControl/>
              <w:suppressLineNumbers w:val="0"/>
              <w:jc w:val="center"/>
              <w:rPr>
                <w:rFonts w:hint="eastAsia"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m</w:t>
            </w:r>
          </w:p>
        </w:tc>
        <w:tc>
          <w:tcPr>
            <w:tcW w:w="1524" w:type="dxa"/>
            <w:vAlign w:val="center"/>
          </w:tcPr>
          <w:p w14:paraId="2C0D70F7">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1000</w:t>
            </w:r>
          </w:p>
        </w:tc>
        <w:tc>
          <w:tcPr>
            <w:tcW w:w="1070" w:type="dxa"/>
            <w:vAlign w:val="center"/>
          </w:tcPr>
          <w:p w14:paraId="01DF15E5">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0DBEB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03DB705F">
            <w:pPr>
              <w:keepNext w:val="0"/>
              <w:keepLines w:val="0"/>
              <w:widowControl/>
              <w:suppressLineNumbers w:val="0"/>
              <w:jc w:val="center"/>
            </w:pPr>
          </w:p>
        </w:tc>
        <w:tc>
          <w:tcPr>
            <w:tcW w:w="3973" w:type="dxa"/>
            <w:vAlign w:val="center"/>
          </w:tcPr>
          <w:p w14:paraId="4B0BD6F5">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电力穿线钢管Φ50</w:t>
            </w:r>
          </w:p>
        </w:tc>
        <w:tc>
          <w:tcPr>
            <w:tcW w:w="1025" w:type="dxa"/>
            <w:vAlign w:val="center"/>
          </w:tcPr>
          <w:p w14:paraId="2BADEC2D">
            <w:pPr>
              <w:keepNext w:val="0"/>
              <w:keepLines w:val="0"/>
              <w:widowControl/>
              <w:suppressLineNumbers w:val="0"/>
              <w:jc w:val="center"/>
              <w:rPr>
                <w:rFonts w:hint="eastAsia"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m</w:t>
            </w:r>
          </w:p>
        </w:tc>
        <w:tc>
          <w:tcPr>
            <w:tcW w:w="1524" w:type="dxa"/>
            <w:vAlign w:val="center"/>
          </w:tcPr>
          <w:p w14:paraId="290F896D">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500</w:t>
            </w:r>
          </w:p>
        </w:tc>
        <w:tc>
          <w:tcPr>
            <w:tcW w:w="1070" w:type="dxa"/>
            <w:vAlign w:val="center"/>
          </w:tcPr>
          <w:p w14:paraId="154759F5">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60992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799408DD">
            <w:pPr>
              <w:keepNext w:val="0"/>
              <w:keepLines w:val="0"/>
              <w:widowControl/>
              <w:suppressLineNumbers w:val="0"/>
              <w:jc w:val="center"/>
            </w:pPr>
          </w:p>
        </w:tc>
        <w:tc>
          <w:tcPr>
            <w:tcW w:w="3973" w:type="dxa"/>
            <w:vAlign w:val="center"/>
          </w:tcPr>
          <w:p w14:paraId="7222DBDF">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标识、标牌</w:t>
            </w:r>
          </w:p>
        </w:tc>
        <w:tc>
          <w:tcPr>
            <w:tcW w:w="1025" w:type="dxa"/>
            <w:vAlign w:val="center"/>
          </w:tcPr>
          <w:p w14:paraId="0830F1D7">
            <w:pPr>
              <w:keepNext w:val="0"/>
              <w:keepLines w:val="0"/>
              <w:widowControl/>
              <w:suppressLineNumbers w:val="0"/>
              <w:jc w:val="center"/>
              <w:rPr>
                <w:rFonts w:hint="default"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项</w:t>
            </w:r>
          </w:p>
        </w:tc>
        <w:tc>
          <w:tcPr>
            <w:tcW w:w="1524" w:type="dxa"/>
            <w:vAlign w:val="center"/>
          </w:tcPr>
          <w:p w14:paraId="0E44823C">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1</w:t>
            </w:r>
          </w:p>
        </w:tc>
        <w:tc>
          <w:tcPr>
            <w:tcW w:w="1070" w:type="dxa"/>
            <w:vAlign w:val="center"/>
          </w:tcPr>
          <w:p w14:paraId="2E2431F3">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308D7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1EAFC5CC">
            <w:pPr>
              <w:keepNext w:val="0"/>
              <w:keepLines w:val="0"/>
              <w:widowControl/>
              <w:suppressLineNumbers w:val="0"/>
              <w:jc w:val="center"/>
            </w:pPr>
          </w:p>
        </w:tc>
        <w:tc>
          <w:tcPr>
            <w:tcW w:w="3973" w:type="dxa"/>
            <w:vAlign w:val="center"/>
          </w:tcPr>
          <w:p w14:paraId="778CFFC8">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无机防火堵料 CP636</w:t>
            </w:r>
          </w:p>
        </w:tc>
        <w:tc>
          <w:tcPr>
            <w:tcW w:w="1025" w:type="dxa"/>
            <w:vAlign w:val="center"/>
          </w:tcPr>
          <w:p w14:paraId="434DDE6C">
            <w:pPr>
              <w:keepNext w:val="0"/>
              <w:keepLines w:val="0"/>
              <w:widowControl/>
              <w:suppressLineNumbers w:val="0"/>
              <w:jc w:val="center"/>
              <w:rPr>
                <w:rFonts w:hint="default"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t</w:t>
            </w:r>
          </w:p>
        </w:tc>
        <w:tc>
          <w:tcPr>
            <w:tcW w:w="1524" w:type="dxa"/>
            <w:vAlign w:val="center"/>
          </w:tcPr>
          <w:p w14:paraId="63943D3F">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3</w:t>
            </w:r>
          </w:p>
        </w:tc>
        <w:tc>
          <w:tcPr>
            <w:tcW w:w="1070" w:type="dxa"/>
            <w:vAlign w:val="center"/>
          </w:tcPr>
          <w:p w14:paraId="0AA99C02">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14494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087ED4C5">
            <w:pPr>
              <w:keepNext w:val="0"/>
              <w:keepLines w:val="0"/>
              <w:widowControl/>
              <w:suppressLineNumbers w:val="0"/>
              <w:jc w:val="center"/>
            </w:pPr>
          </w:p>
        </w:tc>
        <w:tc>
          <w:tcPr>
            <w:tcW w:w="3973" w:type="dxa"/>
            <w:vAlign w:val="center"/>
          </w:tcPr>
          <w:p w14:paraId="6667425A">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有机防火堵料 FS-ONE</w:t>
            </w:r>
          </w:p>
        </w:tc>
        <w:tc>
          <w:tcPr>
            <w:tcW w:w="1025" w:type="dxa"/>
            <w:vAlign w:val="center"/>
          </w:tcPr>
          <w:p w14:paraId="54624669">
            <w:pPr>
              <w:keepNext w:val="0"/>
              <w:keepLines w:val="0"/>
              <w:widowControl/>
              <w:suppressLineNumbers w:val="0"/>
              <w:jc w:val="center"/>
              <w:rPr>
                <w:rFonts w:hint="eastAsia"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t</w:t>
            </w:r>
          </w:p>
        </w:tc>
        <w:tc>
          <w:tcPr>
            <w:tcW w:w="1524" w:type="dxa"/>
            <w:vAlign w:val="center"/>
          </w:tcPr>
          <w:p w14:paraId="6D904687">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3</w:t>
            </w:r>
          </w:p>
        </w:tc>
        <w:tc>
          <w:tcPr>
            <w:tcW w:w="1070" w:type="dxa"/>
            <w:vAlign w:val="center"/>
          </w:tcPr>
          <w:p w14:paraId="01ADC437">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0D4F5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713E9D15">
            <w:pPr>
              <w:keepNext w:val="0"/>
              <w:keepLines w:val="0"/>
              <w:widowControl/>
              <w:suppressLineNumbers w:val="0"/>
              <w:jc w:val="center"/>
            </w:pPr>
          </w:p>
        </w:tc>
        <w:tc>
          <w:tcPr>
            <w:tcW w:w="3973" w:type="dxa"/>
            <w:vAlign w:val="center"/>
          </w:tcPr>
          <w:p w14:paraId="567F0F90">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防火涂料 CP679A</w:t>
            </w:r>
          </w:p>
        </w:tc>
        <w:tc>
          <w:tcPr>
            <w:tcW w:w="1025" w:type="dxa"/>
            <w:vAlign w:val="center"/>
          </w:tcPr>
          <w:p w14:paraId="0D55A044">
            <w:pPr>
              <w:keepNext w:val="0"/>
              <w:keepLines w:val="0"/>
              <w:widowControl/>
              <w:suppressLineNumbers w:val="0"/>
              <w:jc w:val="center"/>
              <w:rPr>
                <w:rFonts w:hint="eastAsia"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t</w:t>
            </w:r>
          </w:p>
        </w:tc>
        <w:tc>
          <w:tcPr>
            <w:tcW w:w="1524" w:type="dxa"/>
            <w:vAlign w:val="center"/>
          </w:tcPr>
          <w:p w14:paraId="35EBB4F6">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3</w:t>
            </w:r>
          </w:p>
        </w:tc>
        <w:tc>
          <w:tcPr>
            <w:tcW w:w="1070" w:type="dxa"/>
            <w:vAlign w:val="center"/>
          </w:tcPr>
          <w:p w14:paraId="7045DC65">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18854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03A8F723">
            <w:pPr>
              <w:keepNext w:val="0"/>
              <w:keepLines w:val="0"/>
              <w:widowControl/>
              <w:suppressLineNumbers w:val="0"/>
              <w:jc w:val="center"/>
              <w:rPr>
                <w:rFonts w:hint="default" w:eastAsia="宋体"/>
                <w:lang w:val="en-US" w:eastAsia="zh-CN"/>
              </w:rPr>
            </w:pPr>
            <w:r>
              <w:rPr>
                <w:rFonts w:hint="eastAsia"/>
                <w:lang w:val="en-US" w:eastAsia="zh-CN"/>
              </w:rPr>
              <w:t>1.3.2</w:t>
            </w:r>
          </w:p>
        </w:tc>
        <w:tc>
          <w:tcPr>
            <w:tcW w:w="3973" w:type="dxa"/>
            <w:vAlign w:val="center"/>
          </w:tcPr>
          <w:p w14:paraId="1D8A273B">
            <w:pPr>
              <w:keepNext w:val="0"/>
              <w:keepLines w:val="0"/>
              <w:widowControl/>
              <w:suppressLineNumbers w:val="0"/>
              <w:jc w:val="left"/>
              <w:rPr>
                <w:rFonts w:hint="default"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架空线路部分</w:t>
            </w:r>
          </w:p>
        </w:tc>
        <w:tc>
          <w:tcPr>
            <w:tcW w:w="1025" w:type="dxa"/>
            <w:vAlign w:val="center"/>
          </w:tcPr>
          <w:p w14:paraId="5F5B9B27">
            <w:pPr>
              <w:keepNext w:val="0"/>
              <w:keepLines w:val="0"/>
              <w:widowControl/>
              <w:suppressLineNumbers w:val="0"/>
              <w:jc w:val="center"/>
              <w:rPr>
                <w:rFonts w:hint="eastAsia" w:ascii="仿宋_GB2312" w:hAnsi="仿宋_GB2312" w:eastAsia="仿宋_GB2312" w:cs="仿宋_GB2312"/>
                <w:color w:val="000000"/>
                <w:kern w:val="0"/>
                <w:sz w:val="20"/>
                <w:szCs w:val="20"/>
                <w:lang w:val="en-US" w:eastAsia="zh-CN" w:bidi="ar"/>
              </w:rPr>
            </w:pPr>
          </w:p>
        </w:tc>
        <w:tc>
          <w:tcPr>
            <w:tcW w:w="1524" w:type="dxa"/>
            <w:vAlign w:val="center"/>
          </w:tcPr>
          <w:p w14:paraId="03E98B80">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c>
          <w:tcPr>
            <w:tcW w:w="1070" w:type="dxa"/>
            <w:vAlign w:val="center"/>
          </w:tcPr>
          <w:p w14:paraId="64081F10">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72DDC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12D2CAC4">
            <w:pPr>
              <w:keepNext w:val="0"/>
              <w:keepLines w:val="0"/>
              <w:widowControl/>
              <w:suppressLineNumbers w:val="0"/>
              <w:jc w:val="center"/>
              <w:rPr>
                <w:rFonts w:hint="eastAsia"/>
                <w:lang w:val="en-US" w:eastAsia="zh-CN"/>
              </w:rPr>
            </w:pPr>
          </w:p>
        </w:tc>
        <w:tc>
          <w:tcPr>
            <w:tcW w:w="3973" w:type="dxa"/>
            <w:vAlign w:val="center"/>
          </w:tcPr>
          <w:p w14:paraId="28703939">
            <w:pPr>
              <w:keepNext w:val="0"/>
              <w:keepLines w:val="0"/>
              <w:widowControl/>
              <w:suppressLineNumbers w:val="0"/>
              <w:jc w:val="left"/>
              <w:rPr>
                <w:rFonts w:hint="eastAsia"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同塔双回钢芯铝合金绞线 JNRLH1/LB20A-240/30</w:t>
            </w:r>
          </w:p>
        </w:tc>
        <w:tc>
          <w:tcPr>
            <w:tcW w:w="1025" w:type="dxa"/>
            <w:vAlign w:val="center"/>
          </w:tcPr>
          <w:p w14:paraId="7102AA1D">
            <w:pPr>
              <w:keepNext w:val="0"/>
              <w:keepLines w:val="0"/>
              <w:widowControl/>
              <w:suppressLineNumbers w:val="0"/>
              <w:jc w:val="center"/>
              <w:rPr>
                <w:rFonts w:hint="eastAsia"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km</w:t>
            </w:r>
          </w:p>
        </w:tc>
        <w:tc>
          <w:tcPr>
            <w:tcW w:w="1524" w:type="dxa"/>
            <w:vAlign w:val="center"/>
          </w:tcPr>
          <w:p w14:paraId="6D498193">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6</w:t>
            </w:r>
          </w:p>
        </w:tc>
        <w:tc>
          <w:tcPr>
            <w:tcW w:w="1070" w:type="dxa"/>
            <w:vAlign w:val="center"/>
          </w:tcPr>
          <w:p w14:paraId="0D0E637D">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6F252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450191A4">
            <w:pPr>
              <w:keepNext w:val="0"/>
              <w:keepLines w:val="0"/>
              <w:widowControl/>
              <w:suppressLineNumbers w:val="0"/>
              <w:jc w:val="center"/>
              <w:rPr>
                <w:rFonts w:hint="eastAsia"/>
                <w:lang w:val="en-US" w:eastAsia="zh-CN"/>
              </w:rPr>
            </w:pPr>
          </w:p>
        </w:tc>
        <w:tc>
          <w:tcPr>
            <w:tcW w:w="3973" w:type="dxa"/>
            <w:vAlign w:val="center"/>
          </w:tcPr>
          <w:p w14:paraId="7DE17CB0">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OPGW 光缆 OPGW-24B1-50</w:t>
            </w:r>
          </w:p>
        </w:tc>
        <w:tc>
          <w:tcPr>
            <w:tcW w:w="1025" w:type="dxa"/>
            <w:vAlign w:val="center"/>
          </w:tcPr>
          <w:p w14:paraId="0B80C452">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km</w:t>
            </w:r>
          </w:p>
        </w:tc>
        <w:tc>
          <w:tcPr>
            <w:tcW w:w="1524" w:type="dxa"/>
            <w:vAlign w:val="center"/>
          </w:tcPr>
          <w:p w14:paraId="0CCD7D49">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6</w:t>
            </w:r>
          </w:p>
        </w:tc>
        <w:tc>
          <w:tcPr>
            <w:tcW w:w="1070" w:type="dxa"/>
            <w:vAlign w:val="center"/>
          </w:tcPr>
          <w:p w14:paraId="5B993BE2">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039FD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2E938B31">
            <w:pPr>
              <w:keepNext w:val="0"/>
              <w:keepLines w:val="0"/>
              <w:widowControl/>
              <w:suppressLineNumbers w:val="0"/>
              <w:jc w:val="center"/>
              <w:rPr>
                <w:rFonts w:hint="default"/>
                <w:lang w:val="en-US" w:eastAsia="zh-CN"/>
              </w:rPr>
            </w:pPr>
            <w:r>
              <w:rPr>
                <w:rFonts w:hint="eastAsia"/>
                <w:lang w:val="en-US" w:eastAsia="zh-CN"/>
              </w:rPr>
              <w:t>1.4</w:t>
            </w:r>
          </w:p>
        </w:tc>
        <w:tc>
          <w:tcPr>
            <w:tcW w:w="3973" w:type="dxa"/>
            <w:vAlign w:val="center"/>
          </w:tcPr>
          <w:p w14:paraId="2DE54B7E">
            <w:pPr>
              <w:keepNext w:val="0"/>
              <w:keepLines w:val="0"/>
              <w:widowControl/>
              <w:suppressLineNumbers w:val="0"/>
              <w:jc w:val="left"/>
              <w:rPr>
                <w:rFonts w:hint="default"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接地</w:t>
            </w:r>
          </w:p>
        </w:tc>
        <w:tc>
          <w:tcPr>
            <w:tcW w:w="1025" w:type="dxa"/>
            <w:vAlign w:val="center"/>
          </w:tcPr>
          <w:p w14:paraId="2B89D9F3">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c>
          <w:tcPr>
            <w:tcW w:w="1524" w:type="dxa"/>
            <w:vAlign w:val="center"/>
          </w:tcPr>
          <w:p w14:paraId="0956C174">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c>
          <w:tcPr>
            <w:tcW w:w="1070" w:type="dxa"/>
            <w:vAlign w:val="center"/>
          </w:tcPr>
          <w:p w14:paraId="37A66758">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022AD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58AEA1B0">
            <w:pPr>
              <w:keepNext w:val="0"/>
              <w:keepLines w:val="0"/>
              <w:widowControl/>
              <w:suppressLineNumbers w:val="0"/>
              <w:jc w:val="center"/>
              <w:rPr>
                <w:rFonts w:hint="eastAsia"/>
                <w:lang w:val="en-US" w:eastAsia="zh-CN"/>
              </w:rPr>
            </w:pPr>
          </w:p>
        </w:tc>
        <w:tc>
          <w:tcPr>
            <w:tcW w:w="3973" w:type="dxa"/>
            <w:vAlign w:val="center"/>
          </w:tcPr>
          <w:p w14:paraId="5E29DE1C">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热镀锌扁钢-40*4</w:t>
            </w:r>
          </w:p>
        </w:tc>
        <w:tc>
          <w:tcPr>
            <w:tcW w:w="1025" w:type="dxa"/>
            <w:vAlign w:val="center"/>
          </w:tcPr>
          <w:p w14:paraId="36B2AB66">
            <w:pPr>
              <w:keepNext w:val="0"/>
              <w:keepLines w:val="0"/>
              <w:widowControl/>
              <w:suppressLineNumbers w:val="0"/>
              <w:jc w:val="center"/>
              <w:rPr>
                <w:rFonts w:hint="default"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m</w:t>
            </w:r>
          </w:p>
        </w:tc>
        <w:tc>
          <w:tcPr>
            <w:tcW w:w="1524" w:type="dxa"/>
            <w:vAlign w:val="center"/>
          </w:tcPr>
          <w:p w14:paraId="00DB87B3">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7000</w:t>
            </w:r>
          </w:p>
        </w:tc>
        <w:tc>
          <w:tcPr>
            <w:tcW w:w="1070" w:type="dxa"/>
            <w:vAlign w:val="center"/>
          </w:tcPr>
          <w:p w14:paraId="4A2024FC">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03E58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2752012D">
            <w:pPr>
              <w:keepNext w:val="0"/>
              <w:keepLines w:val="0"/>
              <w:widowControl/>
              <w:suppressLineNumbers w:val="0"/>
              <w:jc w:val="center"/>
              <w:rPr>
                <w:rFonts w:hint="eastAsia"/>
                <w:lang w:val="en-US" w:eastAsia="zh-CN"/>
              </w:rPr>
            </w:pPr>
          </w:p>
        </w:tc>
        <w:tc>
          <w:tcPr>
            <w:tcW w:w="3973" w:type="dxa"/>
            <w:vAlign w:val="center"/>
          </w:tcPr>
          <w:p w14:paraId="47D4158C">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热镀锌扁钢-50*5</w:t>
            </w:r>
          </w:p>
        </w:tc>
        <w:tc>
          <w:tcPr>
            <w:tcW w:w="1025" w:type="dxa"/>
            <w:vAlign w:val="center"/>
          </w:tcPr>
          <w:p w14:paraId="70EA2C7A">
            <w:pPr>
              <w:keepNext w:val="0"/>
              <w:keepLines w:val="0"/>
              <w:widowControl/>
              <w:suppressLineNumbers w:val="0"/>
              <w:jc w:val="center"/>
              <w:rPr>
                <w:rFonts w:hint="eastAsia"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m</w:t>
            </w:r>
          </w:p>
        </w:tc>
        <w:tc>
          <w:tcPr>
            <w:tcW w:w="1524" w:type="dxa"/>
            <w:vAlign w:val="center"/>
          </w:tcPr>
          <w:p w14:paraId="5D72F8E6">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48000</w:t>
            </w:r>
          </w:p>
        </w:tc>
        <w:tc>
          <w:tcPr>
            <w:tcW w:w="1070" w:type="dxa"/>
            <w:vAlign w:val="center"/>
          </w:tcPr>
          <w:p w14:paraId="4E7AF96B">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1ACA9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270773F3">
            <w:pPr>
              <w:keepNext w:val="0"/>
              <w:keepLines w:val="0"/>
              <w:widowControl/>
              <w:suppressLineNumbers w:val="0"/>
              <w:jc w:val="center"/>
              <w:rPr>
                <w:rFonts w:hint="eastAsia"/>
                <w:lang w:val="en-US" w:eastAsia="zh-CN"/>
              </w:rPr>
            </w:pPr>
          </w:p>
        </w:tc>
        <w:tc>
          <w:tcPr>
            <w:tcW w:w="3973" w:type="dxa"/>
            <w:vAlign w:val="center"/>
          </w:tcPr>
          <w:p w14:paraId="7B96CE18">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接地线 BVR-1x4</w:t>
            </w:r>
          </w:p>
        </w:tc>
        <w:tc>
          <w:tcPr>
            <w:tcW w:w="1025" w:type="dxa"/>
            <w:vAlign w:val="center"/>
          </w:tcPr>
          <w:p w14:paraId="32AC325A">
            <w:pPr>
              <w:keepNext w:val="0"/>
              <w:keepLines w:val="0"/>
              <w:widowControl/>
              <w:suppressLineNumbers w:val="0"/>
              <w:jc w:val="center"/>
              <w:rPr>
                <w:rFonts w:hint="eastAsia"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m</w:t>
            </w:r>
          </w:p>
        </w:tc>
        <w:tc>
          <w:tcPr>
            <w:tcW w:w="1524" w:type="dxa"/>
            <w:vAlign w:val="center"/>
          </w:tcPr>
          <w:p w14:paraId="57CBAC95">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22000</w:t>
            </w:r>
          </w:p>
        </w:tc>
        <w:tc>
          <w:tcPr>
            <w:tcW w:w="1070" w:type="dxa"/>
            <w:vAlign w:val="center"/>
          </w:tcPr>
          <w:p w14:paraId="312F8872">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22716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6C9AB1B1">
            <w:pPr>
              <w:keepNext w:val="0"/>
              <w:keepLines w:val="0"/>
              <w:widowControl/>
              <w:suppressLineNumbers w:val="0"/>
              <w:jc w:val="center"/>
              <w:rPr>
                <w:rFonts w:hint="eastAsia"/>
                <w:lang w:val="en-US" w:eastAsia="zh-CN"/>
              </w:rPr>
            </w:pPr>
          </w:p>
        </w:tc>
        <w:tc>
          <w:tcPr>
            <w:tcW w:w="3973" w:type="dxa"/>
            <w:vAlign w:val="center"/>
          </w:tcPr>
          <w:p w14:paraId="476090F2">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接地线 BVR-1x70</w:t>
            </w:r>
          </w:p>
        </w:tc>
        <w:tc>
          <w:tcPr>
            <w:tcW w:w="1025" w:type="dxa"/>
            <w:vAlign w:val="center"/>
          </w:tcPr>
          <w:p w14:paraId="5BB6BFD2">
            <w:pPr>
              <w:keepNext w:val="0"/>
              <w:keepLines w:val="0"/>
              <w:widowControl/>
              <w:suppressLineNumbers w:val="0"/>
              <w:jc w:val="center"/>
              <w:rPr>
                <w:rFonts w:hint="eastAsia"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m</w:t>
            </w:r>
          </w:p>
        </w:tc>
        <w:tc>
          <w:tcPr>
            <w:tcW w:w="1524" w:type="dxa"/>
            <w:vAlign w:val="center"/>
          </w:tcPr>
          <w:p w14:paraId="388B6BE0">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1000</w:t>
            </w:r>
          </w:p>
        </w:tc>
        <w:tc>
          <w:tcPr>
            <w:tcW w:w="1070" w:type="dxa"/>
            <w:vAlign w:val="center"/>
          </w:tcPr>
          <w:p w14:paraId="34F5B55F">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7C2D2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005D3F16">
            <w:pPr>
              <w:keepNext w:val="0"/>
              <w:keepLines w:val="0"/>
              <w:widowControl/>
              <w:suppressLineNumbers w:val="0"/>
              <w:jc w:val="center"/>
              <w:rPr>
                <w:rFonts w:hint="eastAsia"/>
                <w:lang w:val="en-US" w:eastAsia="zh-CN"/>
              </w:rPr>
            </w:pPr>
          </w:p>
        </w:tc>
        <w:tc>
          <w:tcPr>
            <w:tcW w:w="3973" w:type="dxa"/>
            <w:vAlign w:val="center"/>
          </w:tcPr>
          <w:p w14:paraId="1DA2F6FE">
            <w:pPr>
              <w:keepNext w:val="0"/>
              <w:keepLines w:val="0"/>
              <w:widowControl/>
              <w:suppressLineNumbers w:val="0"/>
              <w:jc w:val="left"/>
              <w:rPr>
                <w:rFonts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垂直接地极 DN50 L=2500mm</w:t>
            </w:r>
          </w:p>
        </w:tc>
        <w:tc>
          <w:tcPr>
            <w:tcW w:w="1025" w:type="dxa"/>
            <w:vAlign w:val="center"/>
          </w:tcPr>
          <w:p w14:paraId="1EE5979C">
            <w:pPr>
              <w:keepNext w:val="0"/>
              <w:keepLines w:val="0"/>
              <w:widowControl/>
              <w:suppressLineNumbers w:val="0"/>
              <w:jc w:val="center"/>
              <w:rPr>
                <w:rFonts w:hint="default"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根</w:t>
            </w:r>
          </w:p>
        </w:tc>
        <w:tc>
          <w:tcPr>
            <w:tcW w:w="1524" w:type="dxa"/>
            <w:vAlign w:val="center"/>
          </w:tcPr>
          <w:p w14:paraId="42D0B4BB">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450</w:t>
            </w:r>
          </w:p>
        </w:tc>
        <w:tc>
          <w:tcPr>
            <w:tcW w:w="1070" w:type="dxa"/>
            <w:vAlign w:val="center"/>
          </w:tcPr>
          <w:p w14:paraId="73B486DD">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6CBF3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1908B649">
            <w:pPr>
              <w:keepNext w:val="0"/>
              <w:keepLines w:val="0"/>
              <w:widowControl/>
              <w:suppressLineNumbers w:val="0"/>
              <w:jc w:val="center"/>
              <w:rPr>
                <w:rFonts w:hint="default"/>
                <w:lang w:val="en-US" w:eastAsia="zh-CN"/>
              </w:rPr>
            </w:pPr>
            <w:r>
              <w:rPr>
                <w:rFonts w:hint="eastAsia"/>
                <w:lang w:val="en-US" w:eastAsia="zh-CN"/>
              </w:rPr>
              <w:t>1.5</w:t>
            </w:r>
          </w:p>
        </w:tc>
        <w:tc>
          <w:tcPr>
            <w:tcW w:w="3973" w:type="dxa"/>
            <w:vAlign w:val="center"/>
          </w:tcPr>
          <w:p w14:paraId="0CC8DD58">
            <w:pPr>
              <w:keepNext w:val="0"/>
              <w:keepLines w:val="0"/>
              <w:widowControl/>
              <w:suppressLineNumbers w:val="0"/>
              <w:jc w:val="left"/>
              <w:rPr>
                <w:rFonts w:hint="default"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分系统调试</w:t>
            </w:r>
          </w:p>
        </w:tc>
        <w:tc>
          <w:tcPr>
            <w:tcW w:w="1025" w:type="dxa"/>
            <w:vAlign w:val="center"/>
          </w:tcPr>
          <w:p w14:paraId="065DE615">
            <w:pPr>
              <w:keepNext w:val="0"/>
              <w:keepLines w:val="0"/>
              <w:widowControl/>
              <w:suppressLineNumbers w:val="0"/>
              <w:jc w:val="center"/>
              <w:rPr>
                <w:rFonts w:hint="eastAsia" w:ascii="仿宋_GB2312" w:hAnsi="仿宋_GB2312" w:eastAsia="仿宋_GB2312" w:cs="仿宋_GB2312"/>
                <w:color w:val="000000"/>
                <w:kern w:val="0"/>
                <w:sz w:val="20"/>
                <w:szCs w:val="20"/>
                <w:lang w:val="en-US" w:eastAsia="zh-CN" w:bidi="ar"/>
              </w:rPr>
            </w:pPr>
          </w:p>
        </w:tc>
        <w:tc>
          <w:tcPr>
            <w:tcW w:w="1524" w:type="dxa"/>
            <w:vAlign w:val="center"/>
          </w:tcPr>
          <w:p w14:paraId="38ACE3E8">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kern w:val="0"/>
                <w:sz w:val="20"/>
                <w:szCs w:val="20"/>
                <w:vertAlign w:val="baseline"/>
                <w:lang w:val="en-US" w:eastAsia="zh-CN" w:bidi="ar"/>
              </w:rPr>
            </w:pPr>
          </w:p>
        </w:tc>
        <w:tc>
          <w:tcPr>
            <w:tcW w:w="1070" w:type="dxa"/>
            <w:vAlign w:val="center"/>
          </w:tcPr>
          <w:p w14:paraId="4AC97446">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r w14:paraId="42FC8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930" w:type="dxa"/>
            <w:vAlign w:val="center"/>
          </w:tcPr>
          <w:p w14:paraId="634336F1">
            <w:pPr>
              <w:keepNext w:val="0"/>
              <w:keepLines w:val="0"/>
              <w:widowControl/>
              <w:suppressLineNumbers w:val="0"/>
              <w:jc w:val="center"/>
              <w:rPr>
                <w:rFonts w:hint="eastAsia"/>
                <w:lang w:val="en-US" w:eastAsia="zh-CN"/>
              </w:rPr>
            </w:pPr>
          </w:p>
        </w:tc>
        <w:tc>
          <w:tcPr>
            <w:tcW w:w="3973" w:type="dxa"/>
            <w:vAlign w:val="center"/>
          </w:tcPr>
          <w:p w14:paraId="779F79C1">
            <w:pPr>
              <w:keepNext w:val="0"/>
              <w:keepLines w:val="0"/>
              <w:widowControl/>
              <w:suppressLineNumbers w:val="0"/>
              <w:jc w:val="left"/>
              <w:rPr>
                <w:rFonts w:hint="eastAsia" w:ascii="仿宋_GB2312" w:hAnsi="仿宋_GB2312" w:eastAsia="仿宋_GB2312" w:cs="仿宋_GB2312"/>
                <w:color w:val="000000"/>
                <w:kern w:val="0"/>
                <w:sz w:val="20"/>
                <w:szCs w:val="20"/>
                <w:lang w:val="en-US" w:eastAsia="zh-CN" w:bidi="ar"/>
              </w:rPr>
            </w:pPr>
            <w:r>
              <w:rPr>
                <w:rFonts w:ascii="仿宋_GB2312" w:hAnsi="仿宋_GB2312" w:eastAsia="仿宋_GB2312" w:cs="仿宋_GB2312"/>
                <w:color w:val="000000"/>
                <w:kern w:val="0"/>
                <w:sz w:val="20"/>
                <w:szCs w:val="20"/>
                <w:lang w:val="en-US" w:eastAsia="zh-CN" w:bidi="ar"/>
              </w:rPr>
              <w:t>发电子方阵系统调试</w:t>
            </w:r>
          </w:p>
        </w:tc>
        <w:tc>
          <w:tcPr>
            <w:tcW w:w="1025" w:type="dxa"/>
            <w:vAlign w:val="center"/>
          </w:tcPr>
          <w:p w14:paraId="7F6AB25D">
            <w:pPr>
              <w:keepNext w:val="0"/>
              <w:keepLines w:val="0"/>
              <w:widowControl/>
              <w:suppressLineNumbers w:val="0"/>
              <w:jc w:val="center"/>
              <w:rPr>
                <w:rFonts w:hint="default" w:ascii="仿宋_GB2312" w:hAnsi="仿宋_GB2312" w:eastAsia="仿宋_GB2312" w:cs="仿宋_GB2312"/>
                <w:color w:val="000000"/>
                <w:kern w:val="0"/>
                <w:sz w:val="20"/>
                <w:szCs w:val="20"/>
                <w:lang w:val="en-US" w:eastAsia="zh-CN" w:bidi="ar"/>
              </w:rPr>
            </w:pPr>
            <w:r>
              <w:rPr>
                <w:rFonts w:hint="eastAsia" w:ascii="仿宋_GB2312" w:hAnsi="仿宋_GB2312" w:eastAsia="仿宋_GB2312" w:cs="仿宋_GB2312"/>
                <w:color w:val="000000"/>
                <w:kern w:val="0"/>
                <w:sz w:val="20"/>
                <w:szCs w:val="20"/>
                <w:lang w:val="en-US" w:eastAsia="zh-CN" w:bidi="ar"/>
              </w:rPr>
              <w:t>子方阵</w:t>
            </w:r>
          </w:p>
        </w:tc>
        <w:tc>
          <w:tcPr>
            <w:tcW w:w="1524" w:type="dxa"/>
            <w:vAlign w:val="center"/>
          </w:tcPr>
          <w:p w14:paraId="75E45885">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auto"/>
              <w:rPr>
                <w:rFonts w:hint="default" w:ascii="宋体" w:hAnsi="宋体" w:eastAsia="宋体" w:cs="宋体"/>
                <w:color w:val="000000"/>
                <w:kern w:val="0"/>
                <w:sz w:val="20"/>
                <w:szCs w:val="20"/>
                <w:vertAlign w:val="baseline"/>
                <w:lang w:val="en-US" w:eastAsia="zh-CN" w:bidi="ar"/>
              </w:rPr>
            </w:pPr>
            <w:r>
              <w:rPr>
                <w:rFonts w:hint="eastAsia" w:ascii="宋体" w:hAnsi="宋体" w:eastAsia="宋体" w:cs="宋体"/>
                <w:color w:val="000000"/>
                <w:kern w:val="0"/>
                <w:sz w:val="20"/>
                <w:szCs w:val="20"/>
                <w:vertAlign w:val="baseline"/>
                <w:lang w:val="en-US" w:eastAsia="zh-CN" w:bidi="ar"/>
              </w:rPr>
              <w:t>22</w:t>
            </w:r>
          </w:p>
        </w:tc>
        <w:tc>
          <w:tcPr>
            <w:tcW w:w="1070" w:type="dxa"/>
            <w:vAlign w:val="center"/>
          </w:tcPr>
          <w:p w14:paraId="4A833CA4">
            <w:pPr>
              <w:keepNext w:val="0"/>
              <w:keepLines w:val="0"/>
              <w:widowControl/>
              <w:suppressLineNumbers w:val="0"/>
              <w:jc w:val="center"/>
              <w:rPr>
                <w:rFonts w:ascii="仿宋_GB2312" w:hAnsi="仿宋_GB2312" w:eastAsia="仿宋_GB2312" w:cs="仿宋_GB2312"/>
                <w:color w:val="000000"/>
                <w:kern w:val="0"/>
                <w:sz w:val="20"/>
                <w:szCs w:val="20"/>
                <w:lang w:val="en-US" w:eastAsia="zh-CN" w:bidi="ar"/>
              </w:rPr>
            </w:pPr>
          </w:p>
        </w:tc>
      </w:tr>
    </w:tbl>
    <w:p w14:paraId="737AF7DB">
      <w:pPr>
        <w:keepNext w:val="0"/>
        <w:keepLines w:val="0"/>
        <w:pageBreakBefore w:val="0"/>
        <w:widowControl w:val="0"/>
        <w:suppressLineNumbers w:val="0"/>
        <w:kinsoku/>
        <w:wordWrap/>
        <w:overflowPunct/>
        <w:topLinePunct w:val="0"/>
        <w:autoSpaceDE/>
        <w:autoSpaceDN/>
        <w:bidi w:val="0"/>
        <w:adjustRightInd/>
        <w:snapToGrid/>
        <w:spacing w:line="420" w:lineRule="exact"/>
        <w:jc w:val="both"/>
        <w:textAlignment w:val="auto"/>
        <w:outlineLvl w:val="1"/>
        <w:rPr>
          <w:rFonts w:hint="default" w:ascii="宋体" w:hAnsi="宋体" w:cs="宋体"/>
          <w:b/>
          <w:bCs/>
          <w:color w:val="000000"/>
          <w:kern w:val="0"/>
          <w:sz w:val="32"/>
          <w:szCs w:val="32"/>
          <w:lang w:val="en-US" w:eastAsia="zh-CN" w:bidi="ar"/>
        </w:rPr>
      </w:pPr>
      <w:bookmarkStart w:id="197" w:name="_Toc8222"/>
      <w:r>
        <w:rPr>
          <w:rFonts w:hint="eastAsia" w:ascii="宋体" w:hAnsi="宋体" w:cs="宋体"/>
          <w:b/>
          <w:bCs/>
          <w:color w:val="000000"/>
          <w:kern w:val="0"/>
          <w:sz w:val="32"/>
          <w:szCs w:val="32"/>
          <w:lang w:val="en-US" w:eastAsia="zh-CN" w:bidi="ar"/>
        </w:rPr>
        <w:t>2.4公用工程和辅助设施</w:t>
      </w:r>
      <w:bookmarkEnd w:id="197"/>
    </w:p>
    <w:p w14:paraId="5E2EBFFC">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Chars="0"/>
        <w:textAlignment w:val="auto"/>
        <w:outlineLvl w:val="2"/>
        <w:rPr>
          <w:rFonts w:hint="eastAsia" w:ascii="宋体" w:hAnsi="宋体" w:eastAsia="宋体" w:cs="宋体"/>
          <w:b/>
          <w:bCs/>
          <w:color w:val="000000"/>
          <w:kern w:val="0"/>
          <w:sz w:val="30"/>
          <w:szCs w:val="30"/>
          <w:lang w:val="en-US" w:eastAsia="zh-CN" w:bidi="ar"/>
        </w:rPr>
      </w:pPr>
      <w:bookmarkStart w:id="198" w:name="_Toc6225"/>
      <w:r>
        <w:rPr>
          <w:rFonts w:hint="eastAsia" w:ascii="宋体" w:hAnsi="宋体" w:eastAsia="宋体" w:cs="宋体"/>
          <w:b/>
          <w:bCs/>
          <w:color w:val="000000"/>
          <w:kern w:val="0"/>
          <w:sz w:val="30"/>
          <w:szCs w:val="30"/>
          <w:lang w:val="en-US" w:eastAsia="zh-CN" w:bidi="ar"/>
        </w:rPr>
        <w:t>2.4.1给排水</w:t>
      </w:r>
      <w:bookmarkEnd w:id="198"/>
    </w:p>
    <w:p w14:paraId="7001F9DC">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生活用水由站外给水系统供给。 </w:t>
      </w:r>
    </w:p>
    <w:p w14:paraId="402D7F1E">
      <w:pPr>
        <w:keepNext w:val="0"/>
        <w:keepLines w:val="0"/>
        <w:pageBreakBefore w:val="0"/>
        <w:widowControl w:val="0"/>
        <w:suppressLineNumbers w:val="0"/>
        <w:kinsoku/>
        <w:wordWrap/>
        <w:overflowPunct/>
        <w:topLinePunct w:val="0"/>
        <w:autoSpaceDE/>
        <w:autoSpaceDN/>
        <w:bidi w:val="0"/>
        <w:adjustRightInd/>
        <w:snapToGrid/>
        <w:spacing w:line="420" w:lineRule="exact"/>
        <w:ind w:firstLine="562" w:firstLineChars="200"/>
        <w:jc w:val="left"/>
        <w:textAlignment w:val="auto"/>
      </w:pPr>
      <w:r>
        <w:rPr>
          <w:rFonts w:hint="eastAsia" w:ascii="宋体" w:hAnsi="宋体" w:eastAsia="宋体" w:cs="宋体"/>
          <w:b/>
          <w:bCs/>
          <w:color w:val="000000"/>
          <w:kern w:val="0"/>
          <w:sz w:val="28"/>
          <w:szCs w:val="28"/>
          <w:lang w:val="en-US" w:eastAsia="zh-CN" w:bidi="ar"/>
        </w:rPr>
        <w:t xml:space="preserve">排水： </w:t>
      </w:r>
    </w:p>
    <w:p w14:paraId="6A59B828">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升压站排水系统采用雨污分流制排水系统。升压站内雨水直接外排至 </w:t>
      </w:r>
    </w:p>
    <w:p w14:paraId="07B41131">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站外；生活污水统一收集至化粪池，经化粪池处理后不外排。排水系统主 </w:t>
      </w:r>
    </w:p>
    <w:p w14:paraId="0BD62CF0">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要包括站内雨水排水系统、站内生活污水排水系统和主变事故油池排油系 </w:t>
      </w:r>
    </w:p>
    <w:p w14:paraId="54599E4A">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统。最终升压站排出口为</w:t>
      </w:r>
      <w:r>
        <w:rPr>
          <w:rFonts w:hint="default" w:ascii="Times New Roman" w:hAnsi="Times New Roman" w:eastAsia="宋体" w:cs="Times New Roman"/>
          <w:color w:val="000000"/>
          <w:kern w:val="0"/>
          <w:sz w:val="28"/>
          <w:szCs w:val="28"/>
          <w:lang w:val="en-US" w:eastAsia="zh-CN" w:bidi="ar"/>
        </w:rPr>
        <w:t>1</w:t>
      </w:r>
      <w:r>
        <w:rPr>
          <w:rFonts w:hint="eastAsia" w:ascii="宋体" w:hAnsi="宋体" w:eastAsia="宋体" w:cs="宋体"/>
          <w:color w:val="000000"/>
          <w:kern w:val="0"/>
          <w:sz w:val="28"/>
          <w:szCs w:val="28"/>
          <w:lang w:val="en-US" w:eastAsia="zh-CN" w:bidi="ar"/>
        </w:rPr>
        <w:t xml:space="preserve">个，符合国家环保要求。 </w:t>
      </w:r>
    </w:p>
    <w:p w14:paraId="517BAD40">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1</w:t>
      </w:r>
      <w:r>
        <w:rPr>
          <w:rFonts w:hint="eastAsia" w:ascii="宋体" w:hAnsi="宋体" w:eastAsia="宋体" w:cs="宋体"/>
          <w:color w:val="000000"/>
          <w:kern w:val="0"/>
          <w:sz w:val="28"/>
          <w:szCs w:val="28"/>
          <w:lang w:val="en-US" w:eastAsia="zh-CN" w:bidi="ar"/>
        </w:rPr>
        <w:t>）主变排油系统包括主变集油坑、排油检查井、排油管道、事故油池。排油坡度不小于</w:t>
      </w:r>
      <w:r>
        <w:rPr>
          <w:rFonts w:hint="default" w:ascii="Times New Roman" w:hAnsi="Times New Roman" w:eastAsia="宋体" w:cs="Times New Roman"/>
          <w:color w:val="000000"/>
          <w:kern w:val="0"/>
          <w:sz w:val="28"/>
          <w:szCs w:val="28"/>
          <w:lang w:val="en-US" w:eastAsia="zh-CN" w:bidi="ar"/>
        </w:rPr>
        <w:t>1%</w:t>
      </w:r>
      <w:r>
        <w:rPr>
          <w:rFonts w:hint="eastAsia" w:ascii="宋体" w:hAnsi="宋体" w:eastAsia="宋体" w:cs="宋体"/>
          <w:color w:val="000000"/>
          <w:kern w:val="0"/>
          <w:sz w:val="28"/>
          <w:szCs w:val="28"/>
          <w:lang w:val="en-US" w:eastAsia="zh-CN" w:bidi="ar"/>
        </w:rPr>
        <w:t>，事故油池容量满足最大一台主变油量</w:t>
      </w:r>
      <w:r>
        <w:rPr>
          <w:rFonts w:hint="default" w:ascii="Times New Roman" w:hAnsi="Times New Roman" w:eastAsia="宋体" w:cs="Times New Roman"/>
          <w:color w:val="000000"/>
          <w:kern w:val="0"/>
          <w:sz w:val="28"/>
          <w:szCs w:val="28"/>
          <w:lang w:val="en-US" w:eastAsia="zh-CN" w:bidi="ar"/>
        </w:rPr>
        <w:t>100%</w:t>
      </w:r>
      <w:r>
        <w:rPr>
          <w:rFonts w:hint="eastAsia" w:ascii="宋体" w:hAnsi="宋体" w:eastAsia="宋体" w:cs="宋体"/>
          <w:color w:val="000000"/>
          <w:kern w:val="0"/>
          <w:sz w:val="28"/>
          <w:szCs w:val="28"/>
          <w:lang w:val="en-US" w:eastAsia="zh-CN" w:bidi="ar"/>
        </w:rPr>
        <w:t xml:space="preserve">的容积，并在事故油池内做了油水分离措施。 </w:t>
      </w:r>
    </w:p>
    <w:p w14:paraId="10705B00">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2</w:t>
      </w:r>
      <w:r>
        <w:rPr>
          <w:rFonts w:hint="eastAsia" w:ascii="宋体" w:hAnsi="宋体" w:eastAsia="宋体" w:cs="宋体"/>
          <w:color w:val="000000"/>
          <w:kern w:val="0"/>
          <w:sz w:val="28"/>
          <w:szCs w:val="28"/>
          <w:lang w:val="en-US" w:eastAsia="zh-CN" w:bidi="ar"/>
        </w:rPr>
        <w:t>）生活污水量按生活用水量</w:t>
      </w:r>
      <w:r>
        <w:rPr>
          <w:rFonts w:hint="default" w:ascii="Times New Roman" w:hAnsi="Times New Roman" w:eastAsia="宋体" w:cs="Times New Roman"/>
          <w:color w:val="000000"/>
          <w:kern w:val="0"/>
          <w:sz w:val="28"/>
          <w:szCs w:val="28"/>
          <w:lang w:val="en-US" w:eastAsia="zh-CN" w:bidi="ar"/>
        </w:rPr>
        <w:t>100</w:t>
      </w:r>
      <w:r>
        <w:rPr>
          <w:rFonts w:hint="eastAsia" w:ascii="宋体" w:hAnsi="宋体" w:eastAsia="宋体" w:cs="宋体"/>
          <w:color w:val="000000"/>
          <w:kern w:val="0"/>
          <w:sz w:val="28"/>
          <w:szCs w:val="28"/>
          <w:lang w:val="en-US" w:eastAsia="zh-CN" w:bidi="ar"/>
        </w:rPr>
        <w:t xml:space="preserve">％计算，即 </w:t>
      </w:r>
      <w:r>
        <w:rPr>
          <w:rFonts w:hint="default" w:ascii="Times New Roman" w:hAnsi="Times New Roman" w:eastAsia="宋体" w:cs="Times New Roman"/>
          <w:color w:val="000000"/>
          <w:kern w:val="0"/>
          <w:sz w:val="28"/>
          <w:szCs w:val="28"/>
          <w:lang w:val="en-US" w:eastAsia="zh-CN" w:bidi="ar"/>
        </w:rPr>
        <w:t>1.6m</w:t>
      </w:r>
      <w:r>
        <w:rPr>
          <w:rFonts w:hint="default" w:ascii="Times New Roman" w:hAnsi="Times New Roman" w:eastAsia="宋体" w:cs="Times New Roman"/>
          <w:color w:val="000000"/>
          <w:kern w:val="0"/>
          <w:sz w:val="18"/>
          <w:szCs w:val="18"/>
          <w:lang w:val="en-US" w:eastAsia="zh-CN" w:bidi="ar"/>
        </w:rPr>
        <w:t xml:space="preserve">3 </w:t>
      </w:r>
      <w:r>
        <w:rPr>
          <w:rFonts w:hint="default" w:ascii="Times New Roman" w:hAnsi="Times New Roman" w:eastAsia="宋体" w:cs="Times New Roman"/>
          <w:color w:val="000000"/>
          <w:kern w:val="0"/>
          <w:sz w:val="28"/>
          <w:szCs w:val="28"/>
          <w:lang w:val="en-US" w:eastAsia="zh-CN" w:bidi="ar"/>
        </w:rPr>
        <w:t>/d</w:t>
      </w:r>
      <w:r>
        <w:rPr>
          <w:rFonts w:hint="eastAsia" w:ascii="宋体" w:hAnsi="宋体" w:eastAsia="宋体" w:cs="宋体"/>
          <w:color w:val="000000"/>
          <w:kern w:val="0"/>
          <w:sz w:val="28"/>
          <w:szCs w:val="28"/>
          <w:lang w:val="en-US" w:eastAsia="zh-CN" w:bidi="ar"/>
        </w:rPr>
        <w:t xml:space="preserve">。升压站内日常 </w:t>
      </w:r>
    </w:p>
    <w:p w14:paraId="09832EC7">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维护及相关人员较少，生活污水排放量小，本阶段暂时考虑在综合楼附近 </w:t>
      </w:r>
    </w:p>
    <w:p w14:paraId="024FA69A">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埋设</w:t>
      </w:r>
      <w:r>
        <w:rPr>
          <w:rFonts w:hint="default" w:ascii="Times New Roman" w:hAnsi="Times New Roman" w:eastAsia="宋体" w:cs="Times New Roman"/>
          <w:color w:val="000000"/>
          <w:kern w:val="0"/>
          <w:sz w:val="28"/>
          <w:szCs w:val="28"/>
          <w:lang w:val="en-US" w:eastAsia="zh-CN" w:bidi="ar"/>
        </w:rPr>
        <w:t>1</w:t>
      </w:r>
      <w:r>
        <w:rPr>
          <w:rFonts w:hint="eastAsia" w:ascii="宋体" w:hAnsi="宋体" w:eastAsia="宋体" w:cs="宋体"/>
          <w:color w:val="000000"/>
          <w:kern w:val="0"/>
          <w:sz w:val="28"/>
          <w:szCs w:val="28"/>
          <w:lang w:val="en-US" w:eastAsia="zh-CN" w:bidi="ar"/>
        </w:rPr>
        <w:t xml:space="preserve">套生活污水一体化处理系统。升压站内的所有粪便污水，食堂废水 </w:t>
      </w:r>
    </w:p>
    <w:p w14:paraId="4C21FE8B">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等排入化粪池后在一体化设备装置中进行处理，用于绿化灌溉或排放，排 </w:t>
      </w:r>
    </w:p>
    <w:p w14:paraId="02A41BF6">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放要求达到《污水综合排放标准》中一级标准。 </w:t>
      </w:r>
    </w:p>
    <w:p w14:paraId="1875C2E4">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3</w:t>
      </w:r>
      <w:r>
        <w:rPr>
          <w:rFonts w:hint="eastAsia" w:ascii="宋体" w:hAnsi="宋体" w:eastAsia="宋体" w:cs="宋体"/>
          <w:color w:val="000000"/>
          <w:kern w:val="0"/>
          <w:sz w:val="28"/>
          <w:szCs w:val="28"/>
          <w:lang w:val="en-US" w:eastAsia="zh-CN" w:bidi="ar"/>
        </w:rPr>
        <w:t>）雨水系统</w:t>
      </w:r>
    </w:p>
    <w:p w14:paraId="548DFD3A">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用地红线范围外市政道路雨水边沟，允许本地块雨水排入。 </w:t>
      </w:r>
    </w:p>
    <w:p w14:paraId="2498551E">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屋面雨水采用重力流雨水排水系统。屋面雨水由</w:t>
      </w:r>
      <w:r>
        <w:rPr>
          <w:rFonts w:hint="default" w:ascii="Times New Roman" w:hAnsi="Times New Roman" w:eastAsia="宋体" w:cs="Times New Roman"/>
          <w:color w:val="000000"/>
          <w:kern w:val="0"/>
          <w:sz w:val="28"/>
          <w:szCs w:val="28"/>
          <w:lang w:val="en-US" w:eastAsia="zh-CN" w:bidi="ar"/>
        </w:rPr>
        <w:t>87</w:t>
      </w:r>
      <w:r>
        <w:rPr>
          <w:rFonts w:hint="eastAsia" w:ascii="宋体" w:hAnsi="宋体" w:eastAsia="宋体" w:cs="宋体"/>
          <w:color w:val="000000"/>
          <w:kern w:val="0"/>
          <w:sz w:val="28"/>
          <w:szCs w:val="28"/>
          <w:lang w:val="en-US" w:eastAsia="zh-CN" w:bidi="ar"/>
        </w:rPr>
        <w:t>型雨水斗收集经雨水管道排至室外建筑散水沟，排水立管采用</w:t>
      </w:r>
      <w:r>
        <w:rPr>
          <w:rFonts w:hint="default" w:ascii="Times New Roman" w:hAnsi="Times New Roman" w:eastAsia="宋体" w:cs="Times New Roman"/>
          <w:color w:val="000000"/>
          <w:kern w:val="0"/>
          <w:sz w:val="28"/>
          <w:szCs w:val="28"/>
          <w:lang w:val="en-US" w:eastAsia="zh-CN" w:bidi="ar"/>
        </w:rPr>
        <w:t>U-PVC</w:t>
      </w:r>
      <w:r>
        <w:rPr>
          <w:rFonts w:hint="eastAsia" w:ascii="宋体" w:hAnsi="宋体" w:eastAsia="宋体" w:cs="宋体"/>
          <w:color w:val="000000"/>
          <w:kern w:val="0"/>
          <w:sz w:val="28"/>
          <w:szCs w:val="28"/>
          <w:lang w:val="en-US" w:eastAsia="zh-CN" w:bidi="ar"/>
        </w:rPr>
        <w:t xml:space="preserve">排水管。 </w:t>
      </w:r>
    </w:p>
    <w:p w14:paraId="71B0F6D7">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室外雨水采用重力流系统排放，场地雨水通过场地找坡排至排水沟， </w:t>
      </w:r>
    </w:p>
    <w:p w14:paraId="14906435">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最终通过排水沟排至红线外市政道路雨水边沟。站内沿围墙及建筑物四周 </w:t>
      </w:r>
    </w:p>
    <w:p w14:paraId="0C50CC49">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均设置排水沟，排水沟深</w:t>
      </w:r>
      <w:r>
        <w:rPr>
          <w:rFonts w:hint="default" w:ascii="Times New Roman" w:hAnsi="Times New Roman" w:eastAsia="宋体" w:cs="Times New Roman"/>
          <w:color w:val="000000"/>
          <w:kern w:val="0"/>
          <w:sz w:val="28"/>
          <w:szCs w:val="28"/>
          <w:lang w:val="en-US" w:eastAsia="zh-CN" w:bidi="ar"/>
        </w:rPr>
        <w:t>0.3m</w:t>
      </w:r>
      <w:r>
        <w:rPr>
          <w:rFonts w:hint="eastAsia" w:ascii="宋体" w:hAnsi="宋体" w:eastAsia="宋体" w:cs="宋体"/>
          <w:color w:val="000000"/>
          <w:kern w:val="0"/>
          <w:sz w:val="28"/>
          <w:szCs w:val="28"/>
          <w:lang w:val="en-US" w:eastAsia="zh-CN" w:bidi="ar"/>
        </w:rPr>
        <w:t>，宽</w:t>
      </w:r>
      <w:r>
        <w:rPr>
          <w:rFonts w:hint="default" w:ascii="Times New Roman" w:hAnsi="Times New Roman" w:eastAsia="宋体" w:cs="Times New Roman"/>
          <w:color w:val="000000"/>
          <w:kern w:val="0"/>
          <w:sz w:val="28"/>
          <w:szCs w:val="28"/>
          <w:lang w:val="en-US" w:eastAsia="zh-CN" w:bidi="ar"/>
        </w:rPr>
        <w:t>0.4m</w:t>
      </w:r>
      <w:r>
        <w:rPr>
          <w:rFonts w:hint="eastAsia" w:ascii="Times New Roman" w:hAnsi="Times New Roman" w:eastAsia="宋体" w:cs="Times New Roman"/>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纵向坡降按</w:t>
      </w:r>
      <w:r>
        <w:rPr>
          <w:rFonts w:hint="default" w:ascii="Times New Roman" w:hAnsi="Times New Roman" w:eastAsia="宋体" w:cs="Times New Roman"/>
          <w:color w:val="000000"/>
          <w:kern w:val="0"/>
          <w:sz w:val="28"/>
          <w:szCs w:val="28"/>
          <w:lang w:val="en-US" w:eastAsia="zh-CN" w:bidi="ar"/>
        </w:rPr>
        <w:t>0.5%</w:t>
      </w:r>
      <w:r>
        <w:rPr>
          <w:rFonts w:hint="eastAsia" w:ascii="宋体" w:hAnsi="宋体" w:eastAsia="宋体" w:cs="宋体"/>
          <w:color w:val="000000"/>
          <w:kern w:val="0"/>
          <w:sz w:val="28"/>
          <w:szCs w:val="28"/>
          <w:lang w:val="en-US" w:eastAsia="zh-CN" w:bidi="ar"/>
        </w:rPr>
        <w:t xml:space="preserve">控制，做水泥砂浆衬砌。 </w:t>
      </w:r>
    </w:p>
    <w:p w14:paraId="78119923">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室外地面雨水一部分直接经室外下凹式绿地、透水铺装等透水区域进 </w:t>
      </w:r>
    </w:p>
    <w:p w14:paraId="435C438C">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行蓄渗回补；剩余部分连同建筑物屋面雨水由室外雨水沟汇集后排入市政 </w:t>
      </w:r>
    </w:p>
    <w:p w14:paraId="21EB4CBA">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道路雨水边沟。 </w:t>
      </w:r>
    </w:p>
    <w:p w14:paraId="5A892015">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污水采用接触氧化</w:t>
      </w:r>
      <w:r>
        <w:rPr>
          <w:rFonts w:hint="default" w:ascii="Times New Roman" w:hAnsi="Times New Roman" w:eastAsia="宋体" w:cs="Times New Roman"/>
          <w:color w:val="000000"/>
          <w:kern w:val="0"/>
          <w:sz w:val="28"/>
          <w:szCs w:val="28"/>
          <w:lang w:val="en-US" w:eastAsia="zh-CN" w:bidi="ar"/>
        </w:rPr>
        <w:t xml:space="preserve">+MBR </w:t>
      </w:r>
      <w:r>
        <w:rPr>
          <w:rFonts w:hint="eastAsia" w:ascii="宋体" w:hAnsi="宋体" w:eastAsia="宋体" w:cs="宋体"/>
          <w:color w:val="000000"/>
          <w:kern w:val="0"/>
          <w:sz w:val="28"/>
          <w:szCs w:val="28"/>
          <w:lang w:val="en-US" w:eastAsia="zh-CN" w:bidi="ar"/>
        </w:rPr>
        <w:t xml:space="preserve">膜工艺处理，其流程为：污废水通过管网收 </w:t>
      </w:r>
    </w:p>
    <w:p w14:paraId="6DC11860">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集→初步处理（含油废水通过隔油池初步处理；生活污水通过化粪池初步 </w:t>
      </w:r>
    </w:p>
    <w:p w14:paraId="7C8EB43F">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处理）→一体化污水处理设备（一级处理）→处理达标排放或回用。 </w:t>
      </w:r>
    </w:p>
    <w:p w14:paraId="361416CE">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生活污水处理装置工艺为：生物接触氧化池、</w:t>
      </w:r>
      <w:r>
        <w:rPr>
          <w:rFonts w:hint="default" w:ascii="Times New Roman" w:hAnsi="Times New Roman" w:eastAsia="宋体" w:cs="Times New Roman"/>
          <w:color w:val="000000"/>
          <w:kern w:val="0"/>
          <w:sz w:val="28"/>
          <w:szCs w:val="28"/>
          <w:lang w:val="en-US" w:eastAsia="zh-CN" w:bidi="ar"/>
        </w:rPr>
        <w:t xml:space="preserve">MBR </w:t>
      </w:r>
      <w:r>
        <w:rPr>
          <w:rFonts w:hint="eastAsia" w:ascii="宋体" w:hAnsi="宋体" w:eastAsia="宋体" w:cs="宋体"/>
          <w:color w:val="000000"/>
          <w:kern w:val="0"/>
          <w:sz w:val="28"/>
          <w:szCs w:val="28"/>
          <w:lang w:val="en-US" w:eastAsia="zh-CN" w:bidi="ar"/>
        </w:rPr>
        <w:t xml:space="preserve">膜、二沉池、消毒池、污泥池、曝气系统，相互间连络的水泵、管道及阀门、控制柜、各类电缆，填料等组合而成。 </w:t>
      </w:r>
    </w:p>
    <w:p w14:paraId="16DD8ADC">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升压站设置生活污水处理设备</w:t>
      </w:r>
      <w:r>
        <w:rPr>
          <w:rFonts w:hint="default" w:ascii="Times New Roman" w:hAnsi="Times New Roman" w:eastAsia="宋体" w:cs="Times New Roman"/>
          <w:color w:val="000000"/>
          <w:kern w:val="0"/>
          <w:sz w:val="28"/>
          <w:szCs w:val="28"/>
          <w:lang w:val="en-US" w:eastAsia="zh-CN" w:bidi="ar"/>
        </w:rPr>
        <w:t>1</w:t>
      </w:r>
      <w:r>
        <w:rPr>
          <w:rFonts w:hint="eastAsia" w:ascii="宋体" w:hAnsi="宋体" w:eastAsia="宋体" w:cs="宋体"/>
          <w:color w:val="000000"/>
          <w:kern w:val="0"/>
          <w:sz w:val="28"/>
          <w:szCs w:val="28"/>
          <w:lang w:val="en-US" w:eastAsia="zh-CN" w:bidi="ar"/>
        </w:rPr>
        <w:t>套，处理量：</w:t>
      </w:r>
      <w:r>
        <w:rPr>
          <w:rFonts w:hint="default" w:ascii="Times New Roman" w:hAnsi="Times New Roman" w:eastAsia="宋体" w:cs="Times New Roman"/>
          <w:color w:val="000000"/>
          <w:kern w:val="0"/>
          <w:sz w:val="28"/>
          <w:szCs w:val="28"/>
          <w:lang w:val="en-US" w:eastAsia="zh-CN" w:bidi="ar"/>
        </w:rPr>
        <w:t>0.5m</w:t>
      </w:r>
      <w:r>
        <w:rPr>
          <w:rFonts w:hint="default" w:ascii="Times New Roman" w:hAnsi="Times New Roman" w:eastAsia="宋体" w:cs="Times New Roman"/>
          <w:color w:val="000000"/>
          <w:kern w:val="0"/>
          <w:sz w:val="18"/>
          <w:szCs w:val="18"/>
          <w:lang w:val="en-US" w:eastAsia="zh-CN" w:bidi="ar"/>
        </w:rPr>
        <w:t xml:space="preserve">3 </w:t>
      </w:r>
      <w:r>
        <w:rPr>
          <w:rFonts w:hint="default" w:ascii="Times New Roman" w:hAnsi="Times New Roman" w:eastAsia="宋体" w:cs="Times New Roman"/>
          <w:color w:val="000000"/>
          <w:kern w:val="0"/>
          <w:sz w:val="28"/>
          <w:szCs w:val="28"/>
          <w:lang w:val="en-US" w:eastAsia="zh-CN" w:bidi="ar"/>
        </w:rPr>
        <w:t>/h</w:t>
      </w:r>
      <w:r>
        <w:rPr>
          <w:rFonts w:hint="eastAsia" w:ascii="宋体" w:hAnsi="宋体" w:eastAsia="宋体" w:cs="宋体"/>
          <w:color w:val="000000"/>
          <w:kern w:val="0"/>
          <w:sz w:val="28"/>
          <w:szCs w:val="28"/>
          <w:lang w:val="en-US" w:eastAsia="zh-CN" w:bidi="ar"/>
        </w:rPr>
        <w:t>。</w:t>
      </w:r>
    </w:p>
    <w:p w14:paraId="47AC3F10">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outlineLvl w:val="2"/>
        <w:rPr>
          <w:rFonts w:hint="default" w:ascii="宋体" w:hAnsi="宋体" w:eastAsia="宋体" w:cs="宋体"/>
          <w:b/>
          <w:bCs/>
          <w:color w:val="000000"/>
          <w:kern w:val="0"/>
          <w:sz w:val="30"/>
          <w:szCs w:val="30"/>
          <w:lang w:val="en-US" w:eastAsia="zh-CN" w:bidi="ar"/>
        </w:rPr>
      </w:pPr>
      <w:bookmarkStart w:id="199" w:name="_Toc26493"/>
      <w:r>
        <w:rPr>
          <w:rFonts w:hint="eastAsia" w:ascii="宋体" w:hAnsi="宋体" w:eastAsia="宋体" w:cs="宋体"/>
          <w:b/>
          <w:bCs/>
          <w:color w:val="000000"/>
          <w:kern w:val="0"/>
          <w:sz w:val="30"/>
          <w:szCs w:val="30"/>
          <w:lang w:val="en-US" w:eastAsia="zh-CN" w:bidi="ar"/>
        </w:rPr>
        <w:t>2.4</w:t>
      </w:r>
      <w:r>
        <w:rPr>
          <w:rFonts w:hint="eastAsia" w:ascii="宋体" w:hAnsi="宋体" w:cs="宋体"/>
          <w:b/>
          <w:bCs/>
          <w:color w:val="000000"/>
          <w:kern w:val="0"/>
          <w:sz w:val="30"/>
          <w:szCs w:val="30"/>
          <w:lang w:val="en-US" w:eastAsia="zh-CN" w:bidi="ar"/>
        </w:rPr>
        <w:t>.2消防</w:t>
      </w:r>
      <w:bookmarkEnd w:id="199"/>
    </w:p>
    <w:p w14:paraId="2A1CD86D">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b/>
          <w:bCs/>
          <w:color w:val="000000"/>
          <w:kern w:val="0"/>
          <w:sz w:val="28"/>
          <w:szCs w:val="28"/>
          <w:lang w:val="en-US" w:eastAsia="zh-CN" w:bidi="ar"/>
        </w:rPr>
        <w:t xml:space="preserve">消防给水： </w:t>
      </w:r>
    </w:p>
    <w:p w14:paraId="2C77586F">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本工程升压站内已建有消火栓系统，保护范围包括站内建筑物、主变 </w:t>
      </w:r>
    </w:p>
    <w:p w14:paraId="6F0C06E3">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压器。 </w:t>
      </w:r>
    </w:p>
    <w:p w14:paraId="460FD498">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本工程扩建主变压器容量为100MVA，含油量暂时按照 10-50t 考虑，根据规范要求，设置室外消火栓系统，消防用水量 20L/s，一次火灾延续时间2h，一次消防用水量 144m³。 </w:t>
      </w:r>
    </w:p>
    <w:p w14:paraId="71F6871B">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本项目已建成消火栓系统，具体参数为：设计流量 20L/s，一次消防用水量 144m </w:t>
      </w:r>
      <w:r>
        <w:rPr>
          <w:rFonts w:hint="eastAsia" w:ascii="宋体" w:hAnsi="宋体" w:eastAsia="宋体" w:cs="宋体"/>
          <w:color w:val="000000"/>
          <w:kern w:val="0"/>
          <w:sz w:val="13"/>
          <w:szCs w:val="13"/>
          <w:lang w:val="en-US" w:eastAsia="zh-CN" w:bidi="ar"/>
        </w:rPr>
        <w:t>3</w:t>
      </w:r>
      <w:r>
        <w:rPr>
          <w:rFonts w:hint="eastAsia" w:ascii="宋体" w:hAnsi="宋体" w:eastAsia="宋体" w:cs="宋体"/>
          <w:color w:val="000000"/>
          <w:kern w:val="0"/>
          <w:sz w:val="28"/>
          <w:szCs w:val="28"/>
          <w:lang w:val="en-US" w:eastAsia="zh-CN" w:bidi="ar"/>
        </w:rPr>
        <w:t xml:space="preserve">，可满足本次扩建消防需求。 </w:t>
      </w:r>
    </w:p>
    <w:p w14:paraId="49EB5F76">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本项目已建成的消防给水采用独立给水系统，为临时高压给水系统， </w:t>
      </w:r>
    </w:p>
    <w:p w14:paraId="1EA8733E">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由地埋式箱泵一体化消防泵站和室外消防管网组成。消防水泵及稳压设备 </w:t>
      </w:r>
    </w:p>
    <w:p w14:paraId="7B7D45B6">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布置在箱泵一体化消防泵站内。消防主管网在室外成环状，主管径为DN100。 </w:t>
      </w:r>
    </w:p>
    <w:p w14:paraId="5B6F7FD1">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室外设置4套SS65/100-1.0 地上式消火栓，干管安装，配置25m衬胶水带及水枪，单个消火栓保护半径不大于 150m，间距不大于60m。消防管道室外埋地部分采用加强防腐给水钢管，室外管顶埋深不小于0.90m。 </w:t>
      </w:r>
    </w:p>
    <w:p w14:paraId="63169ACF">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消防水泵出水管上设置压力表，其信号传送至消防泵控制柜，根据管网内的水压自动启动消防泵，消防泵及消防水池的状态信号传送至设于中控室的火灾自动报警装置。消防水泵也可在消火栓按钮上直接启动，同时返回信号至报警控制器，也可由值班人员在火灾报警控制器与消防泵控制柜手动操作。</w:t>
      </w:r>
      <w:r>
        <w:rPr>
          <w:rFonts w:hint="eastAsia" w:ascii="宋体" w:hAnsi="宋体" w:cs="宋体"/>
          <w:color w:val="000000"/>
          <w:kern w:val="0"/>
          <w:sz w:val="28"/>
          <w:szCs w:val="28"/>
          <w:lang w:val="en-US" w:eastAsia="zh-CN" w:bidi="ar"/>
        </w:rPr>
        <w:t>此项目已完成消防验收。</w:t>
      </w:r>
    </w:p>
    <w:p w14:paraId="00620851">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b/>
          <w:bCs/>
          <w:color w:val="000000"/>
          <w:kern w:val="0"/>
          <w:sz w:val="28"/>
          <w:szCs w:val="28"/>
          <w:lang w:val="en-US" w:eastAsia="zh-CN" w:bidi="ar"/>
        </w:rPr>
        <w:t>灭火器配置：</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0"/>
        <w:gridCol w:w="1337"/>
        <w:gridCol w:w="3715"/>
        <w:gridCol w:w="885"/>
        <w:gridCol w:w="1073"/>
      </w:tblGrid>
      <w:tr w14:paraId="541A3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1090" w:type="dxa"/>
          </w:tcPr>
          <w:p w14:paraId="352787E3">
            <w:pPr>
              <w:keepNext w:val="0"/>
              <w:keepLines w:val="0"/>
              <w:pageBreakBefore w:val="0"/>
              <w:numPr>
                <w:ilvl w:val="0"/>
                <w:numId w:val="0"/>
              </w:numPr>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color w:val="000000"/>
                <w:kern w:val="0"/>
                <w:sz w:val="21"/>
                <w:szCs w:val="21"/>
                <w:vertAlign w:val="baseline"/>
                <w:lang w:val="en-US" w:eastAsia="zh-CN" w:bidi="ar"/>
              </w:rPr>
            </w:pPr>
            <w:r>
              <w:rPr>
                <w:rFonts w:hint="eastAsia" w:ascii="宋体" w:hAnsi="宋体" w:eastAsia="宋体" w:cs="宋体"/>
                <w:b/>
                <w:bCs/>
                <w:color w:val="000000"/>
                <w:kern w:val="0"/>
                <w:sz w:val="21"/>
                <w:szCs w:val="21"/>
                <w:vertAlign w:val="baseline"/>
                <w:lang w:val="en-US" w:eastAsia="zh-CN" w:bidi="ar"/>
              </w:rPr>
              <w:t>序号</w:t>
            </w:r>
          </w:p>
        </w:tc>
        <w:tc>
          <w:tcPr>
            <w:tcW w:w="1337" w:type="dxa"/>
          </w:tcPr>
          <w:p w14:paraId="7048D8B5">
            <w:pPr>
              <w:keepNext w:val="0"/>
              <w:keepLines w:val="0"/>
              <w:pageBreakBefore w:val="0"/>
              <w:numPr>
                <w:ilvl w:val="0"/>
                <w:numId w:val="0"/>
              </w:numPr>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color w:val="000000"/>
                <w:kern w:val="0"/>
                <w:sz w:val="21"/>
                <w:szCs w:val="21"/>
                <w:vertAlign w:val="baseline"/>
                <w:lang w:val="en-US" w:eastAsia="zh-CN" w:bidi="ar"/>
              </w:rPr>
            </w:pPr>
            <w:r>
              <w:rPr>
                <w:rFonts w:hint="eastAsia" w:ascii="宋体" w:hAnsi="宋体" w:eastAsia="宋体" w:cs="宋体"/>
                <w:b/>
                <w:bCs/>
                <w:color w:val="000000"/>
                <w:kern w:val="0"/>
                <w:sz w:val="21"/>
                <w:szCs w:val="21"/>
                <w:vertAlign w:val="baseline"/>
                <w:lang w:val="en-US" w:eastAsia="zh-CN" w:bidi="ar"/>
              </w:rPr>
              <w:t>位置</w:t>
            </w:r>
          </w:p>
        </w:tc>
        <w:tc>
          <w:tcPr>
            <w:tcW w:w="3715" w:type="dxa"/>
          </w:tcPr>
          <w:p w14:paraId="086A0E81">
            <w:pPr>
              <w:keepNext w:val="0"/>
              <w:keepLines w:val="0"/>
              <w:pageBreakBefore w:val="0"/>
              <w:numPr>
                <w:ilvl w:val="0"/>
                <w:numId w:val="0"/>
              </w:numPr>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color w:val="000000"/>
                <w:kern w:val="0"/>
                <w:sz w:val="21"/>
                <w:szCs w:val="21"/>
                <w:vertAlign w:val="baseline"/>
                <w:lang w:val="en-US" w:eastAsia="zh-CN" w:bidi="ar"/>
              </w:rPr>
            </w:pPr>
            <w:r>
              <w:rPr>
                <w:rFonts w:hint="eastAsia" w:ascii="宋体" w:hAnsi="宋体" w:eastAsia="宋体" w:cs="宋体"/>
                <w:b/>
                <w:bCs/>
                <w:color w:val="000000"/>
                <w:kern w:val="0"/>
                <w:sz w:val="21"/>
                <w:szCs w:val="21"/>
                <w:vertAlign w:val="baseline"/>
                <w:lang w:val="en-US" w:eastAsia="zh-CN" w:bidi="ar"/>
              </w:rPr>
              <w:t>灭火器型号及规范</w:t>
            </w:r>
          </w:p>
        </w:tc>
        <w:tc>
          <w:tcPr>
            <w:tcW w:w="885" w:type="dxa"/>
          </w:tcPr>
          <w:p w14:paraId="7ACED6E2">
            <w:pPr>
              <w:keepNext w:val="0"/>
              <w:keepLines w:val="0"/>
              <w:pageBreakBefore w:val="0"/>
              <w:numPr>
                <w:ilvl w:val="0"/>
                <w:numId w:val="0"/>
              </w:numPr>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color w:val="000000"/>
                <w:kern w:val="0"/>
                <w:sz w:val="21"/>
                <w:szCs w:val="21"/>
                <w:vertAlign w:val="baseline"/>
                <w:lang w:val="en-US" w:eastAsia="zh-CN" w:bidi="ar"/>
              </w:rPr>
            </w:pPr>
            <w:r>
              <w:rPr>
                <w:rFonts w:hint="eastAsia" w:ascii="宋体" w:hAnsi="宋体" w:eastAsia="宋体" w:cs="宋体"/>
                <w:b/>
                <w:bCs/>
                <w:color w:val="000000"/>
                <w:kern w:val="0"/>
                <w:sz w:val="21"/>
                <w:szCs w:val="21"/>
                <w:vertAlign w:val="baseline"/>
                <w:lang w:val="en-US" w:eastAsia="zh-CN" w:bidi="ar"/>
              </w:rPr>
              <w:t>单位</w:t>
            </w:r>
          </w:p>
        </w:tc>
        <w:tc>
          <w:tcPr>
            <w:tcW w:w="1073" w:type="dxa"/>
          </w:tcPr>
          <w:p w14:paraId="75D5C185">
            <w:pPr>
              <w:keepNext w:val="0"/>
              <w:keepLines w:val="0"/>
              <w:pageBreakBefore w:val="0"/>
              <w:numPr>
                <w:ilvl w:val="0"/>
                <w:numId w:val="0"/>
              </w:numPr>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color w:val="000000"/>
                <w:kern w:val="0"/>
                <w:sz w:val="21"/>
                <w:szCs w:val="21"/>
                <w:vertAlign w:val="baseline"/>
                <w:lang w:val="en-US" w:eastAsia="zh-CN" w:bidi="ar"/>
              </w:rPr>
            </w:pPr>
            <w:r>
              <w:rPr>
                <w:rFonts w:hint="eastAsia" w:ascii="宋体" w:hAnsi="宋体" w:eastAsia="宋体" w:cs="宋体"/>
                <w:b/>
                <w:bCs/>
                <w:color w:val="000000"/>
                <w:kern w:val="0"/>
                <w:sz w:val="21"/>
                <w:szCs w:val="21"/>
                <w:vertAlign w:val="baseline"/>
                <w:lang w:val="en-US" w:eastAsia="zh-CN" w:bidi="ar"/>
              </w:rPr>
              <w:t>数量</w:t>
            </w:r>
          </w:p>
        </w:tc>
      </w:tr>
      <w:tr w14:paraId="5717A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0" w:type="dxa"/>
          </w:tcPr>
          <w:p w14:paraId="084DFC7B">
            <w:pPr>
              <w:keepNext w:val="0"/>
              <w:keepLines w:val="0"/>
              <w:pageBreakBefore w:val="0"/>
              <w:numPr>
                <w:ilvl w:val="0"/>
                <w:numId w:val="0"/>
              </w:numPr>
              <w:kinsoku/>
              <w:wordWrap/>
              <w:overflowPunct/>
              <w:topLinePunct w:val="0"/>
              <w:autoSpaceDE/>
              <w:autoSpaceDN/>
              <w:bidi w:val="0"/>
              <w:adjustRightInd/>
              <w:snapToGrid/>
              <w:spacing w:line="480" w:lineRule="exact"/>
              <w:jc w:val="center"/>
              <w:textAlignment w:val="auto"/>
              <w:rPr>
                <w:rFonts w:hint="default" w:ascii="宋体" w:hAnsi="宋体" w:eastAsia="宋体" w:cs="宋体"/>
                <w:b w:val="0"/>
                <w:bCs w:val="0"/>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vertAlign w:val="baseline"/>
                <w:lang w:val="en-US" w:eastAsia="zh-CN" w:bidi="ar"/>
              </w:rPr>
              <w:t>1</w:t>
            </w:r>
          </w:p>
        </w:tc>
        <w:tc>
          <w:tcPr>
            <w:tcW w:w="1337" w:type="dxa"/>
          </w:tcPr>
          <w:p w14:paraId="5527B90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val="0"/>
                <w:bCs w:val="0"/>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lang w:val="en-US" w:eastAsia="zh-CN" w:bidi="ar"/>
              </w:rPr>
              <w:t>#2 主变压器</w:t>
            </w:r>
          </w:p>
        </w:tc>
        <w:tc>
          <w:tcPr>
            <w:tcW w:w="3715" w:type="dxa"/>
          </w:tcPr>
          <w:p w14:paraId="2C6B504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val="0"/>
                <w:bCs w:val="0"/>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lang w:val="en-US" w:eastAsia="zh-CN" w:bidi="ar"/>
              </w:rPr>
              <w:t>推车式磷酸铵盐干粉灭火器MFT/ABC50</w:t>
            </w:r>
          </w:p>
        </w:tc>
        <w:tc>
          <w:tcPr>
            <w:tcW w:w="885" w:type="dxa"/>
          </w:tcPr>
          <w:p w14:paraId="41387B70">
            <w:pPr>
              <w:keepNext w:val="0"/>
              <w:keepLines w:val="0"/>
              <w:pageBreakBefore w:val="0"/>
              <w:numPr>
                <w:ilvl w:val="0"/>
                <w:numId w:val="0"/>
              </w:numPr>
              <w:kinsoku/>
              <w:wordWrap/>
              <w:overflowPunct/>
              <w:topLinePunct w:val="0"/>
              <w:autoSpaceDE/>
              <w:autoSpaceDN/>
              <w:bidi w:val="0"/>
              <w:adjustRightInd/>
              <w:snapToGrid/>
              <w:spacing w:line="480" w:lineRule="exact"/>
              <w:jc w:val="center"/>
              <w:textAlignment w:val="auto"/>
              <w:rPr>
                <w:rFonts w:hint="eastAsia" w:ascii="宋体" w:hAnsi="宋体" w:eastAsia="宋体" w:cs="宋体"/>
                <w:b w:val="0"/>
                <w:bCs w:val="0"/>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vertAlign w:val="baseline"/>
                <w:lang w:val="en-US" w:eastAsia="zh-CN" w:bidi="ar"/>
              </w:rPr>
              <w:t>只</w:t>
            </w:r>
          </w:p>
        </w:tc>
        <w:tc>
          <w:tcPr>
            <w:tcW w:w="1073" w:type="dxa"/>
          </w:tcPr>
          <w:p w14:paraId="5E393389">
            <w:pPr>
              <w:keepNext w:val="0"/>
              <w:keepLines w:val="0"/>
              <w:pageBreakBefore w:val="0"/>
              <w:numPr>
                <w:ilvl w:val="0"/>
                <w:numId w:val="0"/>
              </w:numPr>
              <w:kinsoku/>
              <w:wordWrap/>
              <w:overflowPunct/>
              <w:topLinePunct w:val="0"/>
              <w:autoSpaceDE/>
              <w:autoSpaceDN/>
              <w:bidi w:val="0"/>
              <w:adjustRightInd/>
              <w:snapToGrid/>
              <w:spacing w:line="480" w:lineRule="exact"/>
              <w:jc w:val="center"/>
              <w:textAlignment w:val="auto"/>
              <w:rPr>
                <w:rFonts w:hint="eastAsia" w:ascii="宋体" w:hAnsi="宋体" w:eastAsia="宋体" w:cs="宋体"/>
                <w:b w:val="0"/>
                <w:bCs w:val="0"/>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vertAlign w:val="baseline"/>
                <w:lang w:val="en-US" w:eastAsia="zh-CN" w:bidi="ar"/>
              </w:rPr>
              <w:t>2</w:t>
            </w:r>
          </w:p>
        </w:tc>
      </w:tr>
      <w:tr w14:paraId="2DEE9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0" w:type="dxa"/>
          </w:tcPr>
          <w:p w14:paraId="149E6CE7">
            <w:pPr>
              <w:keepNext w:val="0"/>
              <w:keepLines w:val="0"/>
              <w:pageBreakBefore w:val="0"/>
              <w:numPr>
                <w:ilvl w:val="0"/>
                <w:numId w:val="0"/>
              </w:numPr>
              <w:kinsoku/>
              <w:wordWrap/>
              <w:overflowPunct/>
              <w:topLinePunct w:val="0"/>
              <w:autoSpaceDE/>
              <w:autoSpaceDN/>
              <w:bidi w:val="0"/>
              <w:adjustRightInd/>
              <w:snapToGrid/>
              <w:spacing w:line="480" w:lineRule="exact"/>
              <w:jc w:val="center"/>
              <w:textAlignment w:val="auto"/>
              <w:rPr>
                <w:rFonts w:hint="default" w:ascii="宋体" w:hAnsi="宋体" w:eastAsia="宋体" w:cs="宋体"/>
                <w:b w:val="0"/>
                <w:bCs w:val="0"/>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vertAlign w:val="baseline"/>
                <w:lang w:val="en-US" w:eastAsia="zh-CN" w:bidi="ar"/>
              </w:rPr>
              <w:t>2</w:t>
            </w:r>
          </w:p>
        </w:tc>
        <w:tc>
          <w:tcPr>
            <w:tcW w:w="1337" w:type="dxa"/>
          </w:tcPr>
          <w:p w14:paraId="5C19D3B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#2 无功补偿装置场地</w:t>
            </w:r>
          </w:p>
        </w:tc>
        <w:tc>
          <w:tcPr>
            <w:tcW w:w="3715" w:type="dxa"/>
          </w:tcPr>
          <w:p w14:paraId="0E46BD4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手提式磷酸铵盐干粉灭火器 MF/ABC4</w:t>
            </w:r>
          </w:p>
        </w:tc>
        <w:tc>
          <w:tcPr>
            <w:tcW w:w="885" w:type="dxa"/>
            <w:vAlign w:val="top"/>
          </w:tcPr>
          <w:p w14:paraId="4E01A459">
            <w:pPr>
              <w:keepNext w:val="0"/>
              <w:keepLines w:val="0"/>
              <w:pageBreakBefore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宋体" w:hAnsi="宋体" w:eastAsia="宋体" w:cs="宋体"/>
                <w:b w:val="0"/>
                <w:bCs w:val="0"/>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vertAlign w:val="baseline"/>
                <w:lang w:val="en-US" w:eastAsia="zh-CN" w:bidi="ar"/>
              </w:rPr>
              <w:t>只</w:t>
            </w:r>
          </w:p>
        </w:tc>
        <w:tc>
          <w:tcPr>
            <w:tcW w:w="1073" w:type="dxa"/>
            <w:vAlign w:val="top"/>
          </w:tcPr>
          <w:p w14:paraId="5F07B4F2">
            <w:pPr>
              <w:keepNext w:val="0"/>
              <w:keepLines w:val="0"/>
              <w:pageBreakBefore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宋体" w:hAnsi="宋体" w:eastAsia="宋体" w:cs="宋体"/>
                <w:b w:val="0"/>
                <w:bCs w:val="0"/>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vertAlign w:val="baseline"/>
                <w:lang w:val="en-US" w:eastAsia="zh-CN" w:bidi="ar"/>
              </w:rPr>
              <w:t>2</w:t>
            </w:r>
          </w:p>
        </w:tc>
      </w:tr>
      <w:tr w14:paraId="236EF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0" w:type="dxa"/>
          </w:tcPr>
          <w:p w14:paraId="46888976">
            <w:pPr>
              <w:keepNext w:val="0"/>
              <w:keepLines w:val="0"/>
              <w:pageBreakBefore w:val="0"/>
              <w:numPr>
                <w:ilvl w:val="0"/>
                <w:numId w:val="0"/>
              </w:numPr>
              <w:kinsoku/>
              <w:wordWrap/>
              <w:overflowPunct/>
              <w:topLinePunct w:val="0"/>
              <w:autoSpaceDE/>
              <w:autoSpaceDN/>
              <w:bidi w:val="0"/>
              <w:adjustRightInd/>
              <w:snapToGrid/>
              <w:spacing w:line="480" w:lineRule="exact"/>
              <w:jc w:val="center"/>
              <w:textAlignment w:val="auto"/>
              <w:rPr>
                <w:rFonts w:hint="default" w:ascii="宋体" w:hAnsi="宋体" w:eastAsia="宋体" w:cs="宋体"/>
                <w:b w:val="0"/>
                <w:bCs w:val="0"/>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vertAlign w:val="baseline"/>
                <w:lang w:val="en-US" w:eastAsia="zh-CN" w:bidi="ar"/>
              </w:rPr>
              <w:t>3</w:t>
            </w:r>
          </w:p>
        </w:tc>
        <w:tc>
          <w:tcPr>
            <w:tcW w:w="1337" w:type="dxa"/>
          </w:tcPr>
          <w:p w14:paraId="6261D0F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光伏区</w:t>
            </w:r>
          </w:p>
        </w:tc>
        <w:tc>
          <w:tcPr>
            <w:tcW w:w="3715" w:type="dxa"/>
          </w:tcPr>
          <w:p w14:paraId="27511B1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手提式磷酸铵盐干粉灭火器 MF/ABC4</w:t>
            </w:r>
          </w:p>
          <w:p w14:paraId="024CB2C4">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val="0"/>
                <w:bCs w:val="0"/>
                <w:color w:val="000000"/>
                <w:kern w:val="0"/>
                <w:sz w:val="21"/>
                <w:szCs w:val="21"/>
                <w:lang w:val="en-US" w:eastAsia="zh-CN" w:bidi="ar"/>
              </w:rPr>
            </w:pPr>
          </w:p>
        </w:tc>
        <w:tc>
          <w:tcPr>
            <w:tcW w:w="885" w:type="dxa"/>
            <w:vAlign w:val="top"/>
          </w:tcPr>
          <w:p w14:paraId="4EEFFFFD">
            <w:pPr>
              <w:keepNext w:val="0"/>
              <w:keepLines w:val="0"/>
              <w:pageBreakBefore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宋体" w:hAnsi="宋体" w:eastAsia="宋体" w:cs="宋体"/>
                <w:b w:val="0"/>
                <w:bCs w:val="0"/>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vertAlign w:val="baseline"/>
                <w:lang w:val="en-US" w:eastAsia="zh-CN" w:bidi="ar"/>
              </w:rPr>
              <w:t>只</w:t>
            </w:r>
          </w:p>
        </w:tc>
        <w:tc>
          <w:tcPr>
            <w:tcW w:w="1073" w:type="dxa"/>
            <w:vAlign w:val="top"/>
          </w:tcPr>
          <w:p w14:paraId="34CE1C41">
            <w:pPr>
              <w:keepNext w:val="0"/>
              <w:keepLines w:val="0"/>
              <w:pageBreakBefore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宋体" w:hAnsi="宋体" w:eastAsia="宋体" w:cs="宋体"/>
                <w:b w:val="0"/>
                <w:bCs w:val="0"/>
                <w:color w:val="000000"/>
                <w:kern w:val="0"/>
                <w:sz w:val="21"/>
                <w:szCs w:val="21"/>
                <w:vertAlign w:val="baseline"/>
                <w:lang w:val="en-US" w:eastAsia="zh-CN" w:bidi="ar"/>
              </w:rPr>
            </w:pPr>
            <w:r>
              <w:rPr>
                <w:rFonts w:hint="eastAsia" w:ascii="宋体" w:hAnsi="宋体" w:eastAsia="宋体" w:cs="宋体"/>
                <w:b w:val="0"/>
                <w:bCs w:val="0"/>
                <w:color w:val="000000"/>
                <w:kern w:val="0"/>
                <w:sz w:val="21"/>
                <w:szCs w:val="21"/>
                <w:vertAlign w:val="baseline"/>
                <w:lang w:val="en-US" w:eastAsia="zh-CN" w:bidi="ar"/>
              </w:rPr>
              <w:t>44</w:t>
            </w:r>
          </w:p>
        </w:tc>
      </w:tr>
    </w:tbl>
    <w:p w14:paraId="7F861D05">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outlineLvl w:val="2"/>
        <w:rPr>
          <w:rFonts w:hint="default" w:ascii="宋体" w:hAnsi="宋体" w:eastAsia="宋体" w:cs="宋体"/>
          <w:b/>
          <w:bCs/>
          <w:color w:val="000000"/>
          <w:kern w:val="0"/>
          <w:sz w:val="30"/>
          <w:szCs w:val="30"/>
          <w:lang w:val="en-US" w:eastAsia="zh-CN" w:bidi="ar"/>
        </w:rPr>
      </w:pPr>
      <w:bookmarkStart w:id="200" w:name="_Toc3870"/>
      <w:r>
        <w:rPr>
          <w:rFonts w:hint="eastAsia" w:ascii="宋体" w:hAnsi="宋体" w:eastAsia="宋体" w:cs="宋体"/>
          <w:b/>
          <w:bCs/>
          <w:color w:val="000000"/>
          <w:kern w:val="0"/>
          <w:sz w:val="30"/>
          <w:szCs w:val="30"/>
          <w:lang w:val="en-US" w:eastAsia="zh-CN" w:bidi="ar"/>
        </w:rPr>
        <w:t>2.4</w:t>
      </w:r>
      <w:r>
        <w:rPr>
          <w:rFonts w:hint="eastAsia" w:ascii="宋体" w:hAnsi="宋体" w:cs="宋体"/>
          <w:b/>
          <w:bCs/>
          <w:color w:val="000000"/>
          <w:kern w:val="0"/>
          <w:sz w:val="30"/>
          <w:szCs w:val="30"/>
          <w:lang w:val="en-US" w:eastAsia="zh-CN" w:bidi="ar"/>
        </w:rPr>
        <w:t>.3照明</w:t>
      </w:r>
      <w:bookmarkEnd w:id="200"/>
    </w:p>
    <w:p w14:paraId="0616788A">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照明前期已建成，本期无需扩建。</w:t>
      </w:r>
    </w:p>
    <w:p w14:paraId="272F0E18">
      <w:pPr>
        <w:keepNext w:val="0"/>
        <w:keepLines w:val="0"/>
        <w:pageBreakBefore w:val="0"/>
        <w:widowControl w:val="0"/>
        <w:suppressLineNumbers w:val="0"/>
        <w:kinsoku/>
        <w:wordWrap/>
        <w:overflowPunct/>
        <w:topLinePunct w:val="0"/>
        <w:autoSpaceDE/>
        <w:autoSpaceDN/>
        <w:bidi w:val="0"/>
        <w:adjustRightInd/>
        <w:snapToGrid/>
        <w:spacing w:line="420" w:lineRule="exact"/>
        <w:jc w:val="left"/>
        <w:textAlignment w:val="auto"/>
        <w:outlineLvl w:val="2"/>
        <w:rPr>
          <w:rFonts w:hint="eastAsia" w:ascii="宋体" w:hAnsi="宋体" w:eastAsia="宋体" w:cs="宋体"/>
          <w:b/>
          <w:bCs/>
        </w:rPr>
      </w:pPr>
      <w:bookmarkStart w:id="201" w:name="_Toc25473"/>
      <w:r>
        <w:rPr>
          <w:rFonts w:hint="eastAsia" w:ascii="宋体" w:hAnsi="宋体" w:eastAsia="宋体" w:cs="宋体"/>
          <w:b/>
          <w:bCs/>
          <w:color w:val="000000"/>
          <w:kern w:val="0"/>
          <w:sz w:val="30"/>
          <w:szCs w:val="30"/>
          <w:lang w:val="en-US" w:eastAsia="zh-CN" w:bidi="ar"/>
        </w:rPr>
        <w:t>2.4.4</w:t>
      </w:r>
      <w:r>
        <w:rPr>
          <w:rFonts w:hint="eastAsia" w:ascii="宋体" w:hAnsi="宋体" w:eastAsia="宋体" w:cs="宋体"/>
          <w:b/>
          <w:bCs/>
          <w:color w:val="000000"/>
          <w:kern w:val="0"/>
          <w:sz w:val="28"/>
          <w:szCs w:val="28"/>
          <w:lang w:val="en-US" w:eastAsia="zh-CN" w:bidi="ar"/>
        </w:rPr>
        <w:t>通风、采暖与空气调节</w:t>
      </w:r>
      <w:bookmarkEnd w:id="201"/>
      <w:r>
        <w:rPr>
          <w:rFonts w:hint="eastAsia" w:ascii="宋体" w:hAnsi="宋体" w:eastAsia="宋体" w:cs="宋体"/>
          <w:b/>
          <w:bCs/>
          <w:color w:val="000000"/>
          <w:kern w:val="0"/>
          <w:sz w:val="28"/>
          <w:szCs w:val="28"/>
          <w:lang w:val="en-US" w:eastAsia="zh-CN" w:bidi="ar"/>
        </w:rPr>
        <w:t xml:space="preserve"> </w:t>
      </w:r>
    </w:p>
    <w:p w14:paraId="2560251E">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本期新增的设备设施露天布置为主，采用自然通风。新增的配电装置 </w:t>
      </w:r>
    </w:p>
    <w:p w14:paraId="157B8B9C">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接入曼景缅光伏电站</w:t>
      </w:r>
      <w:r>
        <w:rPr>
          <w:rFonts w:hint="default" w:ascii="Times New Roman" w:hAnsi="Times New Roman" w:eastAsia="宋体" w:cs="Times New Roman"/>
          <w:color w:val="000000"/>
          <w:kern w:val="0"/>
          <w:sz w:val="28"/>
          <w:szCs w:val="28"/>
          <w:lang w:val="en-US" w:eastAsia="zh-CN" w:bidi="ar"/>
        </w:rPr>
        <w:t>220kV</w:t>
      </w:r>
      <w:r>
        <w:rPr>
          <w:rFonts w:hint="eastAsia" w:ascii="宋体" w:hAnsi="宋体" w:eastAsia="宋体" w:cs="宋体"/>
          <w:color w:val="000000"/>
          <w:kern w:val="0"/>
          <w:sz w:val="28"/>
          <w:szCs w:val="28"/>
          <w:lang w:val="en-US" w:eastAsia="zh-CN" w:bidi="ar"/>
        </w:rPr>
        <w:t>升压站配电预制舱内，沿用原有通风系统。</w:t>
      </w:r>
    </w:p>
    <w:p w14:paraId="42E04B85">
      <w:pPr>
        <w:keepNext w:val="0"/>
        <w:keepLines w:val="0"/>
        <w:pageBreakBefore w:val="0"/>
        <w:widowControl w:val="0"/>
        <w:suppressLineNumbers w:val="0"/>
        <w:kinsoku/>
        <w:wordWrap/>
        <w:overflowPunct/>
        <w:topLinePunct w:val="0"/>
        <w:autoSpaceDE/>
        <w:autoSpaceDN/>
        <w:bidi w:val="0"/>
        <w:adjustRightInd/>
        <w:snapToGrid/>
        <w:spacing w:line="420" w:lineRule="exact"/>
        <w:jc w:val="both"/>
        <w:textAlignment w:val="auto"/>
        <w:outlineLvl w:val="2"/>
        <w:rPr>
          <w:rFonts w:hint="eastAsia" w:ascii="宋体" w:hAnsi="宋体" w:eastAsia="宋体" w:cs="宋体"/>
          <w:b/>
          <w:bCs/>
          <w:color w:val="000000"/>
          <w:kern w:val="0"/>
          <w:sz w:val="28"/>
          <w:szCs w:val="28"/>
          <w:lang w:val="en-US" w:eastAsia="zh-CN" w:bidi="ar"/>
        </w:rPr>
      </w:pPr>
      <w:bookmarkStart w:id="202" w:name="_Toc9330"/>
      <w:r>
        <w:rPr>
          <w:rFonts w:hint="eastAsia" w:ascii="宋体" w:hAnsi="宋体" w:eastAsia="宋体" w:cs="宋体"/>
          <w:b/>
          <w:bCs/>
          <w:color w:val="000000"/>
          <w:kern w:val="0"/>
          <w:sz w:val="30"/>
          <w:szCs w:val="30"/>
          <w:lang w:val="en-US" w:eastAsia="zh-CN" w:bidi="ar"/>
        </w:rPr>
        <w:t>2.4.5</w:t>
      </w:r>
      <w:r>
        <w:rPr>
          <w:rFonts w:hint="eastAsia" w:ascii="宋体" w:hAnsi="宋体" w:eastAsia="宋体" w:cs="宋体"/>
          <w:b/>
          <w:bCs/>
          <w:color w:val="000000"/>
          <w:kern w:val="0"/>
          <w:sz w:val="28"/>
          <w:szCs w:val="28"/>
          <w:lang w:val="en-US" w:eastAsia="zh-CN" w:bidi="ar"/>
        </w:rPr>
        <w:t>防雷系统</w:t>
      </w:r>
      <w:bookmarkEnd w:id="202"/>
    </w:p>
    <w:p w14:paraId="207E4B0B">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rPr>
          <w:rFonts w:hint="eastAsia" w:ascii="宋体" w:hAnsi="宋体" w:eastAsia="宋体" w:cs="宋体"/>
          <w:b/>
          <w:bCs/>
          <w:color w:val="000000"/>
          <w:kern w:val="0"/>
          <w:sz w:val="28"/>
          <w:szCs w:val="28"/>
          <w:lang w:val="en-US" w:eastAsia="zh-CN" w:bidi="ar"/>
        </w:rPr>
      </w:pPr>
      <w:r>
        <w:rPr>
          <w:rFonts w:hint="eastAsia" w:ascii="宋体" w:hAnsi="宋体" w:eastAsia="宋体" w:cs="宋体"/>
          <w:b/>
          <w:bCs/>
          <w:color w:val="000000"/>
          <w:kern w:val="0"/>
          <w:sz w:val="28"/>
          <w:szCs w:val="28"/>
          <w:lang w:val="en-US" w:eastAsia="zh-CN" w:bidi="ar"/>
        </w:rPr>
        <w:t xml:space="preserve">   </w:t>
      </w:r>
      <w:r>
        <w:rPr>
          <w:rFonts w:hint="eastAsia" w:ascii="宋体" w:hAnsi="宋体" w:cs="宋体"/>
          <w:color w:val="000000"/>
          <w:kern w:val="0"/>
          <w:sz w:val="28"/>
          <w:szCs w:val="28"/>
          <w:lang w:val="en-US" w:eastAsia="zh-CN" w:bidi="ar"/>
        </w:rPr>
        <w:t>项目于2025年8月完成建筑物雷电防护装置检测报告。</w:t>
      </w:r>
    </w:p>
    <w:p w14:paraId="5725598B">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1.</w:t>
      </w:r>
      <w:r>
        <w:rPr>
          <w:rFonts w:hint="eastAsia" w:ascii="宋体" w:hAnsi="宋体" w:eastAsia="宋体" w:cs="宋体"/>
          <w:color w:val="000000"/>
          <w:kern w:val="0"/>
          <w:sz w:val="28"/>
          <w:szCs w:val="28"/>
          <w:lang w:val="en-US" w:eastAsia="zh-CN" w:bidi="ar"/>
        </w:rPr>
        <w:t xml:space="preserve">光伏阵列保护 </w:t>
      </w:r>
    </w:p>
    <w:p w14:paraId="672EA715">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光伏方阵接地装置按《交流电气装置的接地设计规范》（</w:t>
      </w:r>
      <w:r>
        <w:rPr>
          <w:rFonts w:hint="default" w:ascii="Times New Roman" w:hAnsi="Times New Roman" w:eastAsia="宋体" w:cs="Times New Roman"/>
          <w:color w:val="000000"/>
          <w:kern w:val="0"/>
          <w:sz w:val="28"/>
          <w:szCs w:val="28"/>
          <w:lang w:val="en-US" w:eastAsia="zh-CN" w:bidi="ar"/>
        </w:rPr>
        <w:t>GB/T50065-2011</w:t>
      </w:r>
      <w:r>
        <w:rPr>
          <w:rFonts w:hint="eastAsia" w:ascii="Times New Roman" w:hAnsi="Times New Roman" w:eastAsia="宋体" w:cs="Times New Roman"/>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的规定进行设计。场区接地需结合场地地质条件，选用经济合理的接地方案，保证接地电阻不大于</w:t>
      </w:r>
      <w:r>
        <w:rPr>
          <w:rFonts w:hint="default" w:ascii="Times New Roman" w:hAnsi="Times New Roman" w:eastAsia="宋体" w:cs="Times New Roman"/>
          <w:color w:val="000000"/>
          <w:kern w:val="0"/>
          <w:sz w:val="28"/>
          <w:szCs w:val="28"/>
          <w:lang w:val="en-US" w:eastAsia="zh-CN" w:bidi="ar"/>
        </w:rPr>
        <w:t>4</w:t>
      </w:r>
      <w:r>
        <w:rPr>
          <w:rFonts w:hint="eastAsia" w:ascii="宋体" w:hAnsi="宋体" w:eastAsia="宋体" w:cs="宋体"/>
          <w:color w:val="000000"/>
          <w:kern w:val="0"/>
          <w:sz w:val="28"/>
          <w:szCs w:val="28"/>
          <w:lang w:val="en-US" w:eastAsia="zh-CN" w:bidi="ar"/>
        </w:rPr>
        <w:t xml:space="preserve">Ω。 </w:t>
      </w:r>
    </w:p>
    <w:p w14:paraId="7CF439FC">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光伏区接地网采用水平接地体与垂直接地体组成的复合接地网，接地 </w:t>
      </w:r>
    </w:p>
    <w:p w14:paraId="5D471EA1">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网外沿各角做成弧形</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主接地网埋深不小于</w:t>
      </w:r>
      <w:r>
        <w:rPr>
          <w:rFonts w:hint="default" w:ascii="Times New Roman" w:hAnsi="Times New Roman" w:eastAsia="宋体" w:cs="Times New Roman"/>
          <w:color w:val="000000"/>
          <w:kern w:val="0"/>
          <w:sz w:val="28"/>
          <w:szCs w:val="28"/>
          <w:lang w:val="en-US" w:eastAsia="zh-CN" w:bidi="ar"/>
        </w:rPr>
        <w:t>0.8</w:t>
      </w:r>
      <w:r>
        <w:rPr>
          <w:rFonts w:hint="eastAsia" w:ascii="宋体" w:hAnsi="宋体" w:eastAsia="宋体" w:cs="宋体"/>
          <w:color w:val="000000"/>
          <w:kern w:val="0"/>
          <w:sz w:val="28"/>
          <w:szCs w:val="28"/>
          <w:lang w:val="en-US" w:eastAsia="zh-CN" w:bidi="ar"/>
        </w:rPr>
        <w:t xml:space="preserve">米，且在当地冻土层以下； </w:t>
      </w:r>
    </w:p>
    <w:p w14:paraId="016C3356">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主接地网采用</w:t>
      </w:r>
      <w:r>
        <w:rPr>
          <w:rFonts w:hint="default" w:ascii="Times New Roman" w:hAnsi="Times New Roman" w:eastAsia="宋体" w:cs="Times New Roman"/>
          <w:color w:val="000000"/>
          <w:kern w:val="0"/>
          <w:sz w:val="28"/>
          <w:szCs w:val="28"/>
          <w:lang w:val="en-US" w:eastAsia="zh-CN" w:bidi="ar"/>
        </w:rPr>
        <w:t>50</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5</w:t>
      </w:r>
      <w:r>
        <w:rPr>
          <w:rFonts w:hint="eastAsia" w:ascii="宋体" w:hAnsi="宋体" w:eastAsia="宋体" w:cs="宋体"/>
          <w:color w:val="000000"/>
          <w:kern w:val="0"/>
          <w:sz w:val="28"/>
          <w:szCs w:val="28"/>
          <w:lang w:val="en-US" w:eastAsia="zh-CN" w:bidi="ar"/>
        </w:rPr>
        <w:t>热镀锌扁钢、垂直接地体采用</w:t>
      </w:r>
      <w:r>
        <w:rPr>
          <w:rFonts w:hint="default" w:ascii="Times New Roman" w:hAnsi="Times New Roman" w:eastAsia="宋体" w:cs="Times New Roman"/>
          <w:color w:val="000000"/>
          <w:kern w:val="0"/>
          <w:sz w:val="28"/>
          <w:szCs w:val="28"/>
          <w:lang w:val="en-US" w:eastAsia="zh-CN" w:bidi="ar"/>
        </w:rPr>
        <w:t>50</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50</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5</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 xml:space="preserve">L=2.5m </w:t>
      </w:r>
      <w:r>
        <w:rPr>
          <w:rFonts w:hint="eastAsia" w:ascii="宋体" w:hAnsi="宋体" w:eastAsia="宋体" w:cs="宋体"/>
          <w:color w:val="000000"/>
          <w:kern w:val="0"/>
          <w:sz w:val="28"/>
          <w:szCs w:val="28"/>
          <w:lang w:val="en-US" w:eastAsia="zh-CN" w:bidi="ar"/>
        </w:rPr>
        <w:t xml:space="preserve">热镀锌角钢。 </w:t>
      </w:r>
    </w:p>
    <w:p w14:paraId="0B917FB3">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逆变器接地线须用</w:t>
      </w:r>
      <w:r>
        <w:rPr>
          <w:rFonts w:hint="default" w:ascii="Times New Roman" w:hAnsi="Times New Roman" w:eastAsia="宋体" w:cs="Times New Roman"/>
          <w:color w:val="000000"/>
          <w:kern w:val="0"/>
          <w:sz w:val="28"/>
          <w:szCs w:val="28"/>
          <w:lang w:val="en-US" w:eastAsia="zh-CN" w:bidi="ar"/>
        </w:rPr>
        <w:t xml:space="preserve">BVR-1x25 </w:t>
      </w:r>
      <w:r>
        <w:rPr>
          <w:rFonts w:hint="eastAsia" w:ascii="宋体" w:hAnsi="宋体" w:eastAsia="宋体" w:cs="宋体"/>
          <w:color w:val="000000"/>
          <w:kern w:val="0"/>
          <w:sz w:val="28"/>
          <w:szCs w:val="28"/>
          <w:lang w:val="en-US" w:eastAsia="zh-CN" w:bidi="ar"/>
        </w:rPr>
        <w:t>铜绞线引至接地扁钢上用线鼻可靠固定；光伏组件边框上的接地孔须用</w:t>
      </w:r>
      <w:r>
        <w:rPr>
          <w:rFonts w:hint="default" w:ascii="Times New Roman" w:hAnsi="Times New Roman" w:eastAsia="宋体" w:cs="Times New Roman"/>
          <w:color w:val="000000"/>
          <w:kern w:val="0"/>
          <w:sz w:val="28"/>
          <w:szCs w:val="28"/>
          <w:lang w:val="en-US" w:eastAsia="zh-CN" w:bidi="ar"/>
        </w:rPr>
        <w:t>BVR-1</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4</w:t>
      </w:r>
      <w:r>
        <w:rPr>
          <w:rFonts w:hint="eastAsia" w:ascii="宋体" w:hAnsi="宋体" w:eastAsia="宋体" w:cs="宋体"/>
          <w:color w:val="000000"/>
          <w:kern w:val="0"/>
          <w:sz w:val="28"/>
          <w:szCs w:val="28"/>
          <w:lang w:val="en-US" w:eastAsia="zh-CN" w:bidi="ar"/>
        </w:rPr>
        <w:t>铜绞线逐个跨接</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直至两边边缘与支架的连接螺栓用线鼻可靠固定；电缆桥架连接板处采用</w:t>
      </w:r>
      <w:r>
        <w:rPr>
          <w:rFonts w:hint="default" w:ascii="Times New Roman" w:hAnsi="Times New Roman" w:eastAsia="宋体" w:cs="Times New Roman"/>
          <w:color w:val="000000"/>
          <w:kern w:val="0"/>
          <w:sz w:val="28"/>
          <w:szCs w:val="28"/>
          <w:lang w:val="en-US" w:eastAsia="zh-CN" w:bidi="ar"/>
        </w:rPr>
        <w:t>BVR-1</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4</w:t>
      </w:r>
      <w:r>
        <w:rPr>
          <w:rFonts w:hint="eastAsia" w:ascii="宋体" w:hAnsi="宋体" w:eastAsia="宋体" w:cs="宋体"/>
          <w:color w:val="000000"/>
          <w:kern w:val="0"/>
          <w:sz w:val="28"/>
          <w:szCs w:val="28"/>
          <w:lang w:val="en-US" w:eastAsia="zh-CN" w:bidi="ar"/>
        </w:rPr>
        <w:t>接地软铜线可靠连接</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电缆桥架通过</w:t>
      </w:r>
      <w:r>
        <w:rPr>
          <w:rFonts w:hint="default" w:ascii="Times New Roman" w:hAnsi="Times New Roman" w:eastAsia="宋体" w:cs="Times New Roman"/>
          <w:color w:val="000000"/>
          <w:kern w:val="0"/>
          <w:sz w:val="28"/>
          <w:szCs w:val="28"/>
          <w:lang w:val="en-US" w:eastAsia="zh-CN" w:bidi="ar"/>
        </w:rPr>
        <w:t>BVR-1</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16</w:t>
      </w:r>
      <w:r>
        <w:rPr>
          <w:rFonts w:hint="eastAsia" w:ascii="宋体" w:hAnsi="宋体" w:eastAsia="宋体" w:cs="宋体"/>
          <w:color w:val="000000"/>
          <w:kern w:val="0"/>
          <w:sz w:val="28"/>
          <w:szCs w:val="28"/>
          <w:lang w:val="en-US" w:eastAsia="zh-CN" w:bidi="ar"/>
        </w:rPr>
        <w:t>的接地软铜线与主接地网可靠连接；桥架起始端和终点端均可靠接地</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并每隔</w:t>
      </w:r>
      <w:r>
        <w:rPr>
          <w:rFonts w:hint="default" w:ascii="Times New Roman" w:hAnsi="Times New Roman" w:eastAsia="宋体" w:cs="Times New Roman"/>
          <w:color w:val="000000"/>
          <w:kern w:val="0"/>
          <w:sz w:val="28"/>
          <w:szCs w:val="28"/>
          <w:lang w:val="en-US" w:eastAsia="zh-CN" w:bidi="ar"/>
        </w:rPr>
        <w:t>20m</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30m</w:t>
      </w:r>
      <w:r>
        <w:rPr>
          <w:rFonts w:hint="eastAsia" w:ascii="宋体" w:hAnsi="宋体" w:eastAsia="宋体" w:cs="宋体"/>
          <w:color w:val="000000"/>
          <w:kern w:val="0"/>
          <w:sz w:val="28"/>
          <w:szCs w:val="28"/>
          <w:lang w:val="en-US" w:eastAsia="zh-CN" w:bidi="ar"/>
        </w:rPr>
        <w:t xml:space="preserve">增加一个连接点。 </w:t>
      </w:r>
    </w:p>
    <w:p w14:paraId="5F003907">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 xml:space="preserve">2.220kV </w:t>
      </w:r>
      <w:r>
        <w:rPr>
          <w:rFonts w:hint="eastAsia" w:ascii="宋体" w:hAnsi="宋体" w:eastAsia="宋体" w:cs="宋体"/>
          <w:color w:val="000000"/>
          <w:kern w:val="0"/>
          <w:sz w:val="28"/>
          <w:szCs w:val="28"/>
          <w:lang w:val="en-US" w:eastAsia="zh-CN" w:bidi="ar"/>
        </w:rPr>
        <w:t xml:space="preserve">升压站防雷 </w:t>
      </w:r>
    </w:p>
    <w:p w14:paraId="5F6AE8C9">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1</w:t>
      </w:r>
      <w:r>
        <w:rPr>
          <w:rFonts w:hint="eastAsia" w:ascii="宋体" w:hAnsi="宋体" w:eastAsia="宋体" w:cs="宋体"/>
          <w:color w:val="000000"/>
          <w:kern w:val="0"/>
          <w:sz w:val="28"/>
          <w:szCs w:val="28"/>
          <w:lang w:val="en-US" w:eastAsia="zh-CN" w:bidi="ar"/>
        </w:rPr>
        <w:t xml:space="preserve">）直击雷保护 </w:t>
      </w:r>
    </w:p>
    <w:p w14:paraId="3F69310E">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本并网光伏电站的过电压保护及绝缘配合设计按《交流电气装置的接 地设计规范》（</w:t>
      </w:r>
      <w:r>
        <w:rPr>
          <w:rFonts w:hint="default" w:ascii="Times New Roman" w:hAnsi="Times New Roman" w:eastAsia="宋体" w:cs="Times New Roman"/>
          <w:color w:val="000000"/>
          <w:kern w:val="0"/>
          <w:sz w:val="28"/>
          <w:szCs w:val="28"/>
          <w:lang w:val="en-US" w:eastAsia="zh-CN" w:bidi="ar"/>
        </w:rPr>
        <w:t>GB/T50065-2011</w:t>
      </w:r>
      <w:r>
        <w:rPr>
          <w:rFonts w:hint="eastAsia" w:ascii="Times New Roman" w:hAnsi="Times New Roman" w:eastAsia="宋体" w:cs="Times New Roman"/>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的规定进行。</w:t>
      </w:r>
      <w:r>
        <w:rPr>
          <w:rFonts w:hint="default" w:ascii="Times New Roman" w:hAnsi="Times New Roman" w:eastAsia="宋体" w:cs="Times New Roman"/>
          <w:color w:val="000000"/>
          <w:kern w:val="0"/>
          <w:sz w:val="28"/>
          <w:szCs w:val="28"/>
          <w:lang w:val="en-US" w:eastAsia="zh-CN" w:bidi="ar"/>
        </w:rPr>
        <w:t>220kV</w:t>
      </w:r>
      <w:r>
        <w:rPr>
          <w:rFonts w:hint="eastAsia" w:ascii="宋体" w:hAnsi="宋体" w:eastAsia="宋体" w:cs="宋体"/>
          <w:color w:val="000000"/>
          <w:kern w:val="0"/>
          <w:sz w:val="28"/>
          <w:szCs w:val="28"/>
          <w:lang w:val="en-US" w:eastAsia="zh-CN" w:bidi="ar"/>
        </w:rPr>
        <w:t>升压站设置</w:t>
      </w:r>
      <w:r>
        <w:rPr>
          <w:rFonts w:hint="default" w:ascii="Times New Roman" w:hAnsi="Times New Roman" w:eastAsia="宋体" w:cs="Times New Roman"/>
          <w:color w:val="000000"/>
          <w:kern w:val="0"/>
          <w:sz w:val="28"/>
          <w:szCs w:val="28"/>
          <w:lang w:val="en-US" w:eastAsia="zh-CN" w:bidi="ar"/>
        </w:rPr>
        <w:t>1</w:t>
      </w:r>
      <w:r>
        <w:rPr>
          <w:rFonts w:hint="eastAsia" w:cs="Times New Roman"/>
          <w:color w:val="000000"/>
          <w:kern w:val="0"/>
          <w:sz w:val="28"/>
          <w:szCs w:val="28"/>
          <w:lang w:val="en-US" w:eastAsia="zh-CN" w:bidi="ar"/>
        </w:rPr>
        <w:t>根</w:t>
      </w:r>
      <w:r>
        <w:rPr>
          <w:rFonts w:hint="default" w:ascii="Times New Roman" w:hAnsi="Times New Roman" w:eastAsia="宋体" w:cs="Times New Roman"/>
          <w:color w:val="000000"/>
          <w:kern w:val="0"/>
          <w:sz w:val="28"/>
          <w:szCs w:val="28"/>
          <w:lang w:val="en-US" w:eastAsia="zh-CN" w:bidi="ar"/>
        </w:rPr>
        <w:t>35</w:t>
      </w:r>
      <w:r>
        <w:rPr>
          <w:rFonts w:hint="eastAsia" w:ascii="宋体" w:hAnsi="宋体" w:eastAsia="宋体" w:cs="宋体"/>
          <w:color w:val="000000"/>
          <w:kern w:val="0"/>
          <w:sz w:val="28"/>
          <w:szCs w:val="28"/>
          <w:lang w:val="en-US" w:eastAsia="zh-CN" w:bidi="ar"/>
        </w:rPr>
        <w:t>米高构架避雷针，</w:t>
      </w:r>
      <w:r>
        <w:rPr>
          <w:rFonts w:hint="default" w:ascii="Times New Roman" w:hAnsi="Times New Roman" w:eastAsia="宋体" w:cs="Times New Roman"/>
          <w:color w:val="000000"/>
          <w:kern w:val="0"/>
          <w:sz w:val="28"/>
          <w:szCs w:val="28"/>
          <w:lang w:val="en-US" w:eastAsia="zh-CN" w:bidi="ar"/>
        </w:rPr>
        <w:t>2</w:t>
      </w:r>
      <w:r>
        <w:rPr>
          <w:rFonts w:hint="eastAsia" w:ascii="宋体" w:hAnsi="宋体" w:eastAsia="宋体" w:cs="宋体"/>
          <w:color w:val="000000"/>
          <w:kern w:val="0"/>
          <w:sz w:val="28"/>
          <w:szCs w:val="28"/>
          <w:lang w:val="en-US" w:eastAsia="zh-CN" w:bidi="ar"/>
        </w:rPr>
        <w:t>根</w:t>
      </w:r>
      <w:r>
        <w:rPr>
          <w:rFonts w:hint="default" w:ascii="Times New Roman" w:hAnsi="Times New Roman" w:eastAsia="宋体" w:cs="Times New Roman"/>
          <w:color w:val="000000"/>
          <w:kern w:val="0"/>
          <w:sz w:val="28"/>
          <w:szCs w:val="28"/>
          <w:lang w:val="en-US" w:eastAsia="zh-CN" w:bidi="ar"/>
        </w:rPr>
        <w:t>35</w:t>
      </w:r>
      <w:r>
        <w:rPr>
          <w:rFonts w:hint="eastAsia" w:ascii="宋体" w:hAnsi="宋体" w:eastAsia="宋体" w:cs="宋体"/>
          <w:color w:val="000000"/>
          <w:kern w:val="0"/>
          <w:sz w:val="28"/>
          <w:szCs w:val="28"/>
          <w:lang w:val="en-US" w:eastAsia="zh-CN" w:bidi="ar"/>
        </w:rPr>
        <w:t>米高独立避雷针，作为升压站内的防直击雷保护。</w:t>
      </w:r>
    </w:p>
    <w:p w14:paraId="4F671194">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2</w:t>
      </w:r>
      <w:r>
        <w:rPr>
          <w:rFonts w:hint="eastAsia" w:ascii="宋体" w:hAnsi="宋体" w:eastAsia="宋体" w:cs="宋体"/>
          <w:color w:val="000000"/>
          <w:kern w:val="0"/>
          <w:sz w:val="28"/>
          <w:szCs w:val="28"/>
          <w:lang w:val="en-US" w:eastAsia="zh-CN" w:bidi="ar"/>
        </w:rPr>
        <w:t xml:space="preserve">）感应雷保护和接地 </w:t>
      </w:r>
    </w:p>
    <w:p w14:paraId="0783B5E9">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针对感应雷的破坏途径，采取接地、分流、屏蔽、均压等电位等方法 </w:t>
      </w:r>
    </w:p>
    <w:p w14:paraId="47EAAF3A">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进行有效的防护，以保证人身和设备的安全。 </w:t>
      </w:r>
    </w:p>
    <w:p w14:paraId="2BBE8C93">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升压站接地网以水平均压网为主，并采用垂直接地极构成复合环形封 </w:t>
      </w:r>
    </w:p>
    <w:p w14:paraId="757064C1">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闭接地网。水平接地线采用</w:t>
      </w:r>
      <w:r>
        <w:rPr>
          <w:rFonts w:hint="default" w:ascii="Times New Roman" w:hAnsi="Times New Roman" w:eastAsia="宋体" w:cs="Times New Roman"/>
          <w:color w:val="000000"/>
          <w:kern w:val="0"/>
          <w:sz w:val="28"/>
          <w:szCs w:val="28"/>
          <w:lang w:val="en-US" w:eastAsia="zh-CN" w:bidi="ar"/>
        </w:rPr>
        <w:t>60mm</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8mm</w:t>
      </w:r>
      <w:r>
        <w:rPr>
          <w:rFonts w:hint="eastAsia" w:ascii="宋体" w:hAnsi="宋体" w:eastAsia="宋体" w:cs="宋体"/>
          <w:color w:val="000000"/>
          <w:kern w:val="0"/>
          <w:sz w:val="28"/>
          <w:szCs w:val="28"/>
          <w:lang w:val="en-US" w:eastAsia="zh-CN" w:bidi="ar"/>
        </w:rPr>
        <w:t>热镀锌扁铁，敷设深度</w:t>
      </w:r>
      <w:r>
        <w:rPr>
          <w:rFonts w:hint="default" w:ascii="Times New Roman" w:hAnsi="Times New Roman" w:eastAsia="宋体" w:cs="Times New Roman"/>
          <w:color w:val="000000"/>
          <w:kern w:val="0"/>
          <w:sz w:val="28"/>
          <w:szCs w:val="28"/>
          <w:lang w:val="en-US" w:eastAsia="zh-CN" w:bidi="ar"/>
        </w:rPr>
        <w:t>0.8m</w:t>
      </w:r>
      <w:r>
        <w:rPr>
          <w:rFonts w:hint="eastAsia" w:ascii="宋体" w:hAnsi="宋体" w:eastAsia="宋体" w:cs="宋体"/>
          <w:color w:val="000000"/>
          <w:kern w:val="0"/>
          <w:sz w:val="28"/>
          <w:szCs w:val="28"/>
          <w:lang w:val="en-US" w:eastAsia="zh-CN" w:bidi="ar"/>
        </w:rPr>
        <w:t xml:space="preserve">； </w:t>
      </w:r>
    </w:p>
    <w:p w14:paraId="44C8732B">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垂直接地极采用∠</w:t>
      </w:r>
      <w:r>
        <w:rPr>
          <w:rFonts w:hint="default" w:ascii="Times New Roman" w:hAnsi="Times New Roman" w:eastAsia="宋体" w:cs="Times New Roman"/>
          <w:color w:val="000000"/>
          <w:kern w:val="0"/>
          <w:sz w:val="28"/>
          <w:szCs w:val="28"/>
          <w:lang w:val="en-US" w:eastAsia="zh-CN" w:bidi="ar"/>
        </w:rPr>
        <w:t>50</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50</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 xml:space="preserve">5mm </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 xml:space="preserve">L=2.5m </w:t>
      </w:r>
      <w:r>
        <w:rPr>
          <w:rFonts w:hint="eastAsia" w:ascii="宋体" w:hAnsi="宋体" w:eastAsia="宋体" w:cs="宋体"/>
          <w:color w:val="000000"/>
          <w:kern w:val="0"/>
          <w:sz w:val="28"/>
          <w:szCs w:val="28"/>
          <w:lang w:val="en-US" w:eastAsia="zh-CN" w:bidi="ar"/>
        </w:rPr>
        <w:t xml:space="preserve">热镀锌角钢。在避雷针和装有 </w:t>
      </w:r>
    </w:p>
    <w:p w14:paraId="07329C1A">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避雷器的地点设集中接地装置。接地电阻按大电流接地系统要求设计，接 </w:t>
      </w:r>
    </w:p>
    <w:p w14:paraId="73B83685">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地电阻 </w:t>
      </w:r>
      <w:r>
        <w:rPr>
          <w:rFonts w:hint="default" w:ascii="Times New Roman" w:hAnsi="Times New Roman" w:eastAsia="宋体" w:cs="Times New Roman"/>
          <w:color w:val="000000"/>
          <w:kern w:val="0"/>
          <w:sz w:val="28"/>
          <w:szCs w:val="28"/>
          <w:lang w:val="en-US" w:eastAsia="zh-CN" w:bidi="ar"/>
        </w:rPr>
        <w:t>R</w:t>
      </w: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2000/I</w:t>
      </w:r>
      <w:r>
        <w:rPr>
          <w:rFonts w:hint="eastAsia" w:ascii="宋体" w:hAnsi="宋体" w:eastAsia="宋体" w:cs="宋体"/>
          <w:color w:val="000000"/>
          <w:kern w:val="0"/>
          <w:sz w:val="28"/>
          <w:szCs w:val="28"/>
          <w:lang w:val="en-US" w:eastAsia="zh-CN" w:bidi="ar"/>
        </w:rPr>
        <w:t xml:space="preserve">（入地电流在下个阶段研究）。当采用常规接地扁铁、接地角钢等接地材料，仅采取外引接地体或开挖回填来降低工频接地电阻已经不能满足接地规范要求，还需采取新型接地材料离子接地极或接地模块，灵活采用与其他降阻措施相结合，以便满足接地规范要求。 </w:t>
      </w:r>
    </w:p>
    <w:p w14:paraId="1AF72D70">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站内电气装置和设施的下列金属部分均应接地： </w:t>
      </w:r>
    </w:p>
    <w:p w14:paraId="43451BC1">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①变压器等的底座和外壳； </w:t>
      </w:r>
    </w:p>
    <w:p w14:paraId="4FF25B7E">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②互感器的二次绕组； </w:t>
      </w:r>
    </w:p>
    <w:p w14:paraId="60211943">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③设备的接地端子； </w:t>
      </w:r>
    </w:p>
    <w:p w14:paraId="7CC43F1C">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④配电、控制、保护用的屏。 </w:t>
      </w:r>
    </w:p>
    <w:p w14:paraId="1FB2ABFC">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二次设备楼要设供静态保护屏接地用的专用接地铜排，组成等电位接 </w:t>
      </w:r>
    </w:p>
    <w:p w14:paraId="7333BFB8">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地网，该铜排与主接地网应只有一点相连。 </w:t>
      </w:r>
    </w:p>
    <w:p w14:paraId="427487A4">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为防止由线路雷电侵入波以及雷电感应过电压和断路器操作时的过电压对电气设备的损坏，在以下各处装设避雷器： </w:t>
      </w:r>
    </w:p>
    <w:p w14:paraId="211920AB">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 </w:t>
      </w:r>
      <w:r>
        <w:rPr>
          <w:rFonts w:hint="default" w:ascii="Times New Roman" w:hAnsi="Times New Roman" w:eastAsia="宋体" w:cs="Times New Roman"/>
          <w:color w:val="000000"/>
          <w:kern w:val="0"/>
          <w:sz w:val="28"/>
          <w:szCs w:val="28"/>
          <w:lang w:val="en-US" w:eastAsia="zh-CN" w:bidi="ar"/>
        </w:rPr>
        <w:t xml:space="preserve">35kV </w:t>
      </w:r>
      <w:r>
        <w:rPr>
          <w:rFonts w:hint="eastAsia" w:ascii="宋体" w:hAnsi="宋体" w:eastAsia="宋体" w:cs="宋体"/>
          <w:color w:val="000000"/>
          <w:kern w:val="0"/>
          <w:sz w:val="28"/>
          <w:szCs w:val="28"/>
          <w:lang w:val="en-US" w:eastAsia="zh-CN" w:bidi="ar"/>
        </w:rPr>
        <w:t xml:space="preserve">馈线终端 </w:t>
      </w:r>
    </w:p>
    <w:p w14:paraId="11921B52">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 </w:t>
      </w:r>
      <w:r>
        <w:rPr>
          <w:rFonts w:hint="default" w:ascii="Times New Roman" w:hAnsi="Times New Roman" w:eastAsia="宋体" w:cs="Times New Roman"/>
          <w:color w:val="000000"/>
          <w:kern w:val="0"/>
          <w:sz w:val="28"/>
          <w:szCs w:val="28"/>
          <w:lang w:val="en-US" w:eastAsia="zh-CN" w:bidi="ar"/>
        </w:rPr>
        <w:t xml:space="preserve">35kV </w:t>
      </w:r>
      <w:r>
        <w:rPr>
          <w:rFonts w:hint="eastAsia" w:ascii="宋体" w:hAnsi="宋体" w:eastAsia="宋体" w:cs="宋体"/>
          <w:color w:val="000000"/>
          <w:kern w:val="0"/>
          <w:sz w:val="28"/>
          <w:szCs w:val="28"/>
          <w:lang w:val="en-US" w:eastAsia="zh-CN" w:bidi="ar"/>
        </w:rPr>
        <w:t>母线</w:t>
      </w:r>
    </w:p>
    <w:p w14:paraId="7D25B025">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逆变器内</w:t>
      </w:r>
    </w:p>
    <w:p w14:paraId="73B3DEAD">
      <w:pPr>
        <w:keepNext w:val="0"/>
        <w:keepLines w:val="0"/>
        <w:pageBreakBefore w:val="0"/>
        <w:widowControl w:val="0"/>
        <w:suppressLineNumbers w:val="0"/>
        <w:kinsoku/>
        <w:wordWrap/>
        <w:overflowPunct/>
        <w:topLinePunct w:val="0"/>
        <w:autoSpaceDE/>
        <w:autoSpaceDN/>
        <w:bidi w:val="0"/>
        <w:adjustRightInd/>
        <w:snapToGrid/>
        <w:spacing w:line="420" w:lineRule="exact"/>
        <w:jc w:val="both"/>
        <w:textAlignment w:val="auto"/>
        <w:outlineLvl w:val="2"/>
        <w:rPr>
          <w:rFonts w:hint="eastAsia" w:ascii="宋体" w:hAnsi="宋体" w:eastAsia="宋体" w:cs="宋体"/>
          <w:b/>
          <w:bCs/>
          <w:color w:val="000000"/>
          <w:kern w:val="0"/>
          <w:sz w:val="30"/>
          <w:szCs w:val="30"/>
          <w:lang w:val="en-US" w:eastAsia="zh-CN" w:bidi="ar"/>
        </w:rPr>
      </w:pPr>
      <w:bookmarkStart w:id="203" w:name="_Toc1922"/>
      <w:r>
        <w:rPr>
          <w:rFonts w:hint="eastAsia" w:ascii="宋体" w:hAnsi="宋体" w:eastAsia="宋体" w:cs="宋体"/>
          <w:b/>
          <w:bCs/>
          <w:color w:val="000000"/>
          <w:kern w:val="0"/>
          <w:sz w:val="30"/>
          <w:szCs w:val="30"/>
          <w:lang w:val="en-US" w:eastAsia="zh-CN" w:bidi="ar"/>
        </w:rPr>
        <w:t>2.4.6计算机监控系统</w:t>
      </w:r>
      <w:bookmarkEnd w:id="203"/>
    </w:p>
    <w:p w14:paraId="4B87911F">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本并网光伏电站工程全部设备均由计算机监控系统进行监控。并网光 </w:t>
      </w:r>
    </w:p>
    <w:p w14:paraId="26C13EE7">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伏电站分为三级监控：在各光伏阵列现场逆变升压单元对每个光伏阵列进 </w:t>
      </w:r>
    </w:p>
    <w:p w14:paraId="1FF383C3">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行监控；在</w:t>
      </w:r>
      <w:r>
        <w:rPr>
          <w:rFonts w:hint="default" w:ascii="Times New Roman" w:hAnsi="Times New Roman" w:eastAsia="宋体" w:cs="Times New Roman"/>
          <w:color w:val="000000"/>
          <w:kern w:val="0"/>
          <w:sz w:val="28"/>
          <w:szCs w:val="28"/>
          <w:lang w:val="en-US" w:eastAsia="zh-CN" w:bidi="ar"/>
        </w:rPr>
        <w:t>220kV</w:t>
      </w:r>
      <w:r>
        <w:rPr>
          <w:rFonts w:hint="eastAsia" w:ascii="宋体" w:hAnsi="宋体" w:eastAsia="宋体" w:cs="宋体"/>
          <w:color w:val="000000"/>
          <w:kern w:val="0"/>
          <w:sz w:val="28"/>
          <w:szCs w:val="28"/>
          <w:lang w:val="en-US" w:eastAsia="zh-CN" w:bidi="ar"/>
        </w:rPr>
        <w:t>升压站的 中央控制室对光伏阵列主要设备和升压站电气设备等进行集中监控；根据需要可在远方 调度，对整个并网光伏电站工程设备进行监控。升压站和光伏场区监控系统采用统一平台进行设计。本期工程为曼景缅</w:t>
      </w:r>
      <w:r>
        <w:rPr>
          <w:rFonts w:hint="default" w:ascii="Times New Roman" w:hAnsi="Times New Roman" w:eastAsia="宋体" w:cs="Times New Roman"/>
          <w:color w:val="000000"/>
          <w:kern w:val="0"/>
          <w:sz w:val="28"/>
          <w:szCs w:val="28"/>
          <w:lang w:val="en-US" w:eastAsia="zh-CN" w:bidi="ar"/>
        </w:rPr>
        <w:t>#2</w:t>
      </w:r>
      <w:r>
        <w:rPr>
          <w:rFonts w:hint="eastAsia" w:ascii="宋体" w:hAnsi="宋体" w:eastAsia="宋体" w:cs="宋体"/>
          <w:color w:val="000000"/>
          <w:kern w:val="0"/>
          <w:sz w:val="28"/>
          <w:szCs w:val="28"/>
          <w:lang w:val="en-US" w:eastAsia="zh-CN" w:bidi="ar"/>
        </w:rPr>
        <w:t xml:space="preserve">主变扩建，本期装置接入一期已有的计算机监控系统，一期计算机监控系统相应扩容。 </w:t>
      </w:r>
    </w:p>
    <w:p w14:paraId="5174FBC9">
      <w:pPr>
        <w:keepNext w:val="0"/>
        <w:keepLines w:val="0"/>
        <w:pageBreakBefore w:val="0"/>
        <w:widowControl/>
        <w:suppressLineNumbers w:val="0"/>
        <w:kinsoku/>
        <w:wordWrap/>
        <w:overflowPunct/>
        <w:topLinePunct w:val="0"/>
        <w:autoSpaceDE/>
        <w:autoSpaceDN/>
        <w:bidi w:val="0"/>
        <w:adjustRightInd/>
        <w:snapToGrid/>
        <w:spacing w:line="420" w:lineRule="exact"/>
        <w:ind w:firstLine="562" w:firstLineChars="200"/>
        <w:jc w:val="left"/>
        <w:textAlignment w:val="auto"/>
      </w:pPr>
      <w:r>
        <w:rPr>
          <w:rFonts w:hint="eastAsia" w:ascii="宋体" w:hAnsi="宋体" w:eastAsia="宋体" w:cs="宋体"/>
          <w:b/>
          <w:bCs/>
          <w:color w:val="000000"/>
          <w:kern w:val="0"/>
          <w:sz w:val="28"/>
          <w:szCs w:val="28"/>
          <w:lang w:val="en-US" w:eastAsia="zh-CN" w:bidi="ar"/>
        </w:rPr>
        <w:t xml:space="preserve">升压站监控系统： </w:t>
      </w:r>
    </w:p>
    <w:p w14:paraId="299B0FC7">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default" w:ascii="Times New Roman" w:hAnsi="Times New Roman" w:eastAsia="宋体" w:cs="Times New Roman"/>
          <w:color w:val="000000"/>
          <w:kern w:val="0"/>
          <w:sz w:val="28"/>
          <w:szCs w:val="28"/>
          <w:lang w:val="en-US" w:eastAsia="zh-CN" w:bidi="ar"/>
        </w:rPr>
        <w:t>220kV</w:t>
      </w:r>
      <w:r>
        <w:rPr>
          <w:rFonts w:hint="eastAsia" w:ascii="宋体" w:hAnsi="宋体" w:eastAsia="宋体" w:cs="宋体"/>
          <w:color w:val="000000"/>
          <w:kern w:val="0"/>
          <w:sz w:val="28"/>
          <w:szCs w:val="28"/>
          <w:lang w:val="en-US" w:eastAsia="zh-CN" w:bidi="ar"/>
        </w:rPr>
        <w:t xml:space="preserve">曼景缅一期升压站采用计算机监控系统及微机保护自动化装置来实现升压站的控制、保护、测量、远动等全部功能。计算机监控方式采用开放式、分布式网络结构，所有控制、保护测量、报警等信号均在就地单元内处理，经总线传输至主控室内的监控计算机。计算机监控系统包括光伏发电系统的数据采集及监控、升压站微机保护信息的采集与监视、升压站断路器就地与远方操作等功能。 </w:t>
      </w:r>
    </w:p>
    <w:p w14:paraId="5995E661">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计算机监控系统包括站控层和间隔层两部分，其网络结构为开放式分 </w:t>
      </w:r>
    </w:p>
    <w:p w14:paraId="5860C17C">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层、分布式结构。站控层为整个光伏发电工程设备监视、测量、控制、管理的中心，通过用屏蔽双绞 线、同轴电缆或光缆与升压站控制间隔层及各光伏并网逆变器控制器相连。升压站控制 间隔层按照不同的电压等级和电气间隔单元分布在各配电室或保护室内。在站控层及网络失效的情况下，间隔层（包括逆变器）仍能独立完成间隔层的监测以及断路器的保护控制功能。 </w:t>
      </w:r>
    </w:p>
    <w:p w14:paraId="39DC7D26">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站控层设备包括后台监控主站、打印机、</w:t>
      </w:r>
      <w:r>
        <w:rPr>
          <w:rFonts w:hint="default" w:ascii="Times New Roman" w:hAnsi="Times New Roman" w:eastAsia="宋体" w:cs="Times New Roman"/>
          <w:color w:val="000000"/>
          <w:kern w:val="0"/>
          <w:sz w:val="28"/>
          <w:szCs w:val="28"/>
          <w:lang w:val="en-US" w:eastAsia="zh-CN" w:bidi="ar"/>
        </w:rPr>
        <w:t>GPS</w:t>
      </w:r>
      <w:r>
        <w:rPr>
          <w:rFonts w:hint="eastAsia" w:ascii="宋体" w:hAnsi="宋体" w:eastAsia="宋体" w:cs="宋体"/>
          <w:color w:val="000000"/>
          <w:kern w:val="0"/>
          <w:sz w:val="28"/>
          <w:szCs w:val="28"/>
          <w:lang w:val="en-US" w:eastAsia="zh-CN" w:bidi="ar"/>
        </w:rPr>
        <w:t xml:space="preserve">对时装置及网络设备等。间隔层设备由电气设备测控单元、保护装置通讯单元、逆变器控制器、汇流箱组串电流监测器、网络通信单元、网络系统等构成。 </w:t>
      </w:r>
    </w:p>
    <w:p w14:paraId="02E87D18">
      <w:pPr>
        <w:keepNext w:val="0"/>
        <w:keepLines w:val="0"/>
        <w:pageBreakBefore w:val="0"/>
        <w:widowControl/>
        <w:suppressLineNumbers w:val="0"/>
        <w:kinsoku/>
        <w:wordWrap/>
        <w:overflowPunct/>
        <w:topLinePunct w:val="0"/>
        <w:autoSpaceDE/>
        <w:autoSpaceDN/>
        <w:bidi w:val="0"/>
        <w:adjustRightInd/>
        <w:snapToGrid/>
        <w:spacing w:line="420" w:lineRule="exact"/>
        <w:ind w:firstLine="562" w:firstLineChars="200"/>
        <w:jc w:val="left"/>
        <w:textAlignment w:val="auto"/>
      </w:pPr>
      <w:r>
        <w:rPr>
          <w:rFonts w:hint="eastAsia" w:ascii="宋体" w:hAnsi="宋体" w:eastAsia="宋体" w:cs="宋体"/>
          <w:b/>
          <w:bCs/>
          <w:color w:val="000000"/>
          <w:kern w:val="0"/>
          <w:sz w:val="28"/>
          <w:szCs w:val="28"/>
          <w:lang w:val="en-US" w:eastAsia="zh-CN" w:bidi="ar"/>
        </w:rPr>
        <w:t xml:space="preserve">光伏发电场内监控： </w:t>
      </w:r>
    </w:p>
    <w:p w14:paraId="45F7AF0D">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本期工程的光伏方阵采用就地分散布置，同一个方阵内采用集中布置 </w:t>
      </w:r>
    </w:p>
    <w:p w14:paraId="2A828D7D">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的方式。各光伏方阵的运行参数（包括直流输入电压和电流、交流输出电 </w:t>
      </w:r>
    </w:p>
    <w:p w14:paraId="734DC219">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压和电流、功率、电网频率及故障代码和信息等、光伏组件工作温度、区 </w:t>
      </w:r>
    </w:p>
    <w:p w14:paraId="7A3FE42E">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域辐照度、环境温度以及太阳能光伏电池组串电流等）依靠逆变器控制单 </w:t>
      </w:r>
    </w:p>
    <w:p w14:paraId="6EDE5A0A">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元监控并通过逆变器的通讯控制器，采用以太网传输方式上传至</w:t>
      </w:r>
      <w:r>
        <w:rPr>
          <w:rFonts w:hint="default" w:ascii="Times New Roman" w:hAnsi="Times New Roman" w:eastAsia="宋体" w:cs="Times New Roman"/>
          <w:color w:val="000000"/>
          <w:kern w:val="0"/>
          <w:sz w:val="28"/>
          <w:szCs w:val="28"/>
          <w:lang w:val="en-US" w:eastAsia="zh-CN" w:bidi="ar"/>
        </w:rPr>
        <w:t xml:space="preserve">220kV </w:t>
      </w:r>
      <w:r>
        <w:rPr>
          <w:rFonts w:hint="eastAsia" w:ascii="宋体" w:hAnsi="宋体" w:eastAsia="宋体" w:cs="宋体"/>
          <w:color w:val="000000"/>
          <w:kern w:val="0"/>
          <w:sz w:val="28"/>
          <w:szCs w:val="28"/>
          <w:lang w:val="en-US" w:eastAsia="zh-CN" w:bidi="ar"/>
        </w:rPr>
        <w:t xml:space="preserve">升压站计算机监控系统，在升压站中控室内通过计算机监控系统操作员站实现上述运行参数的监视、报警、历史数据储存。 </w:t>
      </w:r>
    </w:p>
    <w:p w14:paraId="1E2B562A">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在</w:t>
      </w:r>
      <w:r>
        <w:rPr>
          <w:rFonts w:hint="default" w:ascii="Times New Roman" w:hAnsi="Times New Roman" w:eastAsia="宋体" w:cs="Times New Roman"/>
          <w:color w:val="000000"/>
          <w:kern w:val="0"/>
          <w:sz w:val="28"/>
          <w:szCs w:val="28"/>
          <w:lang w:val="en-US" w:eastAsia="zh-CN" w:bidi="ar"/>
        </w:rPr>
        <w:t>220kV</w:t>
      </w:r>
      <w:r>
        <w:rPr>
          <w:rFonts w:hint="eastAsia" w:ascii="宋体" w:hAnsi="宋体" w:eastAsia="宋体" w:cs="宋体"/>
          <w:color w:val="000000"/>
          <w:kern w:val="0"/>
          <w:sz w:val="28"/>
          <w:szCs w:val="28"/>
          <w:lang w:val="en-US" w:eastAsia="zh-CN" w:bidi="ar"/>
        </w:rPr>
        <w:t>升压站主控室操作员站上还可以单独对每台逆变器进行参数设置，可以根 据实际的天气情况设置逆变器系统的启动和关断顺序，以使整个光伏发电工程的运行达到最优性能和最大的发电能力。</w:t>
      </w:r>
    </w:p>
    <w:p w14:paraId="59091EF1">
      <w:pPr>
        <w:keepNext w:val="0"/>
        <w:keepLines w:val="0"/>
        <w:pageBreakBefore w:val="0"/>
        <w:widowControl w:val="0"/>
        <w:suppressLineNumbers w:val="0"/>
        <w:kinsoku/>
        <w:wordWrap/>
        <w:overflowPunct/>
        <w:topLinePunct w:val="0"/>
        <w:autoSpaceDE/>
        <w:autoSpaceDN/>
        <w:bidi w:val="0"/>
        <w:adjustRightInd/>
        <w:snapToGrid/>
        <w:spacing w:line="420" w:lineRule="exact"/>
        <w:jc w:val="both"/>
        <w:textAlignment w:val="auto"/>
        <w:outlineLvl w:val="1"/>
        <w:rPr>
          <w:rFonts w:hint="default" w:ascii="宋体" w:hAnsi="宋体" w:cs="宋体"/>
          <w:b/>
          <w:bCs/>
          <w:color w:val="000000"/>
          <w:kern w:val="0"/>
          <w:sz w:val="32"/>
          <w:szCs w:val="32"/>
          <w:lang w:val="en-US" w:eastAsia="zh-CN" w:bidi="ar"/>
        </w:rPr>
      </w:pPr>
      <w:bookmarkStart w:id="204" w:name="_Toc3103"/>
      <w:r>
        <w:rPr>
          <w:rFonts w:hint="eastAsia" w:ascii="宋体" w:hAnsi="宋体" w:cs="宋体"/>
          <w:b/>
          <w:bCs/>
          <w:color w:val="000000"/>
          <w:kern w:val="0"/>
          <w:sz w:val="32"/>
          <w:szCs w:val="32"/>
          <w:lang w:val="en-US" w:eastAsia="zh-CN" w:bidi="ar"/>
        </w:rPr>
        <w:t>2.5安全管理</w:t>
      </w:r>
      <w:bookmarkEnd w:id="204"/>
    </w:p>
    <w:p w14:paraId="2DB3CD73">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outlineLvl w:val="2"/>
        <w:rPr>
          <w:rFonts w:hint="eastAsia" w:ascii="宋体" w:hAnsi="宋体" w:eastAsia="宋体" w:cs="宋体"/>
          <w:b/>
          <w:bCs/>
          <w:color w:val="000000"/>
          <w:kern w:val="0"/>
          <w:sz w:val="30"/>
          <w:szCs w:val="30"/>
          <w:lang w:val="en-US" w:eastAsia="zh-CN" w:bidi="ar"/>
        </w:rPr>
      </w:pPr>
      <w:bookmarkStart w:id="205" w:name="_Toc22161"/>
      <w:r>
        <w:rPr>
          <w:rFonts w:hint="eastAsia" w:ascii="宋体" w:hAnsi="宋体" w:eastAsia="宋体" w:cs="宋体"/>
          <w:b/>
          <w:bCs/>
          <w:color w:val="000000"/>
          <w:kern w:val="0"/>
          <w:sz w:val="30"/>
          <w:szCs w:val="30"/>
          <w:lang w:val="en-US" w:eastAsia="zh-CN" w:bidi="ar"/>
        </w:rPr>
        <w:t>2.5.1安全生产管理组织</w:t>
      </w:r>
      <w:bookmarkEnd w:id="205"/>
    </w:p>
    <w:p w14:paraId="6F7E1DF2">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rPr>
          <w:rFonts w:hint="default" w:ascii="宋体" w:hAnsi="宋体" w:eastAsia="宋体" w:cs="宋体"/>
          <w:b/>
          <w:bCs/>
          <w:color w:val="000000"/>
          <w:kern w:val="0"/>
          <w:sz w:val="30"/>
          <w:szCs w:val="30"/>
          <w:lang w:val="en-US" w:eastAsia="zh-CN" w:bidi="ar"/>
        </w:rPr>
      </w:pPr>
      <w:r>
        <w:rPr>
          <w:rFonts w:hint="eastAsia" w:ascii="宋体" w:hAnsi="宋体" w:eastAsia="宋体" w:cs="宋体"/>
          <w:color w:val="000000"/>
          <w:kern w:val="0"/>
          <w:sz w:val="28"/>
          <w:szCs w:val="28"/>
          <w:lang w:val="en-US" w:eastAsia="zh-CN" w:bidi="ar"/>
        </w:rPr>
        <w:t>本工程发电运营期定员以无人值班和少人值守为原则，编制</w:t>
      </w:r>
      <w:r>
        <w:rPr>
          <w:rFonts w:hint="eastAsia" w:ascii="宋体" w:hAnsi="宋体" w:cs="宋体"/>
          <w:color w:val="000000"/>
          <w:kern w:val="0"/>
          <w:sz w:val="28"/>
          <w:szCs w:val="28"/>
          <w:lang w:val="en-US" w:eastAsia="zh-CN" w:bidi="ar"/>
        </w:rPr>
        <w:t>8</w:t>
      </w:r>
      <w:r>
        <w:rPr>
          <w:rFonts w:hint="eastAsia" w:ascii="宋体" w:hAnsi="宋体" w:eastAsia="宋体" w:cs="宋体"/>
          <w:color w:val="000000"/>
          <w:kern w:val="0"/>
          <w:sz w:val="28"/>
          <w:szCs w:val="28"/>
          <w:lang w:val="en-US" w:eastAsia="zh-CN" w:bidi="ar"/>
        </w:rPr>
        <w:t>人，配备专职或兼职安全生产管理人员</w:t>
      </w:r>
      <w:r>
        <w:rPr>
          <w:rFonts w:hint="eastAsia" w:ascii="宋体" w:hAnsi="宋体" w:cs="宋体"/>
          <w:color w:val="000000"/>
          <w:kern w:val="0"/>
          <w:sz w:val="28"/>
          <w:szCs w:val="28"/>
          <w:lang w:val="en-US" w:eastAsia="zh-CN" w:bidi="ar"/>
        </w:rPr>
        <w:t>1</w:t>
      </w:r>
      <w:r>
        <w:rPr>
          <w:rFonts w:hint="eastAsia" w:ascii="宋体" w:hAnsi="宋体" w:eastAsia="宋体" w:cs="宋体"/>
          <w:color w:val="000000"/>
          <w:kern w:val="0"/>
          <w:sz w:val="28"/>
          <w:szCs w:val="28"/>
          <w:lang w:val="en-US" w:eastAsia="zh-CN" w:bidi="ar"/>
        </w:rPr>
        <w:t>名</w:t>
      </w:r>
      <w:r>
        <w:rPr>
          <w:rFonts w:hint="eastAsia" w:ascii="宋体" w:hAnsi="宋体" w:cs="宋体"/>
          <w:color w:val="000000"/>
          <w:kern w:val="0"/>
          <w:sz w:val="28"/>
          <w:szCs w:val="28"/>
          <w:lang w:val="en-US" w:eastAsia="zh-CN" w:bidi="ar"/>
        </w:rPr>
        <w:t>、主要负责人1名</w:t>
      </w:r>
      <w:r>
        <w:rPr>
          <w:rFonts w:hint="eastAsia" w:ascii="宋体" w:hAnsi="宋体" w:eastAsia="宋体" w:cs="宋体"/>
          <w:color w:val="000000"/>
          <w:kern w:val="0"/>
          <w:sz w:val="28"/>
          <w:szCs w:val="28"/>
          <w:lang w:val="en-US" w:eastAsia="zh-CN" w:bidi="ar"/>
        </w:rPr>
        <w:t>。太阳能光伏发电站电场的运行人员应受过相关专业的高等教育，并接受过有关技术培训。</w:t>
      </w:r>
      <w:r>
        <w:rPr>
          <w:rFonts w:hint="eastAsia" w:ascii="宋体" w:hAnsi="宋体" w:cs="宋体"/>
          <w:color w:val="000000"/>
          <w:kern w:val="0"/>
          <w:sz w:val="28"/>
          <w:szCs w:val="28"/>
          <w:lang w:val="en-US" w:eastAsia="zh-CN" w:bidi="ar"/>
        </w:rPr>
        <w:t xml:space="preserve"> </w:t>
      </w:r>
    </w:p>
    <w:p w14:paraId="137241CD">
      <w:pPr>
        <w:keepNext w:val="0"/>
        <w:keepLines w:val="0"/>
        <w:pageBreakBefore w:val="0"/>
        <w:numPr>
          <w:ilvl w:val="0"/>
          <w:numId w:val="0"/>
        </w:numPr>
        <w:kinsoku/>
        <w:wordWrap/>
        <w:overflowPunct/>
        <w:topLinePunct w:val="0"/>
        <w:autoSpaceDE/>
        <w:autoSpaceDN/>
        <w:bidi w:val="0"/>
        <w:adjustRightInd/>
        <w:snapToGrid/>
        <w:spacing w:line="420" w:lineRule="exact"/>
        <w:ind w:leftChars="0"/>
        <w:textAlignment w:val="auto"/>
        <w:outlineLvl w:val="2"/>
        <w:rPr>
          <w:rFonts w:hint="eastAsia" w:ascii="宋体" w:hAnsi="宋体" w:cs="宋体"/>
          <w:b/>
          <w:bCs/>
          <w:color w:val="000000"/>
          <w:kern w:val="0"/>
          <w:sz w:val="30"/>
          <w:szCs w:val="30"/>
          <w:lang w:val="en-US" w:eastAsia="zh-CN" w:bidi="ar"/>
        </w:rPr>
      </w:pPr>
      <w:bookmarkStart w:id="206" w:name="_Toc2380"/>
      <w:r>
        <w:rPr>
          <w:rFonts w:hint="eastAsia" w:ascii="宋体" w:hAnsi="宋体" w:eastAsia="宋体" w:cs="宋体"/>
          <w:b/>
          <w:bCs/>
          <w:color w:val="000000"/>
          <w:kern w:val="0"/>
          <w:sz w:val="30"/>
          <w:szCs w:val="30"/>
          <w:lang w:val="en-US" w:eastAsia="zh-CN" w:bidi="ar"/>
        </w:rPr>
        <w:t>2.5.</w:t>
      </w:r>
      <w:r>
        <w:rPr>
          <w:rFonts w:hint="eastAsia" w:ascii="宋体" w:hAnsi="宋体" w:cs="宋体"/>
          <w:b/>
          <w:bCs/>
          <w:color w:val="000000"/>
          <w:kern w:val="0"/>
          <w:sz w:val="30"/>
          <w:szCs w:val="30"/>
          <w:lang w:val="en-US" w:eastAsia="zh-CN" w:bidi="ar"/>
        </w:rPr>
        <w:t>2</w:t>
      </w:r>
      <w:r>
        <w:rPr>
          <w:rFonts w:hint="eastAsia" w:ascii="宋体" w:hAnsi="宋体" w:eastAsia="宋体" w:cs="宋体"/>
          <w:b/>
          <w:bCs/>
          <w:color w:val="000000"/>
          <w:kern w:val="0"/>
          <w:sz w:val="30"/>
          <w:szCs w:val="30"/>
          <w:lang w:val="en-US" w:eastAsia="zh-CN" w:bidi="ar"/>
        </w:rPr>
        <w:t>安全生产管理</w:t>
      </w:r>
      <w:r>
        <w:rPr>
          <w:rFonts w:hint="eastAsia" w:ascii="宋体" w:hAnsi="宋体" w:cs="宋体"/>
          <w:b/>
          <w:bCs/>
          <w:color w:val="000000"/>
          <w:kern w:val="0"/>
          <w:sz w:val="30"/>
          <w:szCs w:val="30"/>
          <w:lang w:val="en-US" w:eastAsia="zh-CN" w:bidi="ar"/>
        </w:rPr>
        <w:t>制度</w:t>
      </w:r>
      <w:bookmarkEnd w:id="206"/>
    </w:p>
    <w:p w14:paraId="78B131FA">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color w:val="000000" w:themeColor="text1"/>
          <w:lang w:val="en-US" w:eastAsia="zh-CN"/>
          <w14:textFill>
            <w14:solidFill>
              <w14:schemeClr w14:val="tx1"/>
            </w14:solidFill>
          </w14:textFill>
        </w:rPr>
      </w:pPr>
      <w:r>
        <w:rPr>
          <w:rFonts w:hint="eastAsia" w:ascii="宋体" w:hAnsi="宋体" w:eastAsia="宋体" w:cs="宋体"/>
          <w:color w:val="000000" w:themeColor="text1"/>
          <w:sz w:val="28"/>
          <w:szCs w:val="28"/>
          <w:lang w:val="zh-CN" w:eastAsia="zh-CN"/>
          <w14:textFill>
            <w14:solidFill>
              <w14:schemeClr w14:val="tx1"/>
            </w14:solidFill>
          </w14:textFill>
        </w:rPr>
        <w:t>根据《中华人民共和国安全生产法》等法律、法规的要求，</w:t>
      </w:r>
      <w:r>
        <w:rPr>
          <w:rFonts w:hint="eastAsia" w:ascii="宋体" w:hAnsi="宋体" w:eastAsia="宋体" w:cs="宋体"/>
          <w:color w:val="000000" w:themeColor="text1"/>
          <w:sz w:val="28"/>
          <w:szCs w:val="28"/>
          <w:lang w:val="en-US" w:eastAsia="zh-CN"/>
          <w14:textFill>
            <w14:solidFill>
              <w14:schemeClr w14:val="tx1"/>
            </w14:solidFill>
          </w14:textFill>
        </w:rPr>
        <w:t>公司制定了全面的安全生产制度，明确了相关人员的安全职责，并编制了电站运行规程。</w:t>
      </w:r>
    </w:p>
    <w:p w14:paraId="73889A9F">
      <w:pPr>
        <w:keepNext w:val="0"/>
        <w:keepLines w:val="0"/>
        <w:pageBreakBefore w:val="0"/>
        <w:kinsoku/>
        <w:wordWrap/>
        <w:overflowPunct/>
        <w:topLinePunct w:val="0"/>
        <w:autoSpaceDE/>
        <w:autoSpaceDN/>
        <w:bidi w:val="0"/>
        <w:adjustRightInd/>
        <w:snapToGrid/>
        <w:spacing w:line="420" w:lineRule="exact"/>
        <w:textAlignment w:val="auto"/>
        <w:rPr>
          <w:rFonts w:hint="default" w:ascii="宋体" w:hAnsi="宋体" w:eastAsia="宋体" w:cs="Times New Roman"/>
          <w:b/>
          <w:bCs/>
          <w:color w:val="000000" w:themeColor="text1"/>
          <w:kern w:val="2"/>
          <w:sz w:val="28"/>
          <w:szCs w:val="28"/>
          <w:lang w:val="en-US" w:eastAsia="zh-CN" w:bidi="ar-SA"/>
          <w14:textFill>
            <w14:solidFill>
              <w14:schemeClr w14:val="tx1"/>
            </w14:solidFill>
          </w14:textFill>
        </w:rPr>
      </w:pPr>
      <w:r>
        <w:rPr>
          <w:rFonts w:hint="eastAsia" w:ascii="宋体" w:hAnsi="宋体" w:cs="Times New Roman"/>
          <w:b/>
          <w:bCs/>
          <w:color w:val="000000" w:themeColor="text1"/>
          <w:kern w:val="2"/>
          <w:sz w:val="28"/>
          <w:szCs w:val="28"/>
          <w:lang w:val="en-US" w:eastAsia="zh-CN" w:bidi="ar-SA"/>
          <w14:textFill>
            <w14:solidFill>
              <w14:schemeClr w14:val="tx1"/>
            </w14:solidFill>
          </w14:textFill>
        </w:rPr>
        <w:t>1.</w:t>
      </w:r>
      <w:r>
        <w:rPr>
          <w:rFonts w:hint="eastAsia" w:ascii="宋体" w:hAnsi="宋体" w:eastAsia="宋体" w:cs="Times New Roman"/>
          <w:b/>
          <w:bCs/>
          <w:color w:val="000000" w:themeColor="text1"/>
          <w:kern w:val="2"/>
          <w:sz w:val="28"/>
          <w:szCs w:val="28"/>
          <w:lang w:val="zh-CN" w:eastAsia="zh-CN" w:bidi="ar-SA"/>
          <w14:textFill>
            <w14:solidFill>
              <w14:schemeClr w14:val="tx1"/>
            </w14:solidFill>
          </w14:textFill>
        </w:rPr>
        <w:t>安全生产管理职责</w:t>
      </w:r>
    </w:p>
    <w:tbl>
      <w:tblPr>
        <w:tblStyle w:val="22"/>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86"/>
        <w:gridCol w:w="8023"/>
      </w:tblGrid>
      <w:tr w14:paraId="27E396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vAlign w:val="center"/>
          </w:tcPr>
          <w:p w14:paraId="6DA495A4">
            <w:pPr>
              <w:pStyle w:val="19"/>
              <w:keepNext w:val="0"/>
              <w:keepLines w:val="0"/>
              <w:pageBreakBefore w:val="0"/>
              <w:widowControl w:val="0"/>
              <w:numPr>
                <w:ilvl w:val="0"/>
                <w:numId w:val="7"/>
              </w:numPr>
              <w:tabs>
                <w:tab w:val="clear" w:pos="482"/>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val="0"/>
              <w:topLinePunct w:val="0"/>
              <w:autoSpaceDE/>
              <w:autoSpaceDN/>
              <w:bidi w:val="0"/>
              <w:adjustRightInd w:val="0"/>
              <w:snapToGrid w:val="0"/>
              <w:spacing w:after="0" w:line="240" w:lineRule="auto"/>
              <w:ind w:left="0" w:leftChars="0" w:right="0" w:rightChars="0" w:firstLine="0" w:firstLineChars="0"/>
              <w:jc w:val="center"/>
              <w:textAlignment w:val="auto"/>
              <w:rPr>
                <w:rFonts w:hint="eastAsia" w:ascii="宋体" w:hAnsi="宋体" w:eastAsia="宋体" w:cs="宋体"/>
                <w:b/>
                <w:bCs/>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2410560F">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firstLine="0" w:firstLineChars="0"/>
              <w:jc w:val="both"/>
              <w:textAlignment w:val="auto"/>
              <w:rPr>
                <w:rFonts w:hint="eastAsia" w:ascii="宋体" w:hAnsi="宋体" w:eastAsia="宋体" w:cs="宋体"/>
                <w:b/>
                <w:bCs/>
                <w:color w:val="000000" w:themeColor="text1"/>
                <w:sz w:val="21"/>
                <w:szCs w:val="21"/>
                <w:vertAlign w:val="baseline"/>
                <w14:textFill>
                  <w14:solidFill>
                    <w14:schemeClr w14:val="tx1"/>
                  </w14:solidFill>
                </w14:textFill>
              </w:rPr>
            </w:pPr>
            <w:r>
              <w:rPr>
                <w:rFonts w:hint="eastAsia" w:ascii="宋体" w:hAnsi="宋体" w:eastAsia="宋体" w:cs="宋体"/>
                <w:b/>
                <w:bCs/>
                <w:color w:val="000000" w:themeColor="text1"/>
                <w:sz w:val="21"/>
                <w:szCs w:val="21"/>
                <w:lang w:val="en-US" w:eastAsia="zh-CN"/>
                <w14:textFill>
                  <w14:solidFill>
                    <w14:schemeClr w14:val="tx1"/>
                  </w14:solidFill>
                </w14:textFill>
              </w:rPr>
              <w:t>公司领导安全职责</w:t>
            </w:r>
          </w:p>
        </w:tc>
      </w:tr>
      <w:tr w14:paraId="2770FD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0805C152">
            <w:pPr>
              <w:pStyle w:val="19"/>
              <w:keepNext w:val="0"/>
              <w:keepLines w:val="0"/>
              <w:pageBreakBefore w:val="0"/>
              <w:widowControl w:val="0"/>
              <w:numPr>
                <w:ilvl w:val="0"/>
                <w:numId w:val="8"/>
              </w:numPr>
              <w:kinsoku/>
              <w:wordWrap/>
              <w:overflowPunct w:val="0"/>
              <w:topLinePunct w:val="0"/>
              <w:autoSpaceDE/>
              <w:autoSpaceDN/>
              <w:bidi w:val="0"/>
              <w:adjustRightInd w:val="0"/>
              <w:snapToGrid w:val="0"/>
              <w:spacing w:after="0" w:line="240" w:lineRule="auto"/>
              <w:ind w:left="0" w:leftChars="0" w:firstLine="400" w:firstLineChars="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2684129F">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主要负责人安全职责</w:t>
            </w:r>
          </w:p>
        </w:tc>
      </w:tr>
      <w:tr w14:paraId="430BAC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46CF6B0D">
            <w:pPr>
              <w:pStyle w:val="19"/>
              <w:keepNext w:val="0"/>
              <w:keepLines w:val="0"/>
              <w:pageBreakBefore w:val="0"/>
              <w:widowControl w:val="0"/>
              <w:numPr>
                <w:ilvl w:val="0"/>
                <w:numId w:val="8"/>
              </w:numPr>
              <w:kinsoku/>
              <w:wordWrap/>
              <w:overflowPunct w:val="0"/>
              <w:topLinePunct w:val="0"/>
              <w:autoSpaceDE/>
              <w:autoSpaceDN/>
              <w:bidi w:val="0"/>
              <w:adjustRightInd w:val="0"/>
              <w:snapToGrid w:val="0"/>
              <w:spacing w:after="0" w:line="240" w:lineRule="auto"/>
              <w:ind w:left="0" w:leftChars="0" w:firstLine="400" w:firstLineChars="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1FAE640B">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财务安全职责</w:t>
            </w:r>
          </w:p>
        </w:tc>
      </w:tr>
      <w:tr w14:paraId="38CFAD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0F3CC7E6">
            <w:pPr>
              <w:pStyle w:val="19"/>
              <w:keepNext w:val="0"/>
              <w:keepLines w:val="0"/>
              <w:pageBreakBefore w:val="0"/>
              <w:widowControl w:val="0"/>
              <w:numPr>
                <w:ilvl w:val="0"/>
                <w:numId w:val="8"/>
              </w:numPr>
              <w:kinsoku/>
              <w:wordWrap/>
              <w:overflowPunct w:val="0"/>
              <w:topLinePunct w:val="0"/>
              <w:autoSpaceDE/>
              <w:autoSpaceDN/>
              <w:bidi w:val="0"/>
              <w:adjustRightInd w:val="0"/>
              <w:snapToGrid w:val="0"/>
              <w:spacing w:after="0" w:line="240" w:lineRule="auto"/>
              <w:ind w:left="0" w:leftChars="0" w:firstLine="400" w:firstLineChars="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5B5CC7FE">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安全管理员安全职责</w:t>
            </w:r>
          </w:p>
        </w:tc>
      </w:tr>
      <w:tr w14:paraId="71850D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4B547A41">
            <w:pPr>
              <w:pStyle w:val="19"/>
              <w:keepNext w:val="0"/>
              <w:keepLines w:val="0"/>
              <w:pageBreakBefore w:val="0"/>
              <w:widowControl w:val="0"/>
              <w:numPr>
                <w:ilvl w:val="0"/>
                <w:numId w:val="8"/>
              </w:numPr>
              <w:kinsoku/>
              <w:wordWrap/>
              <w:overflowPunct w:val="0"/>
              <w:topLinePunct w:val="0"/>
              <w:autoSpaceDE/>
              <w:autoSpaceDN/>
              <w:bidi w:val="0"/>
              <w:adjustRightInd w:val="0"/>
              <w:snapToGrid w:val="0"/>
              <w:spacing w:after="0" w:line="240" w:lineRule="auto"/>
              <w:ind w:left="0" w:leftChars="0" w:firstLine="400" w:firstLineChars="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269D27A0">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技术负责人安全生产职责</w:t>
            </w:r>
          </w:p>
        </w:tc>
      </w:tr>
      <w:tr w14:paraId="78DF6C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vAlign w:val="center"/>
          </w:tcPr>
          <w:p w14:paraId="7C81420D">
            <w:pPr>
              <w:pStyle w:val="19"/>
              <w:keepNext w:val="0"/>
              <w:keepLines w:val="0"/>
              <w:pageBreakBefore w:val="0"/>
              <w:widowControl w:val="0"/>
              <w:numPr>
                <w:ilvl w:val="0"/>
                <w:numId w:val="7"/>
              </w:numPr>
              <w:tabs>
                <w:tab w:val="clear" w:pos="482"/>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val="0"/>
              <w:topLinePunct w:val="0"/>
              <w:autoSpaceDE/>
              <w:autoSpaceDN/>
              <w:bidi w:val="0"/>
              <w:adjustRightInd w:val="0"/>
              <w:snapToGrid w:val="0"/>
              <w:spacing w:after="0" w:line="240" w:lineRule="auto"/>
              <w:ind w:left="0" w:leftChars="0" w:right="0" w:rightChars="0" w:firstLine="0" w:firstLineChars="0"/>
              <w:jc w:val="center"/>
              <w:textAlignment w:val="auto"/>
              <w:rPr>
                <w:rFonts w:hint="eastAsia" w:ascii="宋体" w:hAnsi="宋体" w:eastAsia="宋体" w:cs="宋体"/>
                <w:b/>
                <w:bCs/>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75453B04">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firstLine="0" w:firstLineChars="0"/>
              <w:jc w:val="both"/>
              <w:textAlignment w:val="auto"/>
              <w:rPr>
                <w:rFonts w:hint="eastAsia" w:ascii="宋体" w:hAnsi="宋体" w:eastAsia="宋体" w:cs="宋体"/>
                <w:b/>
                <w:bCs/>
                <w:color w:val="000000" w:themeColor="text1"/>
                <w:sz w:val="21"/>
                <w:szCs w:val="21"/>
                <w:lang w:val="en-US" w:eastAsia="zh-CN"/>
                <w14:textFill>
                  <w14:solidFill>
                    <w14:schemeClr w14:val="tx1"/>
                  </w14:solidFill>
                </w14:textFill>
              </w:rPr>
            </w:pPr>
            <w:r>
              <w:rPr>
                <w:rFonts w:hint="eastAsia" w:ascii="宋体" w:hAnsi="宋体" w:eastAsia="宋体" w:cs="宋体"/>
                <w:b/>
                <w:bCs/>
                <w:color w:val="000000" w:themeColor="text1"/>
                <w:sz w:val="21"/>
                <w:szCs w:val="21"/>
                <w:lang w:val="en-US" w:eastAsia="zh-CN"/>
                <w14:textFill>
                  <w14:solidFill>
                    <w14:schemeClr w14:val="tx1"/>
                  </w14:solidFill>
                </w14:textFill>
              </w:rPr>
              <w:t>部门安全职责</w:t>
            </w:r>
          </w:p>
        </w:tc>
      </w:tr>
      <w:tr w14:paraId="374DA9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7115389D">
            <w:pPr>
              <w:pStyle w:val="19"/>
              <w:keepNext w:val="0"/>
              <w:keepLines w:val="0"/>
              <w:pageBreakBefore w:val="0"/>
              <w:widowControl w:val="0"/>
              <w:numPr>
                <w:ilvl w:val="0"/>
                <w:numId w:val="9"/>
              </w:numPr>
              <w:kinsoku/>
              <w:wordWrap/>
              <w:overflowPunct w:val="0"/>
              <w:topLinePunct w:val="0"/>
              <w:autoSpaceDE/>
              <w:autoSpaceDN/>
              <w:bidi w:val="0"/>
              <w:adjustRightInd w:val="0"/>
              <w:snapToGrid w:val="0"/>
              <w:spacing w:after="0" w:line="240" w:lineRule="auto"/>
              <w:ind w:left="0" w:leftChars="0" w:firstLine="420" w:firstLineChars="20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1227D7C7">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安全生产领导小组安全职责</w:t>
            </w:r>
          </w:p>
        </w:tc>
      </w:tr>
      <w:tr w14:paraId="1112C6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79613AE1">
            <w:pPr>
              <w:pStyle w:val="19"/>
              <w:keepNext w:val="0"/>
              <w:keepLines w:val="0"/>
              <w:pageBreakBefore w:val="0"/>
              <w:widowControl w:val="0"/>
              <w:numPr>
                <w:ilvl w:val="0"/>
                <w:numId w:val="9"/>
              </w:numPr>
              <w:kinsoku/>
              <w:wordWrap/>
              <w:overflowPunct w:val="0"/>
              <w:topLinePunct w:val="0"/>
              <w:autoSpaceDE/>
              <w:autoSpaceDN/>
              <w:bidi w:val="0"/>
              <w:adjustRightInd w:val="0"/>
              <w:snapToGrid w:val="0"/>
              <w:spacing w:after="0" w:line="240" w:lineRule="auto"/>
              <w:ind w:left="0" w:leftChars="0" w:firstLine="420" w:firstLineChars="20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1AD6FA0B">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生产安全部安全职责</w:t>
            </w:r>
          </w:p>
        </w:tc>
      </w:tr>
      <w:tr w14:paraId="388DDA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6040D854">
            <w:pPr>
              <w:pStyle w:val="19"/>
              <w:keepNext w:val="0"/>
              <w:keepLines w:val="0"/>
              <w:pageBreakBefore w:val="0"/>
              <w:widowControl w:val="0"/>
              <w:numPr>
                <w:ilvl w:val="0"/>
                <w:numId w:val="9"/>
              </w:numPr>
              <w:kinsoku/>
              <w:wordWrap/>
              <w:overflowPunct w:val="0"/>
              <w:topLinePunct w:val="0"/>
              <w:autoSpaceDE/>
              <w:autoSpaceDN/>
              <w:bidi w:val="0"/>
              <w:adjustRightInd w:val="0"/>
              <w:snapToGrid w:val="0"/>
              <w:spacing w:after="0" w:line="240" w:lineRule="auto"/>
              <w:ind w:left="0" w:leftChars="0" w:firstLine="420" w:firstLineChars="20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5917638C">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技术部安全职责</w:t>
            </w:r>
          </w:p>
        </w:tc>
      </w:tr>
      <w:tr w14:paraId="1B53F5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622DD522">
            <w:pPr>
              <w:pStyle w:val="19"/>
              <w:keepNext w:val="0"/>
              <w:keepLines w:val="0"/>
              <w:pageBreakBefore w:val="0"/>
              <w:widowControl w:val="0"/>
              <w:numPr>
                <w:ilvl w:val="0"/>
                <w:numId w:val="9"/>
              </w:numPr>
              <w:kinsoku/>
              <w:wordWrap/>
              <w:overflowPunct w:val="0"/>
              <w:topLinePunct w:val="0"/>
              <w:autoSpaceDE/>
              <w:autoSpaceDN/>
              <w:bidi w:val="0"/>
              <w:adjustRightInd w:val="0"/>
              <w:snapToGrid w:val="0"/>
              <w:spacing w:after="0" w:line="240" w:lineRule="auto"/>
              <w:ind w:left="0" w:leftChars="0" w:firstLine="420" w:firstLineChars="20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76380F57">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设备部安全职责</w:t>
            </w:r>
          </w:p>
        </w:tc>
      </w:tr>
      <w:tr w14:paraId="3B8FE3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769750B3">
            <w:pPr>
              <w:pStyle w:val="19"/>
              <w:keepNext w:val="0"/>
              <w:keepLines w:val="0"/>
              <w:pageBreakBefore w:val="0"/>
              <w:widowControl w:val="0"/>
              <w:numPr>
                <w:ilvl w:val="0"/>
                <w:numId w:val="9"/>
              </w:numPr>
              <w:kinsoku/>
              <w:wordWrap/>
              <w:overflowPunct w:val="0"/>
              <w:topLinePunct w:val="0"/>
              <w:autoSpaceDE/>
              <w:autoSpaceDN/>
              <w:bidi w:val="0"/>
              <w:adjustRightInd w:val="0"/>
              <w:snapToGrid w:val="0"/>
              <w:spacing w:after="0" w:line="240" w:lineRule="auto"/>
              <w:ind w:left="0" w:leftChars="0" w:firstLine="420" w:firstLineChars="20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663F33C5">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质检部安全职责</w:t>
            </w:r>
          </w:p>
        </w:tc>
      </w:tr>
      <w:tr w14:paraId="625B12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71C93BC3">
            <w:pPr>
              <w:pStyle w:val="19"/>
              <w:keepNext w:val="0"/>
              <w:keepLines w:val="0"/>
              <w:pageBreakBefore w:val="0"/>
              <w:widowControl w:val="0"/>
              <w:numPr>
                <w:ilvl w:val="0"/>
                <w:numId w:val="9"/>
              </w:numPr>
              <w:kinsoku/>
              <w:wordWrap/>
              <w:overflowPunct w:val="0"/>
              <w:topLinePunct w:val="0"/>
              <w:autoSpaceDE/>
              <w:autoSpaceDN/>
              <w:bidi w:val="0"/>
              <w:adjustRightInd w:val="0"/>
              <w:snapToGrid w:val="0"/>
              <w:spacing w:after="0" w:line="240" w:lineRule="auto"/>
              <w:ind w:left="0" w:leftChars="0" w:firstLine="420" w:firstLineChars="20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66F5FCD9">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办公室安全职责</w:t>
            </w:r>
          </w:p>
        </w:tc>
      </w:tr>
      <w:tr w14:paraId="19CA0F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0C9E03AC">
            <w:pPr>
              <w:pStyle w:val="19"/>
              <w:keepNext w:val="0"/>
              <w:keepLines w:val="0"/>
              <w:pageBreakBefore w:val="0"/>
              <w:widowControl w:val="0"/>
              <w:numPr>
                <w:ilvl w:val="0"/>
                <w:numId w:val="9"/>
              </w:numPr>
              <w:kinsoku/>
              <w:wordWrap/>
              <w:overflowPunct w:val="0"/>
              <w:topLinePunct w:val="0"/>
              <w:autoSpaceDE/>
              <w:autoSpaceDN/>
              <w:bidi w:val="0"/>
              <w:adjustRightInd w:val="0"/>
              <w:snapToGrid w:val="0"/>
              <w:spacing w:after="0" w:line="240" w:lineRule="auto"/>
              <w:ind w:left="0" w:leftChars="0" w:firstLine="420" w:firstLineChars="20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07ACFDDD">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cs="宋体"/>
                <w:b w:val="0"/>
                <w:bCs w:val="0"/>
                <w:color w:val="000000" w:themeColor="text1"/>
                <w:sz w:val="21"/>
                <w:szCs w:val="21"/>
                <w:lang w:val="en-US" w:eastAsia="zh-CN"/>
                <w14:textFill>
                  <w14:solidFill>
                    <w14:schemeClr w14:val="tx1"/>
                  </w14:solidFill>
                </w14:textFill>
              </w:rPr>
              <w:t>生产</w:t>
            </w:r>
            <w:r>
              <w:rPr>
                <w:rFonts w:hint="eastAsia" w:ascii="宋体" w:hAnsi="宋体" w:eastAsia="宋体" w:cs="宋体"/>
                <w:b w:val="0"/>
                <w:bCs w:val="0"/>
                <w:color w:val="000000" w:themeColor="text1"/>
                <w:sz w:val="21"/>
                <w:szCs w:val="21"/>
                <w:lang w:val="en-US" w:eastAsia="zh-CN"/>
                <w14:textFill>
                  <w14:solidFill>
                    <w14:schemeClr w14:val="tx1"/>
                  </w14:solidFill>
                </w14:textFill>
              </w:rPr>
              <w:t>安全职责</w:t>
            </w:r>
          </w:p>
        </w:tc>
      </w:tr>
      <w:tr w14:paraId="48ABE6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vAlign w:val="center"/>
          </w:tcPr>
          <w:p w14:paraId="18902422">
            <w:pPr>
              <w:pStyle w:val="19"/>
              <w:keepNext w:val="0"/>
              <w:keepLines w:val="0"/>
              <w:pageBreakBefore w:val="0"/>
              <w:widowControl w:val="0"/>
              <w:numPr>
                <w:ilvl w:val="0"/>
                <w:numId w:val="7"/>
              </w:numPr>
              <w:tabs>
                <w:tab w:val="clear" w:pos="482"/>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kinsoku/>
              <w:wordWrap/>
              <w:overflowPunct w:val="0"/>
              <w:topLinePunct w:val="0"/>
              <w:autoSpaceDE/>
              <w:autoSpaceDN/>
              <w:bidi w:val="0"/>
              <w:adjustRightInd w:val="0"/>
              <w:snapToGrid w:val="0"/>
              <w:spacing w:after="0" w:line="240" w:lineRule="auto"/>
              <w:ind w:left="0" w:leftChars="0" w:right="0" w:rightChars="0" w:firstLine="0" w:firstLineChars="0"/>
              <w:jc w:val="center"/>
              <w:textAlignment w:val="auto"/>
              <w:rPr>
                <w:rFonts w:hint="eastAsia" w:ascii="宋体" w:hAnsi="宋体" w:eastAsia="宋体" w:cs="宋体"/>
                <w:b/>
                <w:bCs/>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6D0B86D0">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bCs/>
                <w:color w:val="000000" w:themeColor="text1"/>
                <w:sz w:val="21"/>
                <w:szCs w:val="21"/>
                <w:lang w:val="en-US" w:eastAsia="zh-CN"/>
                <w14:textFill>
                  <w14:solidFill>
                    <w14:schemeClr w14:val="tx1"/>
                  </w14:solidFill>
                </w14:textFill>
              </w:rPr>
            </w:pPr>
            <w:r>
              <w:rPr>
                <w:rFonts w:hint="eastAsia" w:ascii="宋体" w:hAnsi="宋体" w:eastAsia="宋体" w:cs="宋体"/>
                <w:b/>
                <w:bCs/>
                <w:color w:val="000000" w:themeColor="text1"/>
                <w:sz w:val="21"/>
                <w:szCs w:val="21"/>
                <w:lang w:val="en-US" w:eastAsia="zh-CN"/>
                <w14:textFill>
                  <w14:solidFill>
                    <w14:schemeClr w14:val="tx1"/>
                  </w14:solidFill>
                </w14:textFill>
              </w:rPr>
              <w:t>管理人员和职工安全职责</w:t>
            </w:r>
          </w:p>
        </w:tc>
      </w:tr>
      <w:tr w14:paraId="194D2E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65350C3A">
            <w:pPr>
              <w:pStyle w:val="19"/>
              <w:keepNext w:val="0"/>
              <w:keepLines w:val="0"/>
              <w:pageBreakBefore w:val="0"/>
              <w:widowControl w:val="0"/>
              <w:numPr>
                <w:ilvl w:val="0"/>
                <w:numId w:val="10"/>
              </w:numPr>
              <w:kinsoku/>
              <w:wordWrap/>
              <w:overflowPunct w:val="0"/>
              <w:topLinePunct w:val="0"/>
              <w:autoSpaceDE/>
              <w:autoSpaceDN/>
              <w:bidi w:val="0"/>
              <w:adjustRightInd w:val="0"/>
              <w:snapToGrid w:val="0"/>
              <w:spacing w:after="0" w:line="240" w:lineRule="auto"/>
              <w:ind w:left="0" w:leftChars="0" w:firstLine="420" w:firstLineChars="20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7C9DA820">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主任安全职责</w:t>
            </w:r>
          </w:p>
        </w:tc>
      </w:tr>
      <w:tr w14:paraId="33DD9C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384E249A">
            <w:pPr>
              <w:pStyle w:val="19"/>
              <w:keepNext w:val="0"/>
              <w:keepLines w:val="0"/>
              <w:pageBreakBefore w:val="0"/>
              <w:widowControl w:val="0"/>
              <w:numPr>
                <w:ilvl w:val="0"/>
                <w:numId w:val="10"/>
              </w:numPr>
              <w:kinsoku/>
              <w:wordWrap/>
              <w:overflowPunct w:val="0"/>
              <w:topLinePunct w:val="0"/>
              <w:autoSpaceDE/>
              <w:autoSpaceDN/>
              <w:bidi w:val="0"/>
              <w:adjustRightInd w:val="0"/>
              <w:snapToGrid w:val="0"/>
              <w:spacing w:after="0" w:line="240" w:lineRule="auto"/>
              <w:ind w:left="0" w:leftChars="0" w:firstLine="420" w:firstLineChars="20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3DAB5238">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职工安全职责</w:t>
            </w:r>
          </w:p>
        </w:tc>
      </w:tr>
      <w:tr w14:paraId="30CABB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0158F2BE">
            <w:pPr>
              <w:pStyle w:val="19"/>
              <w:keepNext w:val="0"/>
              <w:keepLines w:val="0"/>
              <w:pageBreakBefore w:val="0"/>
              <w:widowControl w:val="0"/>
              <w:numPr>
                <w:ilvl w:val="0"/>
                <w:numId w:val="10"/>
              </w:numPr>
              <w:kinsoku/>
              <w:wordWrap/>
              <w:overflowPunct w:val="0"/>
              <w:topLinePunct w:val="0"/>
              <w:autoSpaceDE/>
              <w:autoSpaceDN/>
              <w:bidi w:val="0"/>
              <w:adjustRightInd w:val="0"/>
              <w:snapToGrid w:val="0"/>
              <w:spacing w:after="0" w:line="240" w:lineRule="auto"/>
              <w:ind w:left="0" w:leftChars="0" w:firstLine="420" w:firstLineChars="20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1C6826F3">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统计员安全职责</w:t>
            </w:r>
          </w:p>
        </w:tc>
      </w:tr>
    </w:tbl>
    <w:p w14:paraId="6BF40204">
      <w:pPr>
        <w:spacing w:line="360" w:lineRule="auto"/>
        <w:rPr>
          <w:rFonts w:hint="default" w:ascii="宋体" w:hAnsi="宋体" w:cs="Times New Roman"/>
          <w:b/>
          <w:bCs/>
          <w:color w:val="000000" w:themeColor="text1"/>
          <w:kern w:val="2"/>
          <w:sz w:val="28"/>
          <w:szCs w:val="28"/>
          <w:lang w:val="en-US" w:eastAsia="zh-CN" w:bidi="ar-SA"/>
          <w14:textFill>
            <w14:solidFill>
              <w14:schemeClr w14:val="tx1"/>
            </w14:solidFill>
          </w14:textFill>
        </w:rPr>
      </w:pPr>
      <w:r>
        <w:rPr>
          <w:rFonts w:hint="eastAsia" w:ascii="宋体" w:hAnsi="宋体" w:cs="Times New Roman"/>
          <w:b/>
          <w:bCs/>
          <w:color w:val="000000" w:themeColor="text1"/>
          <w:kern w:val="2"/>
          <w:sz w:val="28"/>
          <w:szCs w:val="28"/>
          <w:lang w:val="en-US" w:eastAsia="zh-CN" w:bidi="ar-SA"/>
          <w14:textFill>
            <w14:solidFill>
              <w14:schemeClr w14:val="tx1"/>
            </w14:solidFill>
          </w14:textFill>
        </w:rPr>
        <w:t>2.安全生产管理制度</w:t>
      </w:r>
    </w:p>
    <w:tbl>
      <w:tblPr>
        <w:tblStyle w:val="22"/>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30"/>
        <w:gridCol w:w="3509"/>
        <w:gridCol w:w="679"/>
        <w:gridCol w:w="4300"/>
      </w:tblGrid>
      <w:tr w14:paraId="7446B4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638" w:type="dxa"/>
            <w:tcBorders>
              <w:tl2br w:val="nil"/>
              <w:tr2bl w:val="nil"/>
            </w:tcBorders>
            <w:vAlign w:val="center"/>
          </w:tcPr>
          <w:p w14:paraId="2AE33EC9">
            <w:pPr>
              <w:pStyle w:val="19"/>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序号</w:t>
            </w:r>
          </w:p>
        </w:tc>
        <w:tc>
          <w:tcPr>
            <w:tcW w:w="3622" w:type="dxa"/>
            <w:tcBorders>
              <w:tl2br w:val="nil"/>
              <w:tr2bl w:val="nil"/>
            </w:tcBorders>
            <w:vAlign w:val="center"/>
          </w:tcPr>
          <w:p w14:paraId="6117F9C0">
            <w:pPr>
              <w:pStyle w:val="19"/>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制度名称</w:t>
            </w:r>
          </w:p>
        </w:tc>
        <w:tc>
          <w:tcPr>
            <w:tcW w:w="688" w:type="dxa"/>
            <w:tcBorders>
              <w:tl2br w:val="nil"/>
              <w:tr2bl w:val="nil"/>
            </w:tcBorders>
            <w:vAlign w:val="center"/>
          </w:tcPr>
          <w:p w14:paraId="6665BE98">
            <w:pPr>
              <w:pStyle w:val="19"/>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序号</w:t>
            </w:r>
          </w:p>
        </w:tc>
        <w:tc>
          <w:tcPr>
            <w:tcW w:w="4435" w:type="dxa"/>
            <w:tcBorders>
              <w:tl2br w:val="nil"/>
              <w:tr2bl w:val="nil"/>
            </w:tcBorders>
            <w:vAlign w:val="center"/>
          </w:tcPr>
          <w:p w14:paraId="6418265B">
            <w:pPr>
              <w:pStyle w:val="19"/>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制度名称</w:t>
            </w:r>
          </w:p>
        </w:tc>
      </w:tr>
      <w:tr w14:paraId="66C29D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25F50286">
            <w:pPr>
              <w:pStyle w:val="19"/>
              <w:numPr>
                <w:ilvl w:val="0"/>
                <w:numId w:val="11"/>
              </w:numPr>
              <w:spacing w:line="240" w:lineRule="auto"/>
              <w:ind w:left="425" w:leftChars="0" w:right="0" w:rightChars="0" w:hanging="425"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71C395F9">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安全生产责任制考核管理制度</w:t>
            </w:r>
          </w:p>
        </w:tc>
        <w:tc>
          <w:tcPr>
            <w:tcW w:w="688" w:type="dxa"/>
            <w:tcBorders>
              <w:tl2br w:val="nil"/>
              <w:tr2bl w:val="nil"/>
            </w:tcBorders>
            <w:vAlign w:val="center"/>
          </w:tcPr>
          <w:p w14:paraId="49C82072">
            <w:pPr>
              <w:pStyle w:val="19"/>
              <w:numPr>
                <w:ilvl w:val="0"/>
                <w:numId w:val="11"/>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00232602">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安全生产会议管理制度</w:t>
            </w:r>
          </w:p>
        </w:tc>
      </w:tr>
      <w:tr w14:paraId="3C7A41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048E07D4">
            <w:pPr>
              <w:pStyle w:val="19"/>
              <w:numPr>
                <w:ilvl w:val="0"/>
                <w:numId w:val="11"/>
              </w:numPr>
              <w:spacing w:line="240" w:lineRule="auto"/>
              <w:ind w:left="425" w:leftChars="0" w:right="0" w:rightChars="0" w:hanging="425"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728734FD">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安全生产奖惩制度</w:t>
            </w:r>
          </w:p>
        </w:tc>
        <w:tc>
          <w:tcPr>
            <w:tcW w:w="688" w:type="dxa"/>
            <w:tcBorders>
              <w:tl2br w:val="nil"/>
              <w:tr2bl w:val="nil"/>
            </w:tcBorders>
            <w:vAlign w:val="center"/>
          </w:tcPr>
          <w:p w14:paraId="36F1B651">
            <w:pPr>
              <w:pStyle w:val="19"/>
              <w:numPr>
                <w:ilvl w:val="0"/>
                <w:numId w:val="11"/>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1CE91DCD">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安全生产费用管理制度</w:t>
            </w:r>
          </w:p>
        </w:tc>
      </w:tr>
      <w:tr w14:paraId="6F91BF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47B7CDBA">
            <w:pPr>
              <w:pStyle w:val="19"/>
              <w:numPr>
                <w:ilvl w:val="0"/>
                <w:numId w:val="11"/>
              </w:numPr>
              <w:spacing w:line="240" w:lineRule="auto"/>
              <w:ind w:left="425" w:leftChars="0" w:right="0" w:rightChars="0" w:hanging="425"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42F14896">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风险评价管理制度</w:t>
            </w:r>
          </w:p>
        </w:tc>
        <w:tc>
          <w:tcPr>
            <w:tcW w:w="688" w:type="dxa"/>
            <w:tcBorders>
              <w:tl2br w:val="nil"/>
              <w:tr2bl w:val="nil"/>
            </w:tcBorders>
            <w:vAlign w:val="center"/>
          </w:tcPr>
          <w:p w14:paraId="067DCA5B">
            <w:pPr>
              <w:pStyle w:val="19"/>
              <w:numPr>
                <w:ilvl w:val="0"/>
                <w:numId w:val="11"/>
              </w:numPr>
              <w:spacing w:line="240" w:lineRule="auto"/>
              <w:ind w:left="0" w:leftChars="0" w:right="0" w:rightChars="0" w:firstLine="0"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4858ECF6">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隐患排查治理制度</w:t>
            </w:r>
          </w:p>
        </w:tc>
      </w:tr>
      <w:tr w14:paraId="713BF5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4613547E">
            <w:pPr>
              <w:pStyle w:val="19"/>
              <w:numPr>
                <w:ilvl w:val="0"/>
                <w:numId w:val="11"/>
              </w:numPr>
              <w:spacing w:line="240" w:lineRule="auto"/>
              <w:ind w:left="425" w:leftChars="0" w:right="0" w:rightChars="0" w:hanging="425"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72059843">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安全培训教育制度</w:t>
            </w:r>
          </w:p>
        </w:tc>
        <w:tc>
          <w:tcPr>
            <w:tcW w:w="688" w:type="dxa"/>
            <w:tcBorders>
              <w:tl2br w:val="nil"/>
              <w:tr2bl w:val="nil"/>
            </w:tcBorders>
            <w:vAlign w:val="center"/>
          </w:tcPr>
          <w:p w14:paraId="181F7EAF">
            <w:pPr>
              <w:pStyle w:val="19"/>
              <w:numPr>
                <w:ilvl w:val="0"/>
                <w:numId w:val="11"/>
              </w:numPr>
              <w:spacing w:line="240" w:lineRule="auto"/>
              <w:ind w:left="0" w:leftChars="0" w:right="0" w:rightChars="0" w:firstLine="0"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17D85E83">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安全设施管理制度</w:t>
            </w:r>
          </w:p>
        </w:tc>
      </w:tr>
      <w:tr w14:paraId="519842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38" w:type="dxa"/>
            <w:tcBorders>
              <w:tl2br w:val="nil"/>
              <w:tr2bl w:val="nil"/>
            </w:tcBorders>
            <w:vAlign w:val="center"/>
          </w:tcPr>
          <w:p w14:paraId="76B645F5">
            <w:pPr>
              <w:pStyle w:val="19"/>
              <w:numPr>
                <w:ilvl w:val="0"/>
                <w:numId w:val="11"/>
              </w:numPr>
              <w:spacing w:line="240" w:lineRule="auto"/>
              <w:ind w:left="425" w:leftChars="0" w:right="0" w:rightChars="0" w:hanging="425"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76B55D22">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生产设备设施检维修管理制度</w:t>
            </w:r>
          </w:p>
        </w:tc>
        <w:tc>
          <w:tcPr>
            <w:tcW w:w="688" w:type="dxa"/>
            <w:tcBorders>
              <w:tl2br w:val="nil"/>
              <w:tr2bl w:val="nil"/>
            </w:tcBorders>
            <w:vAlign w:val="center"/>
          </w:tcPr>
          <w:p w14:paraId="4D542F61">
            <w:pPr>
              <w:pStyle w:val="19"/>
              <w:numPr>
                <w:ilvl w:val="0"/>
                <w:numId w:val="11"/>
              </w:numPr>
              <w:spacing w:line="240" w:lineRule="auto"/>
              <w:ind w:left="0" w:leftChars="0" w:right="0" w:rightChars="0" w:firstLine="0"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176A4128">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特种设备管理制度</w:t>
            </w:r>
          </w:p>
        </w:tc>
      </w:tr>
      <w:tr w14:paraId="4A9C0B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110680AB">
            <w:pPr>
              <w:pStyle w:val="19"/>
              <w:numPr>
                <w:ilvl w:val="0"/>
                <w:numId w:val="11"/>
              </w:numPr>
              <w:spacing w:line="240" w:lineRule="auto"/>
              <w:ind w:left="425" w:leftChars="0" w:right="0" w:rightChars="0" w:hanging="425"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7943F20F">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劳动防护用品管理制度</w:t>
            </w:r>
          </w:p>
        </w:tc>
        <w:tc>
          <w:tcPr>
            <w:tcW w:w="688" w:type="dxa"/>
            <w:tcBorders>
              <w:tl2br w:val="nil"/>
              <w:tr2bl w:val="nil"/>
            </w:tcBorders>
            <w:vAlign w:val="center"/>
          </w:tcPr>
          <w:p w14:paraId="4A857D65">
            <w:pPr>
              <w:pStyle w:val="19"/>
              <w:numPr>
                <w:ilvl w:val="0"/>
                <w:numId w:val="11"/>
              </w:numPr>
              <w:spacing w:line="240" w:lineRule="auto"/>
              <w:ind w:left="0" w:leftChars="0" w:right="0" w:rightChars="0" w:firstLine="0"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583C5031">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职业卫生管理制度</w:t>
            </w:r>
          </w:p>
        </w:tc>
      </w:tr>
      <w:tr w14:paraId="335F8C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4A4902C7">
            <w:pPr>
              <w:pStyle w:val="19"/>
              <w:numPr>
                <w:ilvl w:val="0"/>
                <w:numId w:val="11"/>
              </w:numPr>
              <w:spacing w:line="240" w:lineRule="auto"/>
              <w:ind w:left="425" w:leftChars="0" w:right="0" w:rightChars="0" w:hanging="425"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107E0FB1">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事故管理制度</w:t>
            </w:r>
          </w:p>
        </w:tc>
        <w:tc>
          <w:tcPr>
            <w:tcW w:w="688" w:type="dxa"/>
            <w:tcBorders>
              <w:tl2br w:val="nil"/>
              <w:tr2bl w:val="nil"/>
            </w:tcBorders>
            <w:vAlign w:val="center"/>
          </w:tcPr>
          <w:p w14:paraId="6EB37495">
            <w:pPr>
              <w:pStyle w:val="19"/>
              <w:numPr>
                <w:ilvl w:val="0"/>
                <w:numId w:val="11"/>
              </w:numPr>
              <w:spacing w:line="240" w:lineRule="auto"/>
              <w:ind w:left="0" w:leftChars="0" w:right="0" w:rightChars="0" w:firstLine="0"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26BAEA64">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安全检查与整改管理制度</w:t>
            </w:r>
          </w:p>
        </w:tc>
      </w:tr>
      <w:tr w14:paraId="019D7A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471707A2">
            <w:pPr>
              <w:pStyle w:val="19"/>
              <w:numPr>
                <w:ilvl w:val="0"/>
                <w:numId w:val="11"/>
              </w:numPr>
              <w:spacing w:line="240" w:lineRule="auto"/>
              <w:ind w:left="425" w:leftChars="0" w:right="0" w:rightChars="0" w:hanging="425"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198FD08E">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危险化学品安全管理制度</w:t>
            </w:r>
          </w:p>
        </w:tc>
        <w:tc>
          <w:tcPr>
            <w:tcW w:w="688" w:type="dxa"/>
            <w:tcBorders>
              <w:tl2br w:val="nil"/>
              <w:tr2bl w:val="nil"/>
            </w:tcBorders>
            <w:vAlign w:val="center"/>
          </w:tcPr>
          <w:p w14:paraId="5443FE0F">
            <w:pPr>
              <w:pStyle w:val="19"/>
              <w:numPr>
                <w:ilvl w:val="0"/>
                <w:numId w:val="11"/>
              </w:numPr>
              <w:spacing w:line="240" w:lineRule="auto"/>
              <w:ind w:left="0" w:leftChars="0" w:right="0" w:rightChars="0" w:firstLine="0"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390F502D">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消防管理制度</w:t>
            </w:r>
          </w:p>
        </w:tc>
      </w:tr>
      <w:tr w14:paraId="4FAFAD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74374282">
            <w:pPr>
              <w:pStyle w:val="19"/>
              <w:numPr>
                <w:ilvl w:val="0"/>
                <w:numId w:val="11"/>
              </w:numPr>
              <w:spacing w:line="240" w:lineRule="auto"/>
              <w:ind w:left="425" w:leftChars="0" w:right="0" w:rightChars="0" w:hanging="425"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0ABA4745">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安全警示标识管理制度</w:t>
            </w:r>
          </w:p>
        </w:tc>
        <w:tc>
          <w:tcPr>
            <w:tcW w:w="688" w:type="dxa"/>
            <w:tcBorders>
              <w:tl2br w:val="nil"/>
              <w:tr2bl w:val="nil"/>
            </w:tcBorders>
            <w:vAlign w:val="center"/>
          </w:tcPr>
          <w:p w14:paraId="6A6638DD">
            <w:pPr>
              <w:pStyle w:val="19"/>
              <w:numPr>
                <w:ilvl w:val="0"/>
                <w:numId w:val="11"/>
              </w:numPr>
              <w:spacing w:line="240" w:lineRule="auto"/>
              <w:ind w:left="0" w:leftChars="0" w:right="0" w:rightChars="0" w:firstLine="0"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22D416C7">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工伤保险、安全生产责任保险管理制</w:t>
            </w:r>
          </w:p>
        </w:tc>
      </w:tr>
      <w:tr w14:paraId="3E2BA5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12D1BE62">
            <w:pPr>
              <w:pStyle w:val="19"/>
              <w:numPr>
                <w:ilvl w:val="0"/>
                <w:numId w:val="11"/>
              </w:numPr>
              <w:spacing w:line="240" w:lineRule="auto"/>
              <w:ind w:left="425" w:leftChars="0" w:right="0" w:rightChars="0" w:hanging="425"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132690AF">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重大危险源管理制度</w:t>
            </w:r>
          </w:p>
        </w:tc>
        <w:tc>
          <w:tcPr>
            <w:tcW w:w="688" w:type="dxa"/>
            <w:tcBorders>
              <w:tl2br w:val="nil"/>
              <w:tr2bl w:val="nil"/>
            </w:tcBorders>
            <w:vAlign w:val="center"/>
          </w:tcPr>
          <w:p w14:paraId="228F3324">
            <w:pPr>
              <w:pStyle w:val="19"/>
              <w:numPr>
                <w:ilvl w:val="0"/>
                <w:numId w:val="11"/>
              </w:numPr>
              <w:spacing w:line="240" w:lineRule="auto"/>
              <w:ind w:left="0" w:leftChars="0" w:right="0" w:rightChars="0" w:firstLine="0"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1C5B6BB2">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仓库安全管理制度</w:t>
            </w:r>
          </w:p>
        </w:tc>
      </w:tr>
      <w:tr w14:paraId="7FBC5E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5209F15F">
            <w:pPr>
              <w:pStyle w:val="19"/>
              <w:numPr>
                <w:ilvl w:val="0"/>
                <w:numId w:val="11"/>
              </w:numPr>
              <w:spacing w:line="240" w:lineRule="auto"/>
              <w:ind w:left="425" w:leftChars="0" w:right="0" w:rightChars="0" w:hanging="425"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37A48611">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应急救援管理制度</w:t>
            </w:r>
          </w:p>
        </w:tc>
        <w:tc>
          <w:tcPr>
            <w:tcW w:w="688" w:type="dxa"/>
            <w:tcBorders>
              <w:tl2br w:val="nil"/>
              <w:tr2bl w:val="nil"/>
            </w:tcBorders>
            <w:vAlign w:val="center"/>
          </w:tcPr>
          <w:p w14:paraId="48D1974D">
            <w:pPr>
              <w:pStyle w:val="19"/>
              <w:numPr>
                <w:ilvl w:val="0"/>
                <w:numId w:val="11"/>
              </w:numPr>
              <w:spacing w:line="240" w:lineRule="auto"/>
              <w:ind w:left="0" w:leftChars="0" w:right="0" w:rightChars="0" w:firstLine="0"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34039082">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文件、档案管理制度</w:t>
            </w:r>
          </w:p>
        </w:tc>
      </w:tr>
      <w:tr w14:paraId="67D93A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7888AD90">
            <w:pPr>
              <w:pStyle w:val="19"/>
              <w:numPr>
                <w:ilvl w:val="0"/>
                <w:numId w:val="11"/>
              </w:numPr>
              <w:spacing w:line="240" w:lineRule="auto"/>
              <w:ind w:left="425" w:leftChars="0" w:right="0" w:rightChars="0" w:hanging="425"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17A3A97F">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封闭管理制度</w:t>
            </w:r>
          </w:p>
        </w:tc>
        <w:tc>
          <w:tcPr>
            <w:tcW w:w="688" w:type="dxa"/>
            <w:tcBorders>
              <w:tl2br w:val="nil"/>
              <w:tr2bl w:val="nil"/>
            </w:tcBorders>
            <w:vAlign w:val="center"/>
          </w:tcPr>
          <w:p w14:paraId="0BDC5D44">
            <w:pPr>
              <w:pStyle w:val="19"/>
              <w:numPr>
                <w:ilvl w:val="0"/>
                <w:numId w:val="11"/>
              </w:numPr>
              <w:spacing w:line="240" w:lineRule="auto"/>
              <w:ind w:left="0" w:leftChars="0" w:right="0" w:rightChars="0" w:firstLine="0"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1216F51D">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信息报告制度</w:t>
            </w:r>
          </w:p>
        </w:tc>
      </w:tr>
      <w:tr w14:paraId="6785AE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5E084771">
            <w:pPr>
              <w:pStyle w:val="19"/>
              <w:numPr>
                <w:ilvl w:val="0"/>
                <w:numId w:val="11"/>
              </w:numPr>
              <w:spacing w:line="240" w:lineRule="auto"/>
              <w:ind w:left="425" w:leftChars="0" w:right="0" w:rightChars="0" w:hanging="425"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532FC62C">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cs="宋体"/>
                <w:b w:val="0"/>
                <w:bCs w:val="0"/>
                <w:color w:val="000000" w:themeColor="text1"/>
                <w:sz w:val="21"/>
                <w:szCs w:val="21"/>
                <w:lang w:val="en-US" w:eastAsia="zh-CN"/>
                <w14:textFill>
                  <w14:solidFill>
                    <w14:schemeClr w14:val="tx1"/>
                  </w14:solidFill>
                </w14:textFill>
              </w:rPr>
              <w:t>有限空间作业管理制度</w:t>
            </w:r>
          </w:p>
        </w:tc>
        <w:tc>
          <w:tcPr>
            <w:tcW w:w="688" w:type="dxa"/>
            <w:tcBorders>
              <w:tl2br w:val="nil"/>
              <w:tr2bl w:val="nil"/>
            </w:tcBorders>
            <w:vAlign w:val="center"/>
          </w:tcPr>
          <w:p w14:paraId="1A8F2975">
            <w:pPr>
              <w:pStyle w:val="19"/>
              <w:numPr>
                <w:ilvl w:val="0"/>
                <w:numId w:val="0"/>
              </w:numPr>
              <w:spacing w:line="240" w:lineRule="auto"/>
              <w:ind w:leftChars="0" w:right="0" w:rightChars="0"/>
              <w:jc w:val="both"/>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2B6848F0">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p>
        </w:tc>
      </w:tr>
    </w:tbl>
    <w:p w14:paraId="18B7D869">
      <w:pPr>
        <w:spacing w:line="360" w:lineRule="auto"/>
        <w:rPr>
          <w:rFonts w:hint="default" w:ascii="宋体" w:hAnsi="宋体" w:cs="Times New Roman"/>
          <w:b/>
          <w:bCs/>
          <w:color w:val="000000" w:themeColor="text1"/>
          <w:kern w:val="2"/>
          <w:sz w:val="28"/>
          <w:szCs w:val="28"/>
          <w:lang w:val="en-US" w:eastAsia="zh-CN" w:bidi="ar-SA"/>
          <w14:textFill>
            <w14:solidFill>
              <w14:schemeClr w14:val="tx1"/>
            </w14:solidFill>
          </w14:textFill>
        </w:rPr>
      </w:pPr>
      <w:r>
        <w:rPr>
          <w:rFonts w:hint="eastAsia" w:ascii="宋体" w:hAnsi="宋体" w:cs="Times New Roman"/>
          <w:b/>
          <w:bCs/>
          <w:color w:val="000000" w:themeColor="text1"/>
          <w:kern w:val="2"/>
          <w:sz w:val="28"/>
          <w:szCs w:val="28"/>
          <w:lang w:val="en-US" w:eastAsia="zh-CN" w:bidi="ar-SA"/>
          <w14:textFill>
            <w14:solidFill>
              <w14:schemeClr w14:val="tx1"/>
            </w14:solidFill>
          </w14:textFill>
        </w:rPr>
        <w:t>3.安全操作规程</w:t>
      </w:r>
    </w:p>
    <w:tbl>
      <w:tblPr>
        <w:tblStyle w:val="22"/>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24"/>
        <w:gridCol w:w="3522"/>
        <w:gridCol w:w="672"/>
        <w:gridCol w:w="4300"/>
      </w:tblGrid>
      <w:tr w14:paraId="797C78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068A4541">
            <w:pPr>
              <w:pStyle w:val="19"/>
              <w:numPr>
                <w:ilvl w:val="0"/>
                <w:numId w:val="12"/>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5AD872EB">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bookmarkStart w:id="207" w:name="_Toc105249755"/>
            <w:bookmarkStart w:id="208" w:name="_Toc100845386"/>
            <w:bookmarkStart w:id="209" w:name="_Toc100844188"/>
            <w:bookmarkStart w:id="210" w:name="_Toc100843982"/>
            <w:bookmarkStart w:id="211" w:name="_Toc8371"/>
            <w:r>
              <w:rPr>
                <w:rFonts w:hint="eastAsia" w:ascii="宋体" w:hAnsi="宋体" w:eastAsia="宋体" w:cs="宋体"/>
                <w:b w:val="0"/>
                <w:bCs w:val="0"/>
                <w:color w:val="000000" w:themeColor="text1"/>
                <w:sz w:val="21"/>
                <w:szCs w:val="21"/>
                <w:lang w:val="en-US" w:eastAsia="zh-CN"/>
                <w14:textFill>
                  <w14:solidFill>
                    <w14:schemeClr w14:val="tx1"/>
                  </w14:solidFill>
                </w14:textFill>
              </w:rPr>
              <w:t>电压互感器，电流互感器的</w:t>
            </w:r>
            <w:bookmarkEnd w:id="207"/>
            <w:bookmarkEnd w:id="208"/>
            <w:bookmarkEnd w:id="209"/>
            <w:bookmarkEnd w:id="210"/>
            <w:r>
              <w:rPr>
                <w:rFonts w:hint="eastAsia" w:ascii="宋体" w:hAnsi="宋体" w:eastAsia="宋体" w:cs="宋体"/>
                <w:b w:val="0"/>
                <w:bCs w:val="0"/>
                <w:color w:val="000000" w:themeColor="text1"/>
                <w:sz w:val="21"/>
                <w:szCs w:val="21"/>
                <w:lang w:val="en-US" w:eastAsia="zh-CN"/>
                <w14:textFill>
                  <w14:solidFill>
                    <w14:schemeClr w14:val="tx1"/>
                  </w14:solidFill>
                </w14:textFill>
              </w:rPr>
              <w:t>操作规程</w:t>
            </w:r>
            <w:bookmarkEnd w:id="211"/>
          </w:p>
        </w:tc>
        <w:tc>
          <w:tcPr>
            <w:tcW w:w="688" w:type="dxa"/>
            <w:tcBorders>
              <w:tl2br w:val="nil"/>
              <w:tr2bl w:val="nil"/>
            </w:tcBorders>
            <w:vAlign w:val="center"/>
          </w:tcPr>
          <w:p w14:paraId="476510ED">
            <w:pPr>
              <w:pStyle w:val="19"/>
              <w:numPr>
                <w:ilvl w:val="0"/>
                <w:numId w:val="12"/>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604B76A5">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高压设备工作操作规程</w:t>
            </w:r>
          </w:p>
        </w:tc>
      </w:tr>
      <w:tr w14:paraId="2CD0BB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3799C4AF">
            <w:pPr>
              <w:pStyle w:val="19"/>
              <w:numPr>
                <w:ilvl w:val="0"/>
                <w:numId w:val="12"/>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4662D2FF">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带电作业操作规程</w:t>
            </w:r>
          </w:p>
        </w:tc>
        <w:tc>
          <w:tcPr>
            <w:tcW w:w="688" w:type="dxa"/>
            <w:tcBorders>
              <w:tl2br w:val="nil"/>
              <w:tr2bl w:val="nil"/>
            </w:tcBorders>
            <w:vAlign w:val="center"/>
          </w:tcPr>
          <w:p w14:paraId="30073378">
            <w:pPr>
              <w:pStyle w:val="19"/>
              <w:numPr>
                <w:ilvl w:val="0"/>
                <w:numId w:val="12"/>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0A18342E">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电工岗位操作规程</w:t>
            </w:r>
          </w:p>
        </w:tc>
      </w:tr>
      <w:tr w14:paraId="01513A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7A7856EA">
            <w:pPr>
              <w:pStyle w:val="19"/>
              <w:numPr>
                <w:ilvl w:val="0"/>
                <w:numId w:val="12"/>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6D89890A">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电焊工安全操作规程</w:t>
            </w:r>
          </w:p>
        </w:tc>
        <w:tc>
          <w:tcPr>
            <w:tcW w:w="688" w:type="dxa"/>
            <w:tcBorders>
              <w:tl2br w:val="nil"/>
              <w:tr2bl w:val="nil"/>
            </w:tcBorders>
            <w:vAlign w:val="center"/>
          </w:tcPr>
          <w:p w14:paraId="34B5A661">
            <w:pPr>
              <w:pStyle w:val="19"/>
              <w:numPr>
                <w:ilvl w:val="0"/>
                <w:numId w:val="12"/>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55404B72">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配电室安全操作规程</w:t>
            </w:r>
          </w:p>
        </w:tc>
      </w:tr>
      <w:tr w14:paraId="1CF856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31A82B46">
            <w:pPr>
              <w:pStyle w:val="19"/>
              <w:numPr>
                <w:ilvl w:val="0"/>
                <w:numId w:val="12"/>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542B4DC1">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临时用电操作规程</w:t>
            </w:r>
          </w:p>
        </w:tc>
        <w:tc>
          <w:tcPr>
            <w:tcW w:w="688" w:type="dxa"/>
            <w:tcBorders>
              <w:tl2br w:val="nil"/>
              <w:tr2bl w:val="nil"/>
            </w:tcBorders>
            <w:vAlign w:val="center"/>
          </w:tcPr>
          <w:p w14:paraId="13E48F6C">
            <w:pPr>
              <w:pStyle w:val="19"/>
              <w:numPr>
                <w:ilvl w:val="0"/>
                <w:numId w:val="0"/>
              </w:numPr>
              <w:spacing w:line="240" w:lineRule="auto"/>
              <w:ind w:leftChars="0" w:right="0" w:rightChars="0"/>
              <w:jc w:val="both"/>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62900DE9">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r>
    </w:tbl>
    <w:p w14:paraId="720F0411">
      <w:pPr>
        <w:spacing w:line="360" w:lineRule="auto"/>
        <w:rPr>
          <w:rFonts w:hint="default" w:ascii="宋体" w:hAnsi="宋体" w:cs="Times New Roman"/>
          <w:b/>
          <w:bCs/>
          <w:color w:val="000000" w:themeColor="text1"/>
          <w:kern w:val="2"/>
          <w:sz w:val="28"/>
          <w:szCs w:val="28"/>
          <w:lang w:val="zh-CN" w:eastAsia="zh-CN" w:bidi="ar-SA"/>
          <w14:textFill>
            <w14:solidFill>
              <w14:schemeClr w14:val="tx1"/>
            </w14:solidFill>
          </w14:textFill>
        </w:rPr>
      </w:pPr>
      <w:r>
        <w:rPr>
          <w:rFonts w:hint="eastAsia" w:ascii="宋体" w:hAnsi="宋体" w:cs="Times New Roman"/>
          <w:b/>
          <w:bCs/>
          <w:color w:val="000000" w:themeColor="text1"/>
          <w:kern w:val="2"/>
          <w:sz w:val="28"/>
          <w:szCs w:val="28"/>
          <w:lang w:val="en-US" w:eastAsia="zh-CN" w:bidi="ar-SA"/>
          <w14:textFill>
            <w14:solidFill>
              <w14:schemeClr w14:val="tx1"/>
            </w14:solidFill>
          </w14:textFill>
        </w:rPr>
        <w:t>4.</w:t>
      </w:r>
      <w:r>
        <w:rPr>
          <w:rFonts w:hint="default" w:ascii="宋体" w:hAnsi="宋体" w:cs="Times New Roman"/>
          <w:b/>
          <w:bCs/>
          <w:color w:val="000000" w:themeColor="text1"/>
          <w:kern w:val="2"/>
          <w:sz w:val="28"/>
          <w:szCs w:val="28"/>
          <w:lang w:val="zh-CN" w:eastAsia="zh-CN" w:bidi="ar-SA"/>
          <w14:textFill>
            <w14:solidFill>
              <w14:schemeClr w14:val="tx1"/>
            </w14:solidFill>
          </w14:textFill>
        </w:rPr>
        <w:t>安全管理档案</w:t>
      </w:r>
    </w:p>
    <w:tbl>
      <w:tblPr>
        <w:tblStyle w:val="22"/>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30"/>
        <w:gridCol w:w="3509"/>
        <w:gridCol w:w="679"/>
        <w:gridCol w:w="4300"/>
      </w:tblGrid>
      <w:tr w14:paraId="7AE45F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601B5572">
            <w:pPr>
              <w:pStyle w:val="19"/>
              <w:numPr>
                <w:ilvl w:val="0"/>
                <w:numId w:val="0"/>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kern w:val="2"/>
                <w:sz w:val="21"/>
                <w:szCs w:val="21"/>
                <w:lang w:val="en-US" w:eastAsia="zh-CN" w:bidi="ar-SA"/>
                <w14:textFill>
                  <w14:solidFill>
                    <w14:schemeClr w14:val="tx1"/>
                  </w14:solidFill>
                </w14:textFill>
              </w:rPr>
              <w:t>1.</w:t>
            </w:r>
          </w:p>
        </w:tc>
        <w:tc>
          <w:tcPr>
            <w:tcW w:w="3622" w:type="dxa"/>
            <w:tcBorders>
              <w:tl2br w:val="nil"/>
              <w:tr2bl w:val="nil"/>
            </w:tcBorders>
            <w:vAlign w:val="center"/>
          </w:tcPr>
          <w:p w14:paraId="1FCA5A5F">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隐患排查治理情况登记表</w:t>
            </w:r>
          </w:p>
        </w:tc>
        <w:tc>
          <w:tcPr>
            <w:tcW w:w="688" w:type="dxa"/>
            <w:tcBorders>
              <w:tl2br w:val="nil"/>
              <w:tr2bl w:val="nil"/>
            </w:tcBorders>
            <w:vAlign w:val="center"/>
          </w:tcPr>
          <w:p w14:paraId="3D36ACAA">
            <w:pPr>
              <w:pStyle w:val="19"/>
              <w:numPr>
                <w:ilvl w:val="0"/>
                <w:numId w:val="0"/>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kern w:val="2"/>
                <w:sz w:val="21"/>
                <w:szCs w:val="21"/>
                <w:lang w:val="en-US" w:eastAsia="zh-CN" w:bidi="ar-SA"/>
                <w14:textFill>
                  <w14:solidFill>
                    <w14:schemeClr w14:val="tx1"/>
                  </w14:solidFill>
                </w14:textFill>
              </w:rPr>
              <w:t>2.</w:t>
            </w:r>
          </w:p>
        </w:tc>
        <w:tc>
          <w:tcPr>
            <w:tcW w:w="4435" w:type="dxa"/>
            <w:tcBorders>
              <w:tl2br w:val="nil"/>
              <w:tr2bl w:val="nil"/>
            </w:tcBorders>
            <w:vAlign w:val="center"/>
          </w:tcPr>
          <w:p w14:paraId="5D73803A">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劳动防护用品发放台账</w:t>
            </w:r>
          </w:p>
        </w:tc>
      </w:tr>
      <w:tr w14:paraId="604A05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5A5F682E">
            <w:pPr>
              <w:pStyle w:val="19"/>
              <w:numPr>
                <w:ilvl w:val="0"/>
                <w:numId w:val="0"/>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kern w:val="2"/>
                <w:sz w:val="21"/>
                <w:szCs w:val="21"/>
                <w:lang w:val="en-US" w:eastAsia="zh-CN" w:bidi="ar-SA"/>
                <w14:textFill>
                  <w14:solidFill>
                    <w14:schemeClr w14:val="tx1"/>
                  </w14:solidFill>
                </w14:textFill>
              </w:rPr>
              <w:t>3.</w:t>
            </w:r>
          </w:p>
        </w:tc>
        <w:tc>
          <w:tcPr>
            <w:tcW w:w="3622" w:type="dxa"/>
            <w:tcBorders>
              <w:tl2br w:val="nil"/>
              <w:tr2bl w:val="nil"/>
            </w:tcBorders>
            <w:vAlign w:val="center"/>
          </w:tcPr>
          <w:p w14:paraId="36A375D8">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安全教育培训记录</w:t>
            </w:r>
          </w:p>
        </w:tc>
        <w:tc>
          <w:tcPr>
            <w:tcW w:w="688" w:type="dxa"/>
            <w:tcBorders>
              <w:tl2br w:val="nil"/>
              <w:tr2bl w:val="nil"/>
            </w:tcBorders>
            <w:vAlign w:val="center"/>
          </w:tcPr>
          <w:p w14:paraId="35407558">
            <w:pPr>
              <w:pStyle w:val="19"/>
              <w:numPr>
                <w:ilvl w:val="0"/>
                <w:numId w:val="0"/>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kern w:val="2"/>
                <w:sz w:val="21"/>
                <w:szCs w:val="21"/>
                <w:lang w:val="en-US" w:eastAsia="zh-CN" w:bidi="ar-SA"/>
                <w14:textFill>
                  <w14:solidFill>
                    <w14:schemeClr w14:val="tx1"/>
                  </w14:solidFill>
                </w14:textFill>
              </w:rPr>
              <w:t>4.</w:t>
            </w:r>
          </w:p>
        </w:tc>
        <w:tc>
          <w:tcPr>
            <w:tcW w:w="4435" w:type="dxa"/>
            <w:tcBorders>
              <w:tl2br w:val="nil"/>
              <w:tr2bl w:val="nil"/>
            </w:tcBorders>
            <w:vAlign w:val="center"/>
          </w:tcPr>
          <w:p w14:paraId="2E7520CA">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安全设施和设备维护、保修、检测台账</w:t>
            </w:r>
          </w:p>
        </w:tc>
      </w:tr>
      <w:tr w14:paraId="66917B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46F70DE9">
            <w:pPr>
              <w:pStyle w:val="19"/>
              <w:numPr>
                <w:ilvl w:val="0"/>
                <w:numId w:val="0"/>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kern w:val="2"/>
                <w:sz w:val="21"/>
                <w:szCs w:val="21"/>
                <w:lang w:val="en-US" w:eastAsia="zh-CN" w:bidi="ar-SA"/>
                <w14:textFill>
                  <w14:solidFill>
                    <w14:schemeClr w14:val="tx1"/>
                  </w14:solidFill>
                </w14:textFill>
              </w:rPr>
              <w:t>5.</w:t>
            </w:r>
          </w:p>
        </w:tc>
        <w:tc>
          <w:tcPr>
            <w:tcW w:w="3622" w:type="dxa"/>
            <w:tcBorders>
              <w:tl2br w:val="nil"/>
              <w:tr2bl w:val="nil"/>
            </w:tcBorders>
            <w:vAlign w:val="center"/>
          </w:tcPr>
          <w:p w14:paraId="7377AF34">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从业人员三级教育培训</w:t>
            </w:r>
          </w:p>
        </w:tc>
        <w:tc>
          <w:tcPr>
            <w:tcW w:w="688" w:type="dxa"/>
            <w:tcBorders>
              <w:tl2br w:val="nil"/>
              <w:tr2bl w:val="nil"/>
            </w:tcBorders>
            <w:vAlign w:val="center"/>
          </w:tcPr>
          <w:p w14:paraId="72336023">
            <w:pPr>
              <w:pStyle w:val="19"/>
              <w:numPr>
                <w:ilvl w:val="0"/>
                <w:numId w:val="0"/>
              </w:numPr>
              <w:spacing w:line="240" w:lineRule="auto"/>
              <w:ind w:leftChars="0" w:right="0" w:rightChars="0"/>
              <w:jc w:val="both"/>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13BB4E0E">
            <w:pPr>
              <w:pStyle w:val="19"/>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p>
        </w:tc>
      </w:tr>
    </w:tbl>
    <w:p w14:paraId="5CEBBB41">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outlineLvl w:val="2"/>
        <w:rPr>
          <w:rFonts w:hint="default" w:ascii="宋体" w:hAnsi="宋体" w:eastAsia="宋体" w:cs="宋体"/>
          <w:color w:val="000000"/>
          <w:kern w:val="0"/>
          <w:sz w:val="28"/>
          <w:szCs w:val="28"/>
          <w:lang w:val="en-US" w:eastAsia="zh-CN" w:bidi="ar"/>
        </w:rPr>
      </w:pPr>
      <w:bookmarkStart w:id="212" w:name="_Toc10773"/>
      <w:bookmarkStart w:id="213" w:name="_Toc26023"/>
      <w:r>
        <w:rPr>
          <w:rFonts w:hint="eastAsia" w:ascii="宋体" w:hAnsi="宋体" w:eastAsia="宋体" w:cs="宋体"/>
          <w:b/>
          <w:bCs/>
          <w:color w:val="000000"/>
          <w:kern w:val="0"/>
          <w:sz w:val="30"/>
          <w:szCs w:val="30"/>
          <w:lang w:val="en-US" w:eastAsia="zh-CN" w:bidi="ar"/>
        </w:rPr>
        <w:t>2.5.</w:t>
      </w:r>
      <w:r>
        <w:rPr>
          <w:rFonts w:hint="eastAsia" w:ascii="宋体" w:hAnsi="宋体" w:cs="宋体"/>
          <w:b/>
          <w:bCs/>
          <w:color w:val="000000"/>
          <w:kern w:val="0"/>
          <w:sz w:val="30"/>
          <w:szCs w:val="30"/>
          <w:lang w:val="en-US" w:eastAsia="zh-CN" w:bidi="ar"/>
        </w:rPr>
        <w:t>3</w:t>
      </w:r>
      <w:r>
        <w:rPr>
          <w:rFonts w:hint="eastAsia" w:ascii="宋体" w:hAnsi="宋体" w:eastAsia="宋体" w:cs="宋体"/>
          <w:b/>
          <w:bCs/>
          <w:color w:val="000000"/>
          <w:kern w:val="0"/>
          <w:sz w:val="30"/>
          <w:szCs w:val="30"/>
          <w:lang w:val="en-US" w:eastAsia="zh-CN" w:bidi="ar"/>
        </w:rPr>
        <w:t>安全</w:t>
      </w:r>
      <w:r>
        <w:rPr>
          <w:rFonts w:hint="eastAsia" w:ascii="宋体" w:hAnsi="宋体" w:cs="宋体"/>
          <w:b/>
          <w:bCs/>
          <w:color w:val="000000"/>
          <w:kern w:val="0"/>
          <w:sz w:val="30"/>
          <w:szCs w:val="30"/>
          <w:lang w:val="en-US" w:eastAsia="zh-CN" w:bidi="ar"/>
        </w:rPr>
        <w:t>教育培训</w:t>
      </w:r>
      <w:bookmarkEnd w:id="212"/>
    </w:p>
    <w:bookmarkEnd w:id="213"/>
    <w:p w14:paraId="3ADA7491">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color w:val="000000" w:themeColor="text1"/>
          <w:lang w:val="en-US" w:eastAsia="zh-CN"/>
          <w14:textFill>
            <w14:solidFill>
              <w14:schemeClr w14:val="tx1"/>
            </w14:solidFill>
          </w14:textFill>
        </w:rPr>
      </w:pPr>
      <w:r>
        <w:rPr>
          <w:rFonts w:hint="eastAsia" w:ascii="宋体" w:hAnsi="宋体" w:eastAsia="宋体" w:cs="宋体"/>
          <w:color w:val="000000" w:themeColor="text1"/>
          <w:kern w:val="2"/>
          <w:sz w:val="28"/>
          <w:szCs w:val="28"/>
          <w:lang w:val="en-US" w:eastAsia="zh-CN" w:bidi="ar-SA"/>
          <w14:textFill>
            <w14:solidFill>
              <w14:schemeClr w14:val="tx1"/>
            </w14:solidFill>
          </w14:textFill>
        </w:rPr>
        <w:t>电站</w:t>
      </w:r>
      <w:r>
        <w:rPr>
          <w:rFonts w:hint="eastAsia" w:ascii="宋体" w:hAnsi="宋体" w:eastAsia="宋体" w:cs="宋体"/>
          <w:color w:val="000000" w:themeColor="text1"/>
          <w:kern w:val="2"/>
          <w:sz w:val="28"/>
          <w:szCs w:val="28"/>
          <w:lang w:val="zh-CN" w:eastAsia="zh-CN" w:bidi="ar-SA"/>
          <w14:textFill>
            <w14:solidFill>
              <w14:schemeClr w14:val="tx1"/>
            </w14:solidFill>
          </w14:textFill>
        </w:rPr>
        <w:t>主要负责人</w:t>
      </w:r>
      <w:r>
        <w:rPr>
          <w:rFonts w:hint="eastAsia" w:ascii="宋体" w:hAnsi="宋体" w:eastAsia="宋体" w:cs="宋体"/>
          <w:color w:val="000000" w:themeColor="text1"/>
          <w:kern w:val="2"/>
          <w:sz w:val="28"/>
          <w:szCs w:val="28"/>
          <w:lang w:val="en-US" w:eastAsia="zh-CN" w:bidi="ar-SA"/>
          <w14:textFill>
            <w14:solidFill>
              <w14:schemeClr w14:val="tx1"/>
            </w14:solidFill>
          </w14:textFill>
        </w:rPr>
        <w:t>、</w:t>
      </w:r>
      <w:r>
        <w:rPr>
          <w:rFonts w:hint="eastAsia" w:ascii="宋体" w:hAnsi="宋体" w:eastAsia="宋体" w:cs="宋体"/>
          <w:color w:val="000000" w:themeColor="text1"/>
          <w:kern w:val="2"/>
          <w:sz w:val="28"/>
          <w:szCs w:val="28"/>
          <w:lang w:val="zh-CN" w:eastAsia="zh-CN" w:bidi="ar-SA"/>
          <w14:textFill>
            <w14:solidFill>
              <w14:schemeClr w14:val="tx1"/>
            </w14:solidFill>
          </w14:textFill>
        </w:rPr>
        <w:t>安全管理人员经过相关部门培训取证并持证上岗</w:t>
      </w:r>
      <w:r>
        <w:rPr>
          <w:rFonts w:hint="eastAsia" w:ascii="宋体" w:hAnsi="宋体" w:eastAsia="宋体" w:cs="宋体"/>
          <w:color w:val="000000" w:themeColor="text1"/>
          <w:kern w:val="2"/>
          <w:sz w:val="28"/>
          <w:szCs w:val="28"/>
          <w:lang w:val="en-US" w:eastAsia="zh-CN" w:bidi="ar-SA"/>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特种作业人员按要求取得特种作业人员证件，并持证上岗，</w:t>
      </w:r>
      <w:r>
        <w:rPr>
          <w:rFonts w:hint="eastAsia" w:ascii="宋体" w:hAnsi="宋体" w:eastAsia="宋体" w:cs="宋体"/>
          <w:color w:val="000000" w:themeColor="text1"/>
          <w:kern w:val="2"/>
          <w:sz w:val="28"/>
          <w:szCs w:val="28"/>
          <w:lang w:val="zh-CN" w:eastAsia="zh-CN" w:bidi="ar-SA"/>
          <w14:textFill>
            <w14:solidFill>
              <w14:schemeClr w14:val="tx1"/>
            </w14:solidFill>
          </w14:textFill>
        </w:rPr>
        <w:t>其他人员上岗前</w:t>
      </w:r>
      <w:r>
        <w:rPr>
          <w:rFonts w:hint="eastAsia" w:ascii="宋体" w:hAnsi="宋体" w:eastAsia="宋体" w:cs="宋体"/>
          <w:color w:val="000000" w:themeColor="text1"/>
          <w:kern w:val="2"/>
          <w:sz w:val="28"/>
          <w:szCs w:val="28"/>
          <w:lang w:val="en-US" w:eastAsia="zh-CN" w:bidi="ar-SA"/>
          <w14:textFill>
            <w14:solidFill>
              <w14:schemeClr w14:val="tx1"/>
            </w14:solidFill>
          </w14:textFill>
        </w:rPr>
        <w:t>研制出</w:t>
      </w:r>
      <w:r>
        <w:rPr>
          <w:rFonts w:hint="eastAsia" w:ascii="宋体" w:hAnsi="宋体" w:eastAsia="宋体" w:cs="宋体"/>
          <w:color w:val="000000" w:themeColor="text1"/>
          <w:kern w:val="2"/>
          <w:sz w:val="28"/>
          <w:szCs w:val="28"/>
          <w:lang w:val="zh-CN" w:eastAsia="zh-CN" w:bidi="ar-SA"/>
          <w14:textFill>
            <w14:solidFill>
              <w14:schemeClr w14:val="tx1"/>
            </w14:solidFill>
          </w14:textFill>
        </w:rPr>
        <w:t>按相关规定进行内部培训，平时定期组织全体员工进行安全法律法规、规章制度和岗位技能的教育、学习。持证作业人员情况见</w:t>
      </w:r>
      <w:r>
        <w:rPr>
          <w:rFonts w:hint="eastAsia" w:ascii="宋体" w:hAnsi="宋体" w:eastAsia="宋体" w:cs="宋体"/>
          <w:color w:val="000000" w:themeColor="text1"/>
          <w:kern w:val="2"/>
          <w:sz w:val="28"/>
          <w:szCs w:val="28"/>
          <w:lang w:val="en-US" w:eastAsia="zh-CN" w:bidi="ar-SA"/>
          <w14:textFill>
            <w14:solidFill>
              <w14:schemeClr w14:val="tx1"/>
            </w14:solidFill>
          </w14:textFill>
        </w:rPr>
        <w:t>下表</w:t>
      </w:r>
      <w:r>
        <w:rPr>
          <w:rFonts w:hint="eastAsia" w:ascii="宋体" w:hAnsi="宋体" w:eastAsia="宋体" w:cs="宋体"/>
          <w:color w:val="000000" w:themeColor="text1"/>
          <w:kern w:val="2"/>
          <w:sz w:val="28"/>
          <w:szCs w:val="28"/>
          <w:lang w:val="zh-CN" w:eastAsia="zh-CN" w:bidi="ar-SA"/>
          <w14:textFill>
            <w14:solidFill>
              <w14:schemeClr w14:val="tx1"/>
            </w14:solidFill>
          </w14:textFill>
        </w:rPr>
        <w:t>。</w:t>
      </w:r>
    </w:p>
    <w:p w14:paraId="7C649D72">
      <w:pPr>
        <w:pStyle w:val="29"/>
        <w:keepNext w:val="0"/>
        <w:keepLines w:val="0"/>
        <w:pageBreakBefore w:val="0"/>
        <w:widowControl w:val="0"/>
        <w:kinsoku/>
        <w:wordWrap/>
        <w:overflowPunct/>
        <w:topLinePunct w:val="0"/>
        <w:autoSpaceDE/>
        <w:autoSpaceDN/>
        <w:bidi w:val="0"/>
        <w:adjustRightInd/>
        <w:snapToGrid/>
        <w:spacing w:line="420" w:lineRule="exact"/>
        <w:ind w:firstLine="0" w:firstLineChars="0"/>
        <w:jc w:val="center"/>
        <w:textAlignment w:val="auto"/>
        <w:rPr>
          <w:b/>
          <w:bCs/>
          <w:color w:val="auto"/>
        </w:rPr>
      </w:pPr>
      <w:r>
        <w:rPr>
          <w:rFonts w:hint="eastAsia"/>
          <w:b/>
          <w:bCs/>
          <w:color w:val="auto"/>
        </w:rPr>
        <w:t>表2-</w:t>
      </w:r>
      <w:r>
        <w:rPr>
          <w:rFonts w:hint="eastAsia"/>
          <w:b/>
          <w:bCs/>
          <w:color w:val="auto"/>
          <w:lang w:val="en-US" w:eastAsia="zh-CN"/>
        </w:rPr>
        <w:t>4</w:t>
      </w:r>
      <w:r>
        <w:rPr>
          <w:rFonts w:hint="eastAsia"/>
          <w:b/>
          <w:bCs/>
          <w:color w:val="auto"/>
        </w:rPr>
        <w:t>安全管理人员证书</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815"/>
        <w:gridCol w:w="1490"/>
        <w:gridCol w:w="1767"/>
        <w:gridCol w:w="1244"/>
        <w:gridCol w:w="1883"/>
        <w:gridCol w:w="1255"/>
      </w:tblGrid>
      <w:tr w14:paraId="197C5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64" w:type="pct"/>
            <w:tcBorders>
              <w:top w:val="single" w:color="auto" w:sz="4" w:space="0"/>
              <w:left w:val="single" w:color="auto" w:sz="4" w:space="0"/>
              <w:bottom w:val="single" w:color="auto" w:sz="4" w:space="0"/>
              <w:right w:val="single" w:color="auto" w:sz="4" w:space="0"/>
            </w:tcBorders>
            <w:noWrap/>
            <w:vAlign w:val="center"/>
          </w:tcPr>
          <w:p w14:paraId="6EC7E023">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序号</w:t>
            </w:r>
          </w:p>
        </w:tc>
        <w:tc>
          <w:tcPr>
            <w:tcW w:w="446" w:type="pct"/>
            <w:tcBorders>
              <w:top w:val="single" w:color="auto" w:sz="4" w:space="0"/>
              <w:left w:val="single" w:color="auto" w:sz="4" w:space="0"/>
              <w:bottom w:val="single" w:color="auto" w:sz="4" w:space="0"/>
              <w:right w:val="single" w:color="auto" w:sz="4" w:space="0"/>
            </w:tcBorders>
            <w:noWrap/>
            <w:vAlign w:val="center"/>
          </w:tcPr>
          <w:p w14:paraId="09B711F7">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姓名</w:t>
            </w:r>
          </w:p>
        </w:tc>
        <w:tc>
          <w:tcPr>
            <w:tcW w:w="817" w:type="pct"/>
            <w:tcBorders>
              <w:top w:val="single" w:color="auto" w:sz="4" w:space="0"/>
              <w:left w:val="single" w:color="auto" w:sz="4" w:space="0"/>
              <w:bottom w:val="single" w:color="auto" w:sz="4" w:space="0"/>
              <w:right w:val="single" w:color="auto" w:sz="4" w:space="0"/>
            </w:tcBorders>
            <w:noWrap/>
            <w:vAlign w:val="center"/>
          </w:tcPr>
          <w:p w14:paraId="1F9312C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lang w:val="en-US" w:eastAsia="zh-CN"/>
              </w:rPr>
              <w:t>人员</w:t>
            </w:r>
            <w:r>
              <w:rPr>
                <w:rFonts w:hint="eastAsia" w:ascii="宋体" w:hAnsi="宋体" w:eastAsia="宋体" w:cs="宋体"/>
                <w:b/>
                <w:bCs/>
                <w:color w:val="auto"/>
                <w:kern w:val="0"/>
                <w:sz w:val="21"/>
                <w:szCs w:val="21"/>
              </w:rPr>
              <w:t>类别</w:t>
            </w:r>
          </w:p>
        </w:tc>
        <w:tc>
          <w:tcPr>
            <w:tcW w:w="969" w:type="pct"/>
            <w:tcBorders>
              <w:top w:val="single" w:color="auto" w:sz="4" w:space="0"/>
              <w:left w:val="single" w:color="auto" w:sz="4" w:space="0"/>
              <w:bottom w:val="single" w:color="auto" w:sz="4" w:space="0"/>
              <w:right w:val="single" w:color="auto" w:sz="4" w:space="0"/>
            </w:tcBorders>
            <w:noWrap/>
            <w:vAlign w:val="center"/>
          </w:tcPr>
          <w:p w14:paraId="5A684B7A">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证书编号</w:t>
            </w:r>
          </w:p>
        </w:tc>
        <w:tc>
          <w:tcPr>
            <w:tcW w:w="682" w:type="pct"/>
            <w:tcBorders>
              <w:top w:val="single" w:color="auto" w:sz="4" w:space="0"/>
              <w:left w:val="single" w:color="auto" w:sz="4" w:space="0"/>
              <w:bottom w:val="single" w:color="auto" w:sz="4" w:space="0"/>
              <w:right w:val="single" w:color="auto" w:sz="4" w:space="0"/>
            </w:tcBorders>
            <w:noWrap/>
            <w:vAlign w:val="center"/>
          </w:tcPr>
          <w:p w14:paraId="20FEE854">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bCs/>
                <w:color w:val="auto"/>
                <w:kern w:val="0"/>
                <w:sz w:val="21"/>
                <w:szCs w:val="21"/>
                <w:lang w:val="en-US" w:eastAsia="zh-CN"/>
              </w:rPr>
            </w:pPr>
            <w:r>
              <w:rPr>
                <w:rFonts w:hint="eastAsia" w:ascii="宋体" w:hAnsi="宋体" w:eastAsia="宋体" w:cs="宋体"/>
                <w:b/>
                <w:bCs/>
                <w:color w:val="auto"/>
                <w:kern w:val="0"/>
                <w:sz w:val="21"/>
                <w:szCs w:val="21"/>
                <w:lang w:val="en-US" w:eastAsia="zh-CN"/>
              </w:rPr>
              <w:t>行业类别</w:t>
            </w:r>
          </w:p>
        </w:tc>
        <w:tc>
          <w:tcPr>
            <w:tcW w:w="1032" w:type="pct"/>
            <w:tcBorders>
              <w:top w:val="single" w:color="auto" w:sz="4" w:space="0"/>
              <w:left w:val="single" w:color="auto" w:sz="4" w:space="0"/>
              <w:bottom w:val="single" w:color="auto" w:sz="4" w:space="0"/>
              <w:right w:val="single" w:color="auto" w:sz="4" w:space="0"/>
            </w:tcBorders>
            <w:noWrap/>
            <w:vAlign w:val="center"/>
          </w:tcPr>
          <w:p w14:paraId="5EA375D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发证单位</w:t>
            </w:r>
          </w:p>
        </w:tc>
        <w:tc>
          <w:tcPr>
            <w:tcW w:w="688" w:type="pct"/>
            <w:tcBorders>
              <w:top w:val="single" w:color="auto" w:sz="4" w:space="0"/>
              <w:left w:val="single" w:color="auto" w:sz="4" w:space="0"/>
              <w:bottom w:val="single" w:color="auto" w:sz="4" w:space="0"/>
              <w:right w:val="single" w:color="auto" w:sz="4" w:space="0"/>
            </w:tcBorders>
            <w:noWrap/>
            <w:vAlign w:val="center"/>
          </w:tcPr>
          <w:p w14:paraId="29C00AF0">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kern w:val="0"/>
                <w:sz w:val="21"/>
                <w:szCs w:val="21"/>
                <w:lang w:eastAsia="zh-CN"/>
              </w:rPr>
            </w:pPr>
            <w:r>
              <w:rPr>
                <w:rFonts w:hint="eastAsia" w:ascii="宋体" w:hAnsi="宋体" w:eastAsia="宋体" w:cs="宋体"/>
                <w:b/>
                <w:bCs/>
                <w:color w:val="auto"/>
                <w:kern w:val="0"/>
                <w:sz w:val="21"/>
                <w:szCs w:val="21"/>
              </w:rPr>
              <w:t>有效期</w:t>
            </w:r>
          </w:p>
        </w:tc>
      </w:tr>
      <w:tr w14:paraId="4CE44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 w:type="pct"/>
            <w:tcBorders>
              <w:top w:val="single" w:color="auto" w:sz="4" w:space="0"/>
              <w:left w:val="single" w:color="auto" w:sz="4" w:space="0"/>
              <w:bottom w:val="single" w:color="auto" w:sz="4" w:space="0"/>
              <w:right w:val="single" w:color="auto" w:sz="4" w:space="0"/>
            </w:tcBorders>
            <w:noWrap/>
            <w:vAlign w:val="center"/>
          </w:tcPr>
          <w:p w14:paraId="2CE00EFA">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w:t>1</w:t>
            </w:r>
          </w:p>
        </w:tc>
        <w:tc>
          <w:tcPr>
            <w:tcW w:w="446" w:type="pct"/>
            <w:tcBorders>
              <w:top w:val="single" w:color="auto" w:sz="4" w:space="0"/>
              <w:left w:val="single" w:color="auto" w:sz="4" w:space="0"/>
              <w:bottom w:val="single" w:color="auto" w:sz="4" w:space="0"/>
              <w:right w:val="single" w:color="auto" w:sz="4" w:space="0"/>
            </w:tcBorders>
            <w:noWrap/>
            <w:vAlign w:val="center"/>
          </w:tcPr>
          <w:p w14:paraId="409C3EE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Cs/>
                <w:color w:val="auto"/>
                <w:kern w:val="0"/>
                <w:sz w:val="21"/>
                <w:szCs w:val="21"/>
                <w:highlight w:val="none"/>
                <w:lang w:val="en-US" w:eastAsia="zh-CN"/>
              </w:rPr>
            </w:pPr>
            <w:r>
              <w:rPr>
                <w:rFonts w:hint="default" w:ascii="宋体" w:hAnsi="宋体" w:eastAsia="宋体" w:cs="宋体"/>
                <w:bCs/>
                <w:color w:val="auto"/>
                <w:kern w:val="0"/>
                <w:sz w:val="21"/>
                <w:szCs w:val="21"/>
                <w:highlight w:val="none"/>
                <w:lang w:val="en-US"/>
              </w:rPr>
              <w:t>吴绍</w:t>
            </w:r>
            <w:r>
              <w:rPr>
                <w:rFonts w:hint="eastAsia" w:ascii="宋体" w:hAnsi="宋体" w:eastAsia="宋体" w:cs="宋体"/>
                <w:bCs/>
                <w:color w:val="auto"/>
                <w:kern w:val="0"/>
                <w:sz w:val="21"/>
                <w:szCs w:val="21"/>
                <w:highlight w:val="none"/>
                <w:lang w:val="en-US" w:eastAsia="zh-CN"/>
              </w:rPr>
              <w:t>校</w:t>
            </w:r>
          </w:p>
        </w:tc>
        <w:tc>
          <w:tcPr>
            <w:tcW w:w="817" w:type="pct"/>
            <w:tcBorders>
              <w:top w:val="single" w:color="auto" w:sz="4" w:space="0"/>
              <w:left w:val="single" w:color="auto" w:sz="4" w:space="0"/>
              <w:bottom w:val="single" w:color="auto" w:sz="4" w:space="0"/>
              <w:right w:val="single" w:color="auto" w:sz="4" w:space="0"/>
            </w:tcBorders>
            <w:noWrap/>
            <w:vAlign w:val="center"/>
          </w:tcPr>
          <w:p w14:paraId="24EDABEE">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kern w:val="0"/>
                <w:sz w:val="21"/>
                <w:szCs w:val="21"/>
                <w:highlight w:val="none"/>
                <w:lang w:val="en-US" w:eastAsia="zh-CN" w:bidi="ar-SA"/>
              </w:rPr>
            </w:pPr>
            <w:r>
              <w:rPr>
                <w:rFonts w:hint="eastAsia" w:ascii="宋体" w:hAnsi="宋体" w:eastAsia="宋体" w:cs="宋体"/>
                <w:bCs/>
                <w:color w:val="auto"/>
                <w:kern w:val="0"/>
                <w:sz w:val="21"/>
                <w:szCs w:val="21"/>
                <w:highlight w:val="none"/>
                <w:lang w:val="en-US" w:eastAsia="zh-CN"/>
              </w:rPr>
              <w:t>主要负责人</w:t>
            </w:r>
          </w:p>
        </w:tc>
        <w:tc>
          <w:tcPr>
            <w:tcW w:w="969" w:type="pct"/>
            <w:tcBorders>
              <w:top w:val="single" w:color="auto" w:sz="4" w:space="0"/>
              <w:left w:val="single" w:color="auto" w:sz="4" w:space="0"/>
              <w:bottom w:val="single" w:color="auto" w:sz="4" w:space="0"/>
              <w:right w:val="single" w:color="auto" w:sz="4" w:space="0"/>
            </w:tcBorders>
            <w:noWrap/>
            <w:vAlign w:val="center"/>
          </w:tcPr>
          <w:p w14:paraId="173C2B3C">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Cs/>
                <w:color w:val="auto"/>
                <w:kern w:val="0"/>
                <w:sz w:val="21"/>
                <w:szCs w:val="21"/>
                <w:highlight w:val="none"/>
                <w:lang w:val="en-US" w:eastAsia="zh-CN" w:bidi="ar-SA"/>
              </w:rPr>
            </w:pPr>
            <w:r>
              <w:rPr>
                <w:rFonts w:hint="default" w:ascii="宋体" w:hAnsi="宋体" w:eastAsia="宋体" w:cs="宋体"/>
                <w:bCs/>
                <w:color w:val="auto"/>
                <w:kern w:val="0"/>
                <w:sz w:val="21"/>
                <w:szCs w:val="21"/>
                <w:highlight w:val="none"/>
                <w:lang w:val="en-US" w:eastAsia="zh-CN" w:bidi="ar-SA"/>
              </w:rPr>
              <w:t>LJ8322024FZ4933</w:t>
            </w:r>
          </w:p>
        </w:tc>
        <w:tc>
          <w:tcPr>
            <w:tcW w:w="682" w:type="pct"/>
            <w:tcBorders>
              <w:top w:val="single" w:color="auto" w:sz="4" w:space="0"/>
              <w:left w:val="single" w:color="auto" w:sz="4" w:space="0"/>
              <w:bottom w:val="single" w:color="auto" w:sz="4" w:space="0"/>
              <w:right w:val="single" w:color="auto" w:sz="4" w:space="0"/>
            </w:tcBorders>
            <w:noWrap/>
            <w:vAlign w:val="center"/>
          </w:tcPr>
          <w:p w14:paraId="2BDE73B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电力行业</w:t>
            </w:r>
          </w:p>
        </w:tc>
        <w:tc>
          <w:tcPr>
            <w:tcW w:w="1032" w:type="pct"/>
            <w:tcBorders>
              <w:top w:val="single" w:color="auto" w:sz="4" w:space="0"/>
              <w:left w:val="single" w:color="auto" w:sz="4" w:space="0"/>
              <w:bottom w:val="single" w:color="auto" w:sz="4" w:space="0"/>
              <w:right w:val="single" w:color="auto" w:sz="4" w:space="0"/>
            </w:tcBorders>
            <w:noWrap/>
            <w:vAlign w:val="center"/>
          </w:tcPr>
          <w:p w14:paraId="21BE146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大理安发安全生产培训有限公司</w:t>
            </w:r>
          </w:p>
        </w:tc>
        <w:tc>
          <w:tcPr>
            <w:tcW w:w="688" w:type="pct"/>
            <w:tcBorders>
              <w:top w:val="single" w:color="auto" w:sz="4" w:space="0"/>
              <w:left w:val="single" w:color="auto" w:sz="4" w:space="0"/>
              <w:bottom w:val="single" w:color="auto" w:sz="4" w:space="0"/>
              <w:right w:val="single" w:color="auto" w:sz="4" w:space="0"/>
            </w:tcBorders>
            <w:noWrap/>
            <w:vAlign w:val="center"/>
          </w:tcPr>
          <w:p w14:paraId="6E289AD4">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Cs/>
                <w:color w:val="auto"/>
                <w:spacing w:val="-10"/>
                <w:kern w:val="0"/>
                <w:sz w:val="21"/>
                <w:szCs w:val="21"/>
                <w:highlight w:val="none"/>
                <w:lang w:val="en-US" w:eastAsia="zh-CN" w:bidi="ar-SA"/>
              </w:rPr>
            </w:pPr>
            <w:r>
              <w:rPr>
                <w:rFonts w:hint="eastAsia" w:ascii="宋体" w:hAnsi="宋体" w:eastAsia="宋体" w:cs="宋体"/>
                <w:bCs/>
                <w:color w:val="auto"/>
                <w:spacing w:val="-10"/>
                <w:kern w:val="0"/>
                <w:sz w:val="21"/>
                <w:szCs w:val="21"/>
                <w:highlight w:val="none"/>
                <w:lang w:val="en-US" w:eastAsia="zh-CN" w:bidi="ar-SA"/>
              </w:rPr>
              <w:t>2027-11-24</w:t>
            </w:r>
          </w:p>
        </w:tc>
      </w:tr>
      <w:tr w14:paraId="244FF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 w:type="pct"/>
            <w:tcBorders>
              <w:top w:val="single" w:color="auto" w:sz="4" w:space="0"/>
              <w:left w:val="single" w:color="auto" w:sz="4" w:space="0"/>
              <w:bottom w:val="single" w:color="auto" w:sz="4" w:space="0"/>
              <w:right w:val="single" w:color="auto" w:sz="4" w:space="0"/>
            </w:tcBorders>
            <w:noWrap/>
            <w:vAlign w:val="center"/>
          </w:tcPr>
          <w:p w14:paraId="63F465F0">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w:t>
            </w:r>
          </w:p>
        </w:tc>
        <w:tc>
          <w:tcPr>
            <w:tcW w:w="446" w:type="pct"/>
            <w:tcBorders>
              <w:top w:val="single" w:color="auto" w:sz="4" w:space="0"/>
              <w:left w:val="single" w:color="auto" w:sz="4" w:space="0"/>
              <w:bottom w:val="single" w:color="auto" w:sz="4" w:space="0"/>
              <w:right w:val="single" w:color="auto" w:sz="4" w:space="0"/>
            </w:tcBorders>
            <w:noWrap/>
            <w:vAlign w:val="center"/>
          </w:tcPr>
          <w:p w14:paraId="3E51EA1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Cs/>
                <w:color w:val="auto"/>
                <w:kern w:val="0"/>
                <w:sz w:val="21"/>
                <w:szCs w:val="21"/>
                <w:highlight w:val="none"/>
                <w:lang w:val="en-US"/>
              </w:rPr>
            </w:pPr>
            <w:r>
              <w:rPr>
                <w:rFonts w:hint="default" w:ascii="宋体" w:hAnsi="宋体" w:eastAsia="宋体" w:cs="宋体"/>
                <w:bCs/>
                <w:color w:val="auto"/>
                <w:kern w:val="0"/>
                <w:sz w:val="21"/>
                <w:szCs w:val="21"/>
                <w:highlight w:val="none"/>
                <w:lang w:val="en-US"/>
              </w:rPr>
              <w:t>赵恒熙</w:t>
            </w:r>
          </w:p>
        </w:tc>
        <w:tc>
          <w:tcPr>
            <w:tcW w:w="817" w:type="pct"/>
            <w:tcBorders>
              <w:top w:val="single" w:color="auto" w:sz="4" w:space="0"/>
              <w:left w:val="single" w:color="auto" w:sz="4" w:space="0"/>
              <w:bottom w:val="single" w:color="auto" w:sz="4" w:space="0"/>
              <w:right w:val="single" w:color="auto" w:sz="4" w:space="0"/>
            </w:tcBorders>
            <w:noWrap/>
            <w:vAlign w:val="center"/>
          </w:tcPr>
          <w:p w14:paraId="07C72A3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val="en-US" w:eastAsia="zh-CN"/>
              </w:rPr>
              <w:t>安全管理人员</w:t>
            </w:r>
          </w:p>
        </w:tc>
        <w:tc>
          <w:tcPr>
            <w:tcW w:w="969" w:type="pct"/>
            <w:tcBorders>
              <w:top w:val="single" w:color="auto" w:sz="4" w:space="0"/>
              <w:left w:val="single" w:color="auto" w:sz="4" w:space="0"/>
              <w:bottom w:val="single" w:color="auto" w:sz="4" w:space="0"/>
              <w:right w:val="single" w:color="auto" w:sz="4" w:space="0"/>
            </w:tcBorders>
            <w:noWrap/>
            <w:vAlign w:val="center"/>
          </w:tcPr>
          <w:p w14:paraId="0962D07E">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Cs/>
                <w:color w:val="auto"/>
                <w:kern w:val="0"/>
                <w:sz w:val="21"/>
                <w:szCs w:val="21"/>
                <w:highlight w:val="none"/>
                <w:lang w:val="en-US" w:eastAsia="zh-CN" w:bidi="ar-SA"/>
              </w:rPr>
            </w:pPr>
            <w:r>
              <w:rPr>
                <w:rFonts w:hint="default" w:ascii="宋体" w:hAnsi="宋体" w:eastAsia="宋体" w:cs="宋体"/>
                <w:bCs/>
                <w:color w:val="auto"/>
                <w:kern w:val="0"/>
                <w:sz w:val="21"/>
                <w:szCs w:val="21"/>
                <w:highlight w:val="none"/>
                <w:lang w:val="en-US" w:eastAsia="zh-CN" w:bidi="ar-SA"/>
              </w:rPr>
              <w:t>L</w:t>
            </w:r>
            <w:r>
              <w:rPr>
                <w:rFonts w:hint="eastAsia" w:ascii="宋体" w:hAnsi="宋体" w:eastAsia="宋体" w:cs="宋体"/>
                <w:bCs/>
                <w:color w:val="auto"/>
                <w:kern w:val="0"/>
                <w:sz w:val="21"/>
                <w:szCs w:val="21"/>
                <w:highlight w:val="none"/>
                <w:lang w:val="en-US" w:eastAsia="zh-CN" w:bidi="ar-SA"/>
              </w:rPr>
              <w:t>J</w:t>
            </w:r>
            <w:r>
              <w:rPr>
                <w:rFonts w:hint="default" w:ascii="宋体" w:hAnsi="宋体" w:eastAsia="宋体" w:cs="宋体"/>
                <w:bCs/>
                <w:color w:val="auto"/>
                <w:kern w:val="0"/>
                <w:sz w:val="21"/>
                <w:szCs w:val="21"/>
                <w:highlight w:val="none"/>
                <w:lang w:val="en-US" w:eastAsia="zh-CN" w:bidi="ar-SA"/>
              </w:rPr>
              <w:t>8322025FG4840</w:t>
            </w:r>
          </w:p>
        </w:tc>
        <w:tc>
          <w:tcPr>
            <w:tcW w:w="682" w:type="pct"/>
            <w:tcBorders>
              <w:top w:val="single" w:color="auto" w:sz="4" w:space="0"/>
              <w:left w:val="single" w:color="auto" w:sz="4" w:space="0"/>
              <w:bottom w:val="single" w:color="auto" w:sz="4" w:space="0"/>
              <w:right w:val="single" w:color="auto" w:sz="4" w:space="0"/>
            </w:tcBorders>
            <w:noWrap/>
            <w:vAlign w:val="center"/>
          </w:tcPr>
          <w:p w14:paraId="1A390293">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电力行业</w:t>
            </w:r>
          </w:p>
        </w:tc>
        <w:tc>
          <w:tcPr>
            <w:tcW w:w="1032" w:type="pct"/>
            <w:tcBorders>
              <w:top w:val="single" w:color="auto" w:sz="4" w:space="0"/>
              <w:left w:val="single" w:color="auto" w:sz="4" w:space="0"/>
              <w:bottom w:val="single" w:color="auto" w:sz="4" w:space="0"/>
              <w:right w:val="single" w:color="auto" w:sz="4" w:space="0"/>
            </w:tcBorders>
            <w:noWrap/>
            <w:vAlign w:val="center"/>
          </w:tcPr>
          <w:p w14:paraId="4A1C9A5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大理安发安全生产培训有限公司</w:t>
            </w:r>
          </w:p>
        </w:tc>
        <w:tc>
          <w:tcPr>
            <w:tcW w:w="688" w:type="pct"/>
            <w:tcBorders>
              <w:top w:val="single" w:color="auto" w:sz="4" w:space="0"/>
              <w:left w:val="single" w:color="auto" w:sz="4" w:space="0"/>
              <w:bottom w:val="single" w:color="auto" w:sz="4" w:space="0"/>
              <w:right w:val="single" w:color="auto" w:sz="4" w:space="0"/>
            </w:tcBorders>
            <w:noWrap/>
            <w:vAlign w:val="center"/>
          </w:tcPr>
          <w:p w14:paraId="210E3B0E">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Cs/>
                <w:color w:val="auto"/>
                <w:spacing w:val="-10"/>
                <w:kern w:val="0"/>
                <w:sz w:val="21"/>
                <w:szCs w:val="21"/>
                <w:highlight w:val="none"/>
                <w:lang w:val="en-US" w:eastAsia="zh-CN" w:bidi="ar-SA"/>
              </w:rPr>
            </w:pPr>
            <w:r>
              <w:rPr>
                <w:rFonts w:hint="eastAsia" w:ascii="宋体" w:hAnsi="宋体" w:eastAsia="宋体" w:cs="宋体"/>
                <w:bCs/>
                <w:color w:val="auto"/>
                <w:spacing w:val="-10"/>
                <w:kern w:val="0"/>
                <w:sz w:val="21"/>
                <w:szCs w:val="21"/>
                <w:highlight w:val="none"/>
                <w:lang w:val="en-US" w:eastAsia="zh-CN" w:bidi="ar-SA"/>
              </w:rPr>
              <w:t>2027-03-10</w:t>
            </w:r>
          </w:p>
        </w:tc>
      </w:tr>
    </w:tbl>
    <w:p w14:paraId="16A8C1E5">
      <w:pPr>
        <w:pStyle w:val="29"/>
        <w:widowControl w:val="0"/>
        <w:ind w:firstLine="0" w:firstLineChars="0"/>
        <w:jc w:val="center"/>
        <w:rPr>
          <w:b/>
          <w:bCs/>
          <w:color w:val="auto"/>
        </w:rPr>
      </w:pPr>
      <w:r>
        <w:rPr>
          <w:rFonts w:hint="eastAsia"/>
          <w:b/>
          <w:bCs/>
          <w:color w:val="auto"/>
        </w:rPr>
        <w:t>表2-</w:t>
      </w:r>
      <w:r>
        <w:rPr>
          <w:rFonts w:hint="eastAsia"/>
          <w:b/>
          <w:bCs/>
          <w:color w:val="auto"/>
          <w:lang w:val="en-US" w:eastAsia="zh-CN"/>
        </w:rPr>
        <w:t>5</w:t>
      </w:r>
      <w:r>
        <w:rPr>
          <w:rFonts w:hint="eastAsia"/>
          <w:b/>
          <w:bCs/>
          <w:color w:val="auto"/>
        </w:rPr>
        <w:t>特种作业人员证书</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
        <w:gridCol w:w="767"/>
        <w:gridCol w:w="1080"/>
        <w:gridCol w:w="2230"/>
        <w:gridCol w:w="1444"/>
        <w:gridCol w:w="1934"/>
        <w:gridCol w:w="1255"/>
      </w:tblGrid>
      <w:tr w14:paraId="0BBDD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23" w:type="pct"/>
            <w:tcBorders>
              <w:top w:val="single" w:color="auto" w:sz="4" w:space="0"/>
              <w:left w:val="single" w:color="auto" w:sz="4" w:space="0"/>
              <w:right w:val="single" w:color="auto" w:sz="4" w:space="0"/>
            </w:tcBorders>
            <w:noWrap/>
            <w:vAlign w:val="center"/>
          </w:tcPr>
          <w:p w14:paraId="519D1982">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序号</w:t>
            </w:r>
          </w:p>
        </w:tc>
        <w:tc>
          <w:tcPr>
            <w:tcW w:w="420" w:type="pct"/>
            <w:tcBorders>
              <w:top w:val="single" w:color="auto" w:sz="4" w:space="0"/>
              <w:left w:val="single" w:color="auto" w:sz="4" w:space="0"/>
              <w:right w:val="single" w:color="auto" w:sz="4" w:space="0"/>
            </w:tcBorders>
            <w:noWrap/>
            <w:vAlign w:val="center"/>
          </w:tcPr>
          <w:p w14:paraId="46D31224">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姓名</w:t>
            </w:r>
          </w:p>
        </w:tc>
        <w:tc>
          <w:tcPr>
            <w:tcW w:w="592" w:type="pct"/>
            <w:tcBorders>
              <w:top w:val="single" w:color="auto" w:sz="4" w:space="0"/>
              <w:left w:val="single" w:color="auto" w:sz="4" w:space="0"/>
              <w:bottom w:val="single" w:color="auto" w:sz="4" w:space="0"/>
              <w:right w:val="single" w:color="auto" w:sz="4" w:space="0"/>
            </w:tcBorders>
            <w:noWrap/>
            <w:vAlign w:val="center"/>
          </w:tcPr>
          <w:p w14:paraId="4308D2DE">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作业类别</w:t>
            </w:r>
          </w:p>
        </w:tc>
        <w:tc>
          <w:tcPr>
            <w:tcW w:w="1223" w:type="pct"/>
            <w:tcBorders>
              <w:top w:val="single" w:color="auto" w:sz="4" w:space="0"/>
              <w:left w:val="single" w:color="auto" w:sz="4" w:space="0"/>
              <w:bottom w:val="single" w:color="auto" w:sz="4" w:space="0"/>
              <w:right w:val="single" w:color="auto" w:sz="4" w:space="0"/>
            </w:tcBorders>
            <w:noWrap/>
            <w:vAlign w:val="center"/>
          </w:tcPr>
          <w:p w14:paraId="3935885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证书编号</w:t>
            </w:r>
          </w:p>
        </w:tc>
        <w:tc>
          <w:tcPr>
            <w:tcW w:w="792" w:type="pct"/>
            <w:tcBorders>
              <w:top w:val="single" w:color="auto" w:sz="4" w:space="0"/>
              <w:left w:val="single" w:color="auto" w:sz="4" w:space="0"/>
              <w:bottom w:val="single" w:color="auto" w:sz="4" w:space="0"/>
              <w:right w:val="single" w:color="auto" w:sz="4" w:space="0"/>
            </w:tcBorders>
            <w:noWrap/>
            <w:vAlign w:val="center"/>
          </w:tcPr>
          <w:p w14:paraId="5910B1A0">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准操项目</w:t>
            </w:r>
          </w:p>
        </w:tc>
        <w:tc>
          <w:tcPr>
            <w:tcW w:w="1060" w:type="pct"/>
            <w:tcBorders>
              <w:top w:val="single" w:color="auto" w:sz="4" w:space="0"/>
              <w:left w:val="single" w:color="auto" w:sz="4" w:space="0"/>
              <w:bottom w:val="single" w:color="auto" w:sz="4" w:space="0"/>
              <w:right w:val="single" w:color="auto" w:sz="4" w:space="0"/>
            </w:tcBorders>
            <w:noWrap/>
            <w:vAlign w:val="center"/>
          </w:tcPr>
          <w:p w14:paraId="187EE4D4">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发证单位</w:t>
            </w:r>
          </w:p>
        </w:tc>
        <w:tc>
          <w:tcPr>
            <w:tcW w:w="688" w:type="pct"/>
            <w:tcBorders>
              <w:top w:val="single" w:color="auto" w:sz="4" w:space="0"/>
              <w:left w:val="single" w:color="auto" w:sz="4" w:space="0"/>
              <w:bottom w:val="single" w:color="auto" w:sz="4" w:space="0"/>
              <w:right w:val="single" w:color="auto" w:sz="4" w:space="0"/>
            </w:tcBorders>
            <w:noWrap/>
            <w:vAlign w:val="center"/>
          </w:tcPr>
          <w:p w14:paraId="627CBE2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有效期</w:t>
            </w:r>
          </w:p>
        </w:tc>
      </w:tr>
      <w:tr w14:paraId="083F8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 w:type="pct"/>
            <w:vMerge w:val="restart"/>
            <w:tcBorders>
              <w:top w:val="single" w:color="auto" w:sz="4" w:space="0"/>
              <w:left w:val="single" w:color="auto" w:sz="4" w:space="0"/>
              <w:right w:val="single" w:color="auto" w:sz="4" w:space="0"/>
            </w:tcBorders>
            <w:noWrap/>
            <w:vAlign w:val="center"/>
          </w:tcPr>
          <w:p w14:paraId="468F28E0">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bCs w:val="0"/>
                <w:color w:val="auto"/>
                <w:kern w:val="0"/>
                <w:sz w:val="21"/>
                <w:szCs w:val="21"/>
                <w:lang w:val="en-US" w:eastAsia="zh-CN"/>
              </w:rPr>
            </w:pPr>
            <w:r>
              <w:rPr>
                <w:rFonts w:hint="eastAsia" w:ascii="宋体" w:hAnsi="宋体" w:eastAsia="宋体" w:cs="宋体"/>
                <w:b w:val="0"/>
                <w:bCs w:val="0"/>
                <w:color w:val="auto"/>
                <w:kern w:val="0"/>
                <w:sz w:val="21"/>
                <w:szCs w:val="21"/>
                <w:lang w:val="en-US" w:eastAsia="zh-CN"/>
              </w:rPr>
              <w:t>1</w:t>
            </w:r>
          </w:p>
        </w:tc>
        <w:tc>
          <w:tcPr>
            <w:tcW w:w="420" w:type="pct"/>
            <w:vMerge w:val="restart"/>
            <w:tcBorders>
              <w:top w:val="single" w:color="auto" w:sz="4" w:space="0"/>
              <w:left w:val="single" w:color="auto" w:sz="4" w:space="0"/>
              <w:right w:val="single" w:color="auto" w:sz="4" w:space="0"/>
            </w:tcBorders>
            <w:noWrap/>
            <w:vAlign w:val="center"/>
          </w:tcPr>
          <w:p w14:paraId="1F1098C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bCs w:val="0"/>
                <w:color w:val="auto"/>
                <w:kern w:val="0"/>
                <w:sz w:val="21"/>
                <w:szCs w:val="21"/>
                <w:lang w:val="en-US" w:eastAsia="zh-CN"/>
              </w:rPr>
            </w:pPr>
            <w:r>
              <w:rPr>
                <w:rFonts w:hint="eastAsia" w:ascii="宋体" w:hAnsi="宋体" w:eastAsia="宋体" w:cs="宋体"/>
                <w:b w:val="0"/>
                <w:bCs w:val="0"/>
                <w:color w:val="auto"/>
                <w:kern w:val="0"/>
                <w:sz w:val="21"/>
                <w:szCs w:val="21"/>
                <w:lang w:val="en-US" w:eastAsia="zh-CN"/>
              </w:rPr>
              <w:t>张华</w:t>
            </w:r>
          </w:p>
        </w:tc>
        <w:tc>
          <w:tcPr>
            <w:tcW w:w="592" w:type="pct"/>
            <w:tcBorders>
              <w:top w:val="single" w:color="auto" w:sz="4" w:space="0"/>
              <w:left w:val="single" w:color="auto" w:sz="4" w:space="0"/>
              <w:bottom w:val="single" w:color="auto" w:sz="4" w:space="0"/>
              <w:right w:val="single" w:color="auto" w:sz="4" w:space="0"/>
            </w:tcBorders>
            <w:noWrap/>
            <w:vAlign w:val="center"/>
          </w:tcPr>
          <w:p w14:paraId="659228F9">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电工作业</w:t>
            </w:r>
          </w:p>
        </w:tc>
        <w:tc>
          <w:tcPr>
            <w:tcW w:w="1223" w:type="pct"/>
            <w:tcBorders>
              <w:top w:val="single" w:color="auto" w:sz="4" w:space="0"/>
              <w:left w:val="single" w:color="auto" w:sz="4" w:space="0"/>
              <w:bottom w:val="single" w:color="auto" w:sz="4" w:space="0"/>
              <w:right w:val="single" w:color="auto" w:sz="4" w:space="0"/>
            </w:tcBorders>
            <w:noWrap/>
            <w:vAlign w:val="center"/>
          </w:tcPr>
          <w:p w14:paraId="26A4D9F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T532931199002020516</w:t>
            </w:r>
          </w:p>
        </w:tc>
        <w:tc>
          <w:tcPr>
            <w:tcW w:w="792" w:type="pct"/>
            <w:tcBorders>
              <w:top w:val="single" w:color="auto" w:sz="4" w:space="0"/>
              <w:left w:val="single" w:color="auto" w:sz="4" w:space="0"/>
              <w:bottom w:val="single" w:color="auto" w:sz="4" w:space="0"/>
              <w:right w:val="single" w:color="auto" w:sz="4" w:space="0"/>
            </w:tcBorders>
            <w:noWrap/>
            <w:vAlign w:val="center"/>
          </w:tcPr>
          <w:p w14:paraId="1B6AD54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低压电工作业</w:t>
            </w:r>
          </w:p>
        </w:tc>
        <w:tc>
          <w:tcPr>
            <w:tcW w:w="1060" w:type="pct"/>
            <w:tcBorders>
              <w:top w:val="single" w:color="auto" w:sz="4" w:space="0"/>
              <w:left w:val="single" w:color="auto" w:sz="4" w:space="0"/>
              <w:bottom w:val="single" w:color="auto" w:sz="4" w:space="0"/>
              <w:right w:val="single" w:color="auto" w:sz="4" w:space="0"/>
            </w:tcBorders>
            <w:noWrap/>
            <w:vAlign w:val="center"/>
          </w:tcPr>
          <w:p w14:paraId="395999AC">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大理州应急管理局</w:t>
            </w:r>
          </w:p>
        </w:tc>
        <w:tc>
          <w:tcPr>
            <w:tcW w:w="688" w:type="pct"/>
            <w:tcBorders>
              <w:top w:val="single" w:color="auto" w:sz="4" w:space="0"/>
              <w:left w:val="single" w:color="auto" w:sz="4" w:space="0"/>
              <w:bottom w:val="single" w:color="auto" w:sz="4" w:space="0"/>
              <w:right w:val="single" w:color="auto" w:sz="4" w:space="0"/>
            </w:tcBorders>
            <w:noWrap/>
            <w:vAlign w:val="center"/>
          </w:tcPr>
          <w:p w14:paraId="48E372E3">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2031-03-13</w:t>
            </w:r>
          </w:p>
        </w:tc>
      </w:tr>
      <w:tr w14:paraId="2D687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 w:type="pct"/>
            <w:vMerge w:val="continue"/>
            <w:tcBorders>
              <w:left w:val="single" w:color="auto" w:sz="4" w:space="0"/>
              <w:right w:val="single" w:color="auto" w:sz="4" w:space="0"/>
            </w:tcBorders>
            <w:noWrap/>
            <w:vAlign w:val="center"/>
          </w:tcPr>
          <w:p w14:paraId="38EFF67E">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kern w:val="0"/>
                <w:sz w:val="21"/>
                <w:szCs w:val="21"/>
              </w:rPr>
            </w:pPr>
          </w:p>
        </w:tc>
        <w:tc>
          <w:tcPr>
            <w:tcW w:w="420" w:type="pct"/>
            <w:vMerge w:val="continue"/>
            <w:tcBorders>
              <w:left w:val="single" w:color="auto" w:sz="4" w:space="0"/>
              <w:right w:val="single" w:color="auto" w:sz="4" w:space="0"/>
            </w:tcBorders>
            <w:noWrap/>
            <w:vAlign w:val="center"/>
          </w:tcPr>
          <w:p w14:paraId="4F6F72F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bCs w:val="0"/>
                <w:color w:val="auto"/>
                <w:kern w:val="0"/>
                <w:sz w:val="21"/>
                <w:szCs w:val="21"/>
              </w:rPr>
            </w:pPr>
          </w:p>
        </w:tc>
        <w:tc>
          <w:tcPr>
            <w:tcW w:w="592" w:type="pct"/>
            <w:tcBorders>
              <w:top w:val="single" w:color="auto" w:sz="4" w:space="0"/>
              <w:left w:val="single" w:color="auto" w:sz="4" w:space="0"/>
              <w:bottom w:val="single" w:color="auto" w:sz="4" w:space="0"/>
              <w:right w:val="single" w:color="auto" w:sz="4" w:space="0"/>
            </w:tcBorders>
            <w:noWrap/>
            <w:vAlign w:val="center"/>
          </w:tcPr>
          <w:p w14:paraId="3DBCE90C">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电工作业</w:t>
            </w:r>
          </w:p>
        </w:tc>
        <w:tc>
          <w:tcPr>
            <w:tcW w:w="1223" w:type="pct"/>
            <w:tcBorders>
              <w:top w:val="single" w:color="auto" w:sz="4" w:space="0"/>
              <w:left w:val="single" w:color="auto" w:sz="4" w:space="0"/>
              <w:bottom w:val="single" w:color="auto" w:sz="4" w:space="0"/>
              <w:right w:val="single" w:color="auto" w:sz="4" w:space="0"/>
            </w:tcBorders>
            <w:noWrap/>
            <w:vAlign w:val="center"/>
          </w:tcPr>
          <w:p w14:paraId="1819784A">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T532931199002020516</w:t>
            </w:r>
          </w:p>
        </w:tc>
        <w:tc>
          <w:tcPr>
            <w:tcW w:w="792" w:type="pct"/>
            <w:tcBorders>
              <w:top w:val="single" w:color="auto" w:sz="4" w:space="0"/>
              <w:left w:val="single" w:color="auto" w:sz="4" w:space="0"/>
              <w:bottom w:val="single" w:color="auto" w:sz="4" w:space="0"/>
              <w:right w:val="single" w:color="auto" w:sz="4" w:space="0"/>
            </w:tcBorders>
            <w:noWrap/>
            <w:vAlign w:val="center"/>
          </w:tcPr>
          <w:p w14:paraId="699739D2">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高压电工作业</w:t>
            </w:r>
          </w:p>
        </w:tc>
        <w:tc>
          <w:tcPr>
            <w:tcW w:w="1060" w:type="pct"/>
            <w:tcBorders>
              <w:top w:val="single" w:color="auto" w:sz="4" w:space="0"/>
              <w:left w:val="single" w:color="auto" w:sz="4" w:space="0"/>
              <w:bottom w:val="single" w:color="auto" w:sz="4" w:space="0"/>
              <w:right w:val="single" w:color="auto" w:sz="4" w:space="0"/>
            </w:tcBorders>
            <w:noWrap/>
            <w:vAlign w:val="center"/>
          </w:tcPr>
          <w:p w14:paraId="7EEB512E">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大理州应急管理局</w:t>
            </w:r>
          </w:p>
        </w:tc>
        <w:tc>
          <w:tcPr>
            <w:tcW w:w="688" w:type="pct"/>
            <w:tcBorders>
              <w:top w:val="single" w:color="auto" w:sz="4" w:space="0"/>
              <w:left w:val="single" w:color="auto" w:sz="4" w:space="0"/>
              <w:bottom w:val="single" w:color="auto" w:sz="4" w:space="0"/>
              <w:right w:val="single" w:color="auto" w:sz="4" w:space="0"/>
            </w:tcBorders>
            <w:noWrap/>
            <w:vAlign w:val="center"/>
          </w:tcPr>
          <w:p w14:paraId="61F8423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2031-03-20</w:t>
            </w:r>
          </w:p>
        </w:tc>
      </w:tr>
      <w:tr w14:paraId="73539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 w:type="pct"/>
            <w:vMerge w:val="restart"/>
            <w:tcBorders>
              <w:left w:val="single" w:color="auto" w:sz="4" w:space="0"/>
              <w:right w:val="single" w:color="auto" w:sz="4" w:space="0"/>
            </w:tcBorders>
            <w:noWrap/>
            <w:vAlign w:val="center"/>
          </w:tcPr>
          <w:p w14:paraId="2EBC898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bCs w:val="0"/>
                <w:color w:val="auto"/>
                <w:kern w:val="0"/>
                <w:sz w:val="21"/>
                <w:szCs w:val="21"/>
                <w:lang w:val="en-US" w:eastAsia="zh-CN"/>
              </w:rPr>
            </w:pPr>
            <w:r>
              <w:rPr>
                <w:rFonts w:hint="eastAsia" w:ascii="宋体" w:hAnsi="宋体" w:eastAsia="宋体" w:cs="宋体"/>
                <w:b w:val="0"/>
                <w:bCs w:val="0"/>
                <w:color w:val="auto"/>
                <w:kern w:val="0"/>
                <w:sz w:val="21"/>
                <w:szCs w:val="21"/>
                <w:lang w:val="en-US" w:eastAsia="zh-CN"/>
              </w:rPr>
              <w:t>2</w:t>
            </w:r>
          </w:p>
        </w:tc>
        <w:tc>
          <w:tcPr>
            <w:tcW w:w="420" w:type="pct"/>
            <w:vMerge w:val="restart"/>
            <w:tcBorders>
              <w:left w:val="single" w:color="auto" w:sz="4" w:space="0"/>
              <w:right w:val="single" w:color="auto" w:sz="4" w:space="0"/>
            </w:tcBorders>
            <w:noWrap/>
            <w:vAlign w:val="center"/>
          </w:tcPr>
          <w:p w14:paraId="5802331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bCs w:val="0"/>
                <w:color w:val="auto"/>
                <w:kern w:val="0"/>
                <w:sz w:val="21"/>
                <w:szCs w:val="21"/>
                <w:lang w:val="en-US" w:eastAsia="zh-CN" w:bidi="ar-SA"/>
              </w:rPr>
            </w:pPr>
            <w:r>
              <w:rPr>
                <w:rFonts w:hint="eastAsia" w:ascii="宋体" w:hAnsi="宋体" w:eastAsia="宋体" w:cs="宋体"/>
                <w:b w:val="0"/>
                <w:bCs w:val="0"/>
                <w:color w:val="auto"/>
                <w:kern w:val="0"/>
                <w:sz w:val="21"/>
                <w:szCs w:val="21"/>
                <w:lang w:val="en-US" w:eastAsia="zh-CN"/>
              </w:rPr>
              <w:t>苏杰</w:t>
            </w:r>
          </w:p>
        </w:tc>
        <w:tc>
          <w:tcPr>
            <w:tcW w:w="592" w:type="pct"/>
            <w:tcBorders>
              <w:top w:val="single" w:color="auto" w:sz="4" w:space="0"/>
              <w:left w:val="single" w:color="auto" w:sz="4" w:space="0"/>
              <w:bottom w:val="single" w:color="auto" w:sz="4" w:space="0"/>
              <w:right w:val="single" w:color="auto" w:sz="4" w:space="0"/>
            </w:tcBorders>
            <w:noWrap/>
            <w:vAlign w:val="center"/>
          </w:tcPr>
          <w:p w14:paraId="7016D1C3">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电工作业</w:t>
            </w:r>
          </w:p>
        </w:tc>
        <w:tc>
          <w:tcPr>
            <w:tcW w:w="1223" w:type="pct"/>
            <w:tcBorders>
              <w:top w:val="single" w:color="auto" w:sz="4" w:space="0"/>
              <w:left w:val="single" w:color="auto" w:sz="4" w:space="0"/>
              <w:bottom w:val="single" w:color="auto" w:sz="4" w:space="0"/>
              <w:right w:val="single" w:color="auto" w:sz="4" w:space="0"/>
            </w:tcBorders>
            <w:noWrap/>
            <w:vAlign w:val="center"/>
          </w:tcPr>
          <w:p w14:paraId="4B5A9BA5">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T532927200209300516</w:t>
            </w:r>
          </w:p>
        </w:tc>
        <w:tc>
          <w:tcPr>
            <w:tcW w:w="792" w:type="pct"/>
            <w:tcBorders>
              <w:top w:val="single" w:color="auto" w:sz="4" w:space="0"/>
              <w:left w:val="single" w:color="auto" w:sz="4" w:space="0"/>
              <w:bottom w:val="single" w:color="auto" w:sz="4" w:space="0"/>
              <w:right w:val="single" w:color="auto" w:sz="4" w:space="0"/>
            </w:tcBorders>
            <w:noWrap/>
            <w:vAlign w:val="center"/>
          </w:tcPr>
          <w:p w14:paraId="01A50722">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低压电工作业</w:t>
            </w:r>
          </w:p>
        </w:tc>
        <w:tc>
          <w:tcPr>
            <w:tcW w:w="1060" w:type="pct"/>
            <w:tcBorders>
              <w:top w:val="single" w:color="auto" w:sz="4" w:space="0"/>
              <w:left w:val="single" w:color="auto" w:sz="4" w:space="0"/>
              <w:bottom w:val="single" w:color="auto" w:sz="4" w:space="0"/>
              <w:right w:val="single" w:color="auto" w:sz="4" w:space="0"/>
            </w:tcBorders>
            <w:noWrap/>
            <w:vAlign w:val="center"/>
          </w:tcPr>
          <w:p w14:paraId="6446304E">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大理州应急管理局</w:t>
            </w:r>
          </w:p>
        </w:tc>
        <w:tc>
          <w:tcPr>
            <w:tcW w:w="688" w:type="pct"/>
            <w:tcBorders>
              <w:top w:val="single" w:color="auto" w:sz="4" w:space="0"/>
              <w:left w:val="single" w:color="auto" w:sz="4" w:space="0"/>
              <w:bottom w:val="single" w:color="auto" w:sz="4" w:space="0"/>
              <w:right w:val="single" w:color="auto" w:sz="4" w:space="0"/>
            </w:tcBorders>
            <w:noWrap/>
            <w:vAlign w:val="center"/>
          </w:tcPr>
          <w:p w14:paraId="01481E54">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2031-03-29</w:t>
            </w:r>
          </w:p>
        </w:tc>
      </w:tr>
      <w:tr w14:paraId="5E9A9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 w:type="pct"/>
            <w:vMerge w:val="continue"/>
            <w:tcBorders>
              <w:left w:val="single" w:color="auto" w:sz="4" w:space="0"/>
              <w:right w:val="single" w:color="auto" w:sz="4" w:space="0"/>
            </w:tcBorders>
            <w:noWrap/>
            <w:vAlign w:val="center"/>
          </w:tcPr>
          <w:p w14:paraId="729294E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bCs/>
                <w:color w:val="auto"/>
                <w:kern w:val="0"/>
                <w:sz w:val="21"/>
                <w:szCs w:val="21"/>
                <w:lang w:val="en-US" w:eastAsia="zh-CN"/>
              </w:rPr>
            </w:pPr>
          </w:p>
        </w:tc>
        <w:tc>
          <w:tcPr>
            <w:tcW w:w="420" w:type="pct"/>
            <w:vMerge w:val="continue"/>
            <w:tcBorders>
              <w:left w:val="single" w:color="auto" w:sz="4" w:space="0"/>
              <w:right w:val="single" w:color="auto" w:sz="4" w:space="0"/>
            </w:tcBorders>
            <w:noWrap/>
            <w:vAlign w:val="center"/>
          </w:tcPr>
          <w:p w14:paraId="5D0797A5">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bCs w:val="0"/>
                <w:color w:val="auto"/>
                <w:kern w:val="0"/>
                <w:sz w:val="21"/>
                <w:szCs w:val="21"/>
                <w:lang w:val="en-US" w:eastAsia="zh-CN"/>
              </w:rPr>
            </w:pPr>
          </w:p>
        </w:tc>
        <w:tc>
          <w:tcPr>
            <w:tcW w:w="592" w:type="pct"/>
            <w:tcBorders>
              <w:top w:val="single" w:color="auto" w:sz="4" w:space="0"/>
              <w:left w:val="single" w:color="auto" w:sz="4" w:space="0"/>
              <w:bottom w:val="single" w:color="auto" w:sz="4" w:space="0"/>
              <w:right w:val="single" w:color="auto" w:sz="4" w:space="0"/>
            </w:tcBorders>
            <w:noWrap/>
            <w:vAlign w:val="center"/>
          </w:tcPr>
          <w:p w14:paraId="7DA1D302">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电工作业</w:t>
            </w:r>
          </w:p>
        </w:tc>
        <w:tc>
          <w:tcPr>
            <w:tcW w:w="1223" w:type="pct"/>
            <w:tcBorders>
              <w:top w:val="single" w:color="auto" w:sz="4" w:space="0"/>
              <w:left w:val="single" w:color="auto" w:sz="4" w:space="0"/>
              <w:bottom w:val="single" w:color="auto" w:sz="4" w:space="0"/>
              <w:right w:val="single" w:color="auto" w:sz="4" w:space="0"/>
            </w:tcBorders>
            <w:noWrap/>
            <w:vAlign w:val="center"/>
          </w:tcPr>
          <w:p w14:paraId="118C002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T532927200209300516</w:t>
            </w:r>
          </w:p>
        </w:tc>
        <w:tc>
          <w:tcPr>
            <w:tcW w:w="792" w:type="pct"/>
            <w:tcBorders>
              <w:top w:val="single" w:color="auto" w:sz="4" w:space="0"/>
              <w:left w:val="single" w:color="auto" w:sz="4" w:space="0"/>
              <w:bottom w:val="single" w:color="auto" w:sz="4" w:space="0"/>
              <w:right w:val="single" w:color="auto" w:sz="4" w:space="0"/>
            </w:tcBorders>
            <w:noWrap/>
            <w:vAlign w:val="center"/>
          </w:tcPr>
          <w:p w14:paraId="7278691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高压电工作业</w:t>
            </w:r>
          </w:p>
        </w:tc>
        <w:tc>
          <w:tcPr>
            <w:tcW w:w="1060" w:type="pct"/>
            <w:tcBorders>
              <w:top w:val="single" w:color="auto" w:sz="4" w:space="0"/>
              <w:left w:val="single" w:color="auto" w:sz="4" w:space="0"/>
              <w:bottom w:val="single" w:color="auto" w:sz="4" w:space="0"/>
              <w:right w:val="single" w:color="auto" w:sz="4" w:space="0"/>
            </w:tcBorders>
            <w:noWrap/>
            <w:vAlign w:val="center"/>
          </w:tcPr>
          <w:p w14:paraId="6CA4FEE4">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大理州应急管理局</w:t>
            </w:r>
          </w:p>
        </w:tc>
        <w:tc>
          <w:tcPr>
            <w:tcW w:w="688" w:type="pct"/>
            <w:tcBorders>
              <w:top w:val="single" w:color="auto" w:sz="4" w:space="0"/>
              <w:left w:val="single" w:color="auto" w:sz="4" w:space="0"/>
              <w:bottom w:val="single" w:color="auto" w:sz="4" w:space="0"/>
              <w:right w:val="single" w:color="auto" w:sz="4" w:space="0"/>
            </w:tcBorders>
            <w:noWrap/>
            <w:vAlign w:val="center"/>
          </w:tcPr>
          <w:p w14:paraId="1B859EA5">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2031-04-06</w:t>
            </w:r>
          </w:p>
        </w:tc>
      </w:tr>
      <w:tr w14:paraId="0915C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 w:type="pct"/>
            <w:vMerge w:val="restart"/>
            <w:tcBorders>
              <w:left w:val="single" w:color="auto" w:sz="4" w:space="0"/>
              <w:right w:val="single" w:color="auto" w:sz="4" w:space="0"/>
            </w:tcBorders>
            <w:noWrap/>
            <w:vAlign w:val="center"/>
          </w:tcPr>
          <w:p w14:paraId="3962A2B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bCs w:val="0"/>
                <w:color w:val="auto"/>
                <w:kern w:val="0"/>
                <w:sz w:val="21"/>
                <w:szCs w:val="21"/>
                <w:lang w:val="en-US" w:eastAsia="zh-CN"/>
              </w:rPr>
            </w:pPr>
            <w:r>
              <w:rPr>
                <w:rFonts w:hint="eastAsia" w:ascii="宋体" w:hAnsi="宋体" w:eastAsia="宋体" w:cs="宋体"/>
                <w:b w:val="0"/>
                <w:bCs w:val="0"/>
                <w:color w:val="auto"/>
                <w:kern w:val="0"/>
                <w:sz w:val="21"/>
                <w:szCs w:val="21"/>
                <w:lang w:val="en-US" w:eastAsia="zh-CN"/>
              </w:rPr>
              <w:t>3</w:t>
            </w:r>
          </w:p>
        </w:tc>
        <w:tc>
          <w:tcPr>
            <w:tcW w:w="420" w:type="pct"/>
            <w:vMerge w:val="restart"/>
            <w:tcBorders>
              <w:left w:val="single" w:color="auto" w:sz="4" w:space="0"/>
              <w:right w:val="single" w:color="auto" w:sz="4" w:space="0"/>
            </w:tcBorders>
            <w:noWrap/>
            <w:vAlign w:val="center"/>
          </w:tcPr>
          <w:p w14:paraId="555ABAE0">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bCs w:val="0"/>
                <w:color w:val="auto"/>
                <w:kern w:val="0"/>
                <w:sz w:val="21"/>
                <w:szCs w:val="21"/>
                <w:lang w:val="en-US" w:eastAsia="zh-CN"/>
              </w:rPr>
            </w:pPr>
            <w:r>
              <w:rPr>
                <w:rFonts w:hint="eastAsia" w:ascii="宋体" w:hAnsi="宋体" w:eastAsia="宋体" w:cs="宋体"/>
                <w:b w:val="0"/>
                <w:bCs w:val="0"/>
                <w:color w:val="auto"/>
                <w:kern w:val="0"/>
                <w:sz w:val="21"/>
                <w:szCs w:val="21"/>
                <w:lang w:val="en-US" w:eastAsia="zh-CN"/>
              </w:rPr>
              <w:t>赵恒熙</w:t>
            </w:r>
          </w:p>
        </w:tc>
        <w:tc>
          <w:tcPr>
            <w:tcW w:w="592" w:type="pct"/>
            <w:tcBorders>
              <w:top w:val="single" w:color="auto" w:sz="4" w:space="0"/>
              <w:left w:val="single" w:color="auto" w:sz="4" w:space="0"/>
              <w:bottom w:val="single" w:color="auto" w:sz="4" w:space="0"/>
              <w:right w:val="single" w:color="auto" w:sz="4" w:space="0"/>
            </w:tcBorders>
            <w:noWrap/>
            <w:vAlign w:val="center"/>
          </w:tcPr>
          <w:p w14:paraId="711CC5CC">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电工作业</w:t>
            </w:r>
          </w:p>
        </w:tc>
        <w:tc>
          <w:tcPr>
            <w:tcW w:w="1223" w:type="pct"/>
            <w:tcBorders>
              <w:top w:val="single" w:color="auto" w:sz="4" w:space="0"/>
              <w:left w:val="single" w:color="auto" w:sz="4" w:space="0"/>
              <w:bottom w:val="single" w:color="auto" w:sz="4" w:space="0"/>
              <w:right w:val="single" w:color="auto" w:sz="4" w:space="0"/>
            </w:tcBorders>
            <w:noWrap/>
            <w:vAlign w:val="center"/>
          </w:tcPr>
          <w:p w14:paraId="63937A15">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T532924199208230718</w:t>
            </w:r>
          </w:p>
        </w:tc>
        <w:tc>
          <w:tcPr>
            <w:tcW w:w="792" w:type="pct"/>
            <w:tcBorders>
              <w:top w:val="single" w:color="auto" w:sz="4" w:space="0"/>
              <w:left w:val="single" w:color="auto" w:sz="4" w:space="0"/>
              <w:bottom w:val="single" w:color="auto" w:sz="4" w:space="0"/>
              <w:right w:val="single" w:color="auto" w:sz="4" w:space="0"/>
            </w:tcBorders>
            <w:noWrap/>
            <w:vAlign w:val="center"/>
          </w:tcPr>
          <w:p w14:paraId="43B50B1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低压电工作业</w:t>
            </w:r>
          </w:p>
        </w:tc>
        <w:tc>
          <w:tcPr>
            <w:tcW w:w="1060" w:type="pct"/>
            <w:tcBorders>
              <w:top w:val="single" w:color="auto" w:sz="4" w:space="0"/>
              <w:left w:val="single" w:color="auto" w:sz="4" w:space="0"/>
              <w:bottom w:val="single" w:color="auto" w:sz="4" w:space="0"/>
              <w:right w:val="single" w:color="auto" w:sz="4" w:space="0"/>
            </w:tcBorders>
            <w:noWrap/>
            <w:vAlign w:val="center"/>
          </w:tcPr>
          <w:p w14:paraId="2622C742">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大理州应急管理局</w:t>
            </w:r>
          </w:p>
        </w:tc>
        <w:tc>
          <w:tcPr>
            <w:tcW w:w="688" w:type="pct"/>
            <w:tcBorders>
              <w:top w:val="single" w:color="auto" w:sz="4" w:space="0"/>
              <w:left w:val="single" w:color="auto" w:sz="4" w:space="0"/>
              <w:bottom w:val="single" w:color="auto" w:sz="4" w:space="0"/>
              <w:right w:val="single" w:color="auto" w:sz="4" w:space="0"/>
            </w:tcBorders>
            <w:noWrap/>
            <w:vAlign w:val="center"/>
          </w:tcPr>
          <w:p w14:paraId="3242E08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2028-11-27</w:t>
            </w:r>
          </w:p>
        </w:tc>
      </w:tr>
      <w:tr w14:paraId="64143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 w:type="pct"/>
            <w:vMerge w:val="continue"/>
            <w:tcBorders>
              <w:left w:val="single" w:color="auto" w:sz="4" w:space="0"/>
              <w:right w:val="single" w:color="auto" w:sz="4" w:space="0"/>
            </w:tcBorders>
            <w:noWrap/>
            <w:vAlign w:val="center"/>
          </w:tcPr>
          <w:p w14:paraId="6CDE5553">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bCs w:val="0"/>
                <w:color w:val="auto"/>
                <w:kern w:val="0"/>
                <w:sz w:val="21"/>
                <w:szCs w:val="21"/>
                <w:lang w:val="en-US" w:eastAsia="zh-CN"/>
              </w:rPr>
            </w:pPr>
          </w:p>
        </w:tc>
        <w:tc>
          <w:tcPr>
            <w:tcW w:w="420" w:type="pct"/>
            <w:vMerge w:val="continue"/>
            <w:tcBorders>
              <w:left w:val="single" w:color="auto" w:sz="4" w:space="0"/>
              <w:right w:val="single" w:color="auto" w:sz="4" w:space="0"/>
            </w:tcBorders>
            <w:noWrap/>
            <w:vAlign w:val="center"/>
          </w:tcPr>
          <w:p w14:paraId="03BE0537">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bCs w:val="0"/>
                <w:color w:val="auto"/>
                <w:kern w:val="0"/>
                <w:sz w:val="21"/>
                <w:szCs w:val="21"/>
                <w:lang w:val="en-US" w:eastAsia="zh-CN"/>
              </w:rPr>
            </w:pPr>
          </w:p>
        </w:tc>
        <w:tc>
          <w:tcPr>
            <w:tcW w:w="592" w:type="pct"/>
            <w:tcBorders>
              <w:top w:val="single" w:color="auto" w:sz="4" w:space="0"/>
              <w:left w:val="single" w:color="auto" w:sz="4" w:space="0"/>
              <w:bottom w:val="single" w:color="auto" w:sz="4" w:space="0"/>
              <w:right w:val="single" w:color="auto" w:sz="4" w:space="0"/>
            </w:tcBorders>
            <w:noWrap/>
            <w:vAlign w:val="center"/>
          </w:tcPr>
          <w:p w14:paraId="35C28307">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电工作业</w:t>
            </w:r>
          </w:p>
        </w:tc>
        <w:tc>
          <w:tcPr>
            <w:tcW w:w="1223" w:type="pct"/>
            <w:tcBorders>
              <w:top w:val="single" w:color="auto" w:sz="4" w:space="0"/>
              <w:left w:val="single" w:color="auto" w:sz="4" w:space="0"/>
              <w:bottom w:val="single" w:color="auto" w:sz="4" w:space="0"/>
              <w:right w:val="single" w:color="auto" w:sz="4" w:space="0"/>
            </w:tcBorders>
            <w:noWrap/>
            <w:vAlign w:val="center"/>
          </w:tcPr>
          <w:p w14:paraId="2580C572">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T532924199208230718</w:t>
            </w:r>
          </w:p>
        </w:tc>
        <w:tc>
          <w:tcPr>
            <w:tcW w:w="792" w:type="pct"/>
            <w:tcBorders>
              <w:top w:val="single" w:color="auto" w:sz="4" w:space="0"/>
              <w:left w:val="single" w:color="auto" w:sz="4" w:space="0"/>
              <w:bottom w:val="single" w:color="auto" w:sz="4" w:space="0"/>
              <w:right w:val="single" w:color="auto" w:sz="4" w:space="0"/>
            </w:tcBorders>
            <w:noWrap/>
            <w:vAlign w:val="center"/>
          </w:tcPr>
          <w:p w14:paraId="2FE95118">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高压电工作业</w:t>
            </w:r>
          </w:p>
        </w:tc>
        <w:tc>
          <w:tcPr>
            <w:tcW w:w="1060" w:type="pct"/>
            <w:tcBorders>
              <w:top w:val="single" w:color="auto" w:sz="4" w:space="0"/>
              <w:left w:val="single" w:color="auto" w:sz="4" w:space="0"/>
              <w:bottom w:val="single" w:color="auto" w:sz="4" w:space="0"/>
              <w:right w:val="single" w:color="auto" w:sz="4" w:space="0"/>
            </w:tcBorders>
            <w:noWrap/>
            <w:vAlign w:val="center"/>
          </w:tcPr>
          <w:p w14:paraId="61800810">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大理州应急管理局</w:t>
            </w:r>
          </w:p>
        </w:tc>
        <w:tc>
          <w:tcPr>
            <w:tcW w:w="688" w:type="pct"/>
            <w:tcBorders>
              <w:top w:val="single" w:color="auto" w:sz="4" w:space="0"/>
              <w:left w:val="single" w:color="auto" w:sz="4" w:space="0"/>
              <w:bottom w:val="single" w:color="auto" w:sz="4" w:space="0"/>
              <w:right w:val="single" w:color="auto" w:sz="4" w:space="0"/>
            </w:tcBorders>
            <w:noWrap/>
            <w:vAlign w:val="center"/>
          </w:tcPr>
          <w:p w14:paraId="5C2E5613">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2029-07-26</w:t>
            </w:r>
          </w:p>
        </w:tc>
      </w:tr>
      <w:tr w14:paraId="7EEF2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 w:type="pct"/>
            <w:vMerge w:val="restart"/>
            <w:tcBorders>
              <w:left w:val="single" w:color="auto" w:sz="4" w:space="0"/>
              <w:right w:val="single" w:color="auto" w:sz="4" w:space="0"/>
            </w:tcBorders>
            <w:noWrap/>
            <w:vAlign w:val="center"/>
          </w:tcPr>
          <w:p w14:paraId="78755BF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bCs w:val="0"/>
                <w:color w:val="auto"/>
                <w:kern w:val="0"/>
                <w:sz w:val="21"/>
                <w:szCs w:val="21"/>
                <w:lang w:val="en-US" w:eastAsia="zh-CN"/>
              </w:rPr>
            </w:pPr>
            <w:r>
              <w:rPr>
                <w:rFonts w:hint="eastAsia" w:ascii="宋体" w:hAnsi="宋体" w:eastAsia="宋体" w:cs="宋体"/>
                <w:b w:val="0"/>
                <w:bCs w:val="0"/>
                <w:color w:val="auto"/>
                <w:kern w:val="0"/>
                <w:sz w:val="21"/>
                <w:szCs w:val="21"/>
                <w:lang w:val="en-US" w:eastAsia="zh-CN"/>
              </w:rPr>
              <w:t>4</w:t>
            </w:r>
          </w:p>
        </w:tc>
        <w:tc>
          <w:tcPr>
            <w:tcW w:w="420" w:type="pct"/>
            <w:vMerge w:val="restart"/>
            <w:tcBorders>
              <w:left w:val="single" w:color="auto" w:sz="4" w:space="0"/>
              <w:right w:val="single" w:color="auto" w:sz="4" w:space="0"/>
            </w:tcBorders>
            <w:noWrap/>
            <w:vAlign w:val="center"/>
          </w:tcPr>
          <w:p w14:paraId="0098BBB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杜镇宇</w:t>
            </w:r>
          </w:p>
        </w:tc>
        <w:tc>
          <w:tcPr>
            <w:tcW w:w="592" w:type="pct"/>
            <w:tcBorders>
              <w:top w:val="single" w:color="auto" w:sz="4" w:space="0"/>
              <w:left w:val="single" w:color="auto" w:sz="4" w:space="0"/>
              <w:bottom w:val="single" w:color="auto" w:sz="4" w:space="0"/>
              <w:right w:val="single" w:color="auto" w:sz="4" w:space="0"/>
            </w:tcBorders>
            <w:noWrap/>
            <w:vAlign w:val="center"/>
          </w:tcPr>
          <w:p w14:paraId="7FA8F5EA">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电工作业</w:t>
            </w:r>
          </w:p>
        </w:tc>
        <w:tc>
          <w:tcPr>
            <w:tcW w:w="1223" w:type="pct"/>
            <w:tcBorders>
              <w:top w:val="single" w:color="auto" w:sz="4" w:space="0"/>
              <w:left w:val="single" w:color="auto" w:sz="4" w:space="0"/>
              <w:bottom w:val="single" w:color="auto" w:sz="4" w:space="0"/>
              <w:right w:val="single" w:color="auto" w:sz="4" w:space="0"/>
            </w:tcBorders>
            <w:noWrap/>
            <w:vAlign w:val="center"/>
          </w:tcPr>
          <w:p w14:paraId="39CE5D77">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T532930200209201313</w:t>
            </w:r>
          </w:p>
        </w:tc>
        <w:tc>
          <w:tcPr>
            <w:tcW w:w="792" w:type="pct"/>
            <w:tcBorders>
              <w:top w:val="single" w:color="auto" w:sz="4" w:space="0"/>
              <w:left w:val="single" w:color="auto" w:sz="4" w:space="0"/>
              <w:bottom w:val="single" w:color="auto" w:sz="4" w:space="0"/>
              <w:right w:val="single" w:color="auto" w:sz="4" w:space="0"/>
            </w:tcBorders>
            <w:noWrap/>
            <w:vAlign w:val="center"/>
          </w:tcPr>
          <w:p w14:paraId="24E46E3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低压电工作业</w:t>
            </w:r>
          </w:p>
        </w:tc>
        <w:tc>
          <w:tcPr>
            <w:tcW w:w="1060" w:type="pct"/>
            <w:tcBorders>
              <w:top w:val="single" w:color="auto" w:sz="4" w:space="0"/>
              <w:left w:val="single" w:color="auto" w:sz="4" w:space="0"/>
              <w:bottom w:val="single" w:color="auto" w:sz="4" w:space="0"/>
              <w:right w:val="single" w:color="auto" w:sz="4" w:space="0"/>
            </w:tcBorders>
            <w:noWrap/>
            <w:vAlign w:val="center"/>
          </w:tcPr>
          <w:p w14:paraId="61CF28F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大理州应急管理局</w:t>
            </w:r>
          </w:p>
        </w:tc>
        <w:tc>
          <w:tcPr>
            <w:tcW w:w="688" w:type="pct"/>
            <w:tcBorders>
              <w:top w:val="single" w:color="auto" w:sz="4" w:space="0"/>
              <w:left w:val="single" w:color="auto" w:sz="4" w:space="0"/>
              <w:bottom w:val="single" w:color="auto" w:sz="4" w:space="0"/>
              <w:right w:val="single" w:color="auto" w:sz="4" w:space="0"/>
            </w:tcBorders>
            <w:noWrap/>
            <w:vAlign w:val="center"/>
          </w:tcPr>
          <w:p w14:paraId="393EA0E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2031-04-20</w:t>
            </w:r>
          </w:p>
        </w:tc>
      </w:tr>
      <w:tr w14:paraId="693C3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 w:type="pct"/>
            <w:vMerge w:val="continue"/>
            <w:tcBorders>
              <w:left w:val="single" w:color="auto" w:sz="4" w:space="0"/>
              <w:right w:val="single" w:color="auto" w:sz="4" w:space="0"/>
            </w:tcBorders>
            <w:noWrap/>
            <w:vAlign w:val="center"/>
          </w:tcPr>
          <w:p w14:paraId="70D1BC54">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bCs w:val="0"/>
                <w:color w:val="auto"/>
                <w:kern w:val="0"/>
                <w:sz w:val="21"/>
                <w:szCs w:val="21"/>
                <w:lang w:val="en-US" w:eastAsia="zh-CN"/>
              </w:rPr>
            </w:pPr>
          </w:p>
        </w:tc>
        <w:tc>
          <w:tcPr>
            <w:tcW w:w="420" w:type="pct"/>
            <w:vMerge w:val="continue"/>
            <w:tcBorders>
              <w:left w:val="single" w:color="auto" w:sz="4" w:space="0"/>
              <w:right w:val="single" w:color="auto" w:sz="4" w:space="0"/>
            </w:tcBorders>
            <w:noWrap/>
            <w:vAlign w:val="center"/>
          </w:tcPr>
          <w:p w14:paraId="2D097CF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bCs w:val="0"/>
                <w:color w:val="auto"/>
                <w:kern w:val="0"/>
                <w:sz w:val="21"/>
                <w:szCs w:val="21"/>
                <w:lang w:val="en-US" w:eastAsia="zh-CN"/>
              </w:rPr>
            </w:pPr>
          </w:p>
        </w:tc>
        <w:tc>
          <w:tcPr>
            <w:tcW w:w="592" w:type="pct"/>
            <w:tcBorders>
              <w:top w:val="single" w:color="auto" w:sz="4" w:space="0"/>
              <w:left w:val="single" w:color="auto" w:sz="4" w:space="0"/>
              <w:bottom w:val="single" w:color="auto" w:sz="4" w:space="0"/>
              <w:right w:val="single" w:color="auto" w:sz="4" w:space="0"/>
            </w:tcBorders>
            <w:noWrap/>
            <w:vAlign w:val="center"/>
          </w:tcPr>
          <w:p w14:paraId="0BB543EA">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电工作业</w:t>
            </w:r>
          </w:p>
        </w:tc>
        <w:tc>
          <w:tcPr>
            <w:tcW w:w="1223" w:type="pct"/>
            <w:tcBorders>
              <w:top w:val="single" w:color="auto" w:sz="4" w:space="0"/>
              <w:left w:val="single" w:color="auto" w:sz="4" w:space="0"/>
              <w:bottom w:val="single" w:color="auto" w:sz="4" w:space="0"/>
              <w:right w:val="single" w:color="auto" w:sz="4" w:space="0"/>
            </w:tcBorders>
            <w:noWrap/>
            <w:vAlign w:val="center"/>
          </w:tcPr>
          <w:p w14:paraId="0A1A3FF0">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T532930200209201313</w:t>
            </w:r>
          </w:p>
        </w:tc>
        <w:tc>
          <w:tcPr>
            <w:tcW w:w="792" w:type="pct"/>
            <w:tcBorders>
              <w:top w:val="single" w:color="auto" w:sz="4" w:space="0"/>
              <w:left w:val="single" w:color="auto" w:sz="4" w:space="0"/>
              <w:bottom w:val="single" w:color="auto" w:sz="4" w:space="0"/>
              <w:right w:val="single" w:color="auto" w:sz="4" w:space="0"/>
            </w:tcBorders>
            <w:noWrap/>
            <w:vAlign w:val="center"/>
          </w:tcPr>
          <w:p w14:paraId="340693CE">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高压电工作业</w:t>
            </w:r>
          </w:p>
        </w:tc>
        <w:tc>
          <w:tcPr>
            <w:tcW w:w="1060" w:type="pct"/>
            <w:tcBorders>
              <w:top w:val="single" w:color="auto" w:sz="4" w:space="0"/>
              <w:left w:val="single" w:color="auto" w:sz="4" w:space="0"/>
              <w:bottom w:val="single" w:color="auto" w:sz="4" w:space="0"/>
              <w:right w:val="single" w:color="auto" w:sz="4" w:space="0"/>
            </w:tcBorders>
            <w:noWrap/>
            <w:vAlign w:val="center"/>
          </w:tcPr>
          <w:p w14:paraId="367D6A6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大理州应急管理局</w:t>
            </w:r>
          </w:p>
        </w:tc>
        <w:tc>
          <w:tcPr>
            <w:tcW w:w="688" w:type="pct"/>
            <w:tcBorders>
              <w:top w:val="single" w:color="auto" w:sz="4" w:space="0"/>
              <w:left w:val="single" w:color="auto" w:sz="4" w:space="0"/>
              <w:bottom w:val="single" w:color="auto" w:sz="4" w:space="0"/>
              <w:right w:val="single" w:color="auto" w:sz="4" w:space="0"/>
            </w:tcBorders>
            <w:noWrap/>
            <w:vAlign w:val="center"/>
          </w:tcPr>
          <w:p w14:paraId="55AD2BEC">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2031-03-20</w:t>
            </w:r>
          </w:p>
        </w:tc>
      </w:tr>
      <w:tr w14:paraId="209A0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 w:type="pct"/>
            <w:tcBorders>
              <w:left w:val="single" w:color="auto" w:sz="4" w:space="0"/>
              <w:right w:val="single" w:color="auto" w:sz="4" w:space="0"/>
            </w:tcBorders>
            <w:noWrap/>
            <w:vAlign w:val="center"/>
          </w:tcPr>
          <w:p w14:paraId="4842BA7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bCs w:val="0"/>
                <w:color w:val="auto"/>
                <w:kern w:val="0"/>
                <w:sz w:val="21"/>
                <w:szCs w:val="21"/>
                <w:lang w:val="en-US" w:eastAsia="zh-CN"/>
              </w:rPr>
            </w:pPr>
            <w:r>
              <w:rPr>
                <w:rFonts w:hint="eastAsia" w:ascii="宋体" w:hAnsi="宋体" w:eastAsia="宋体" w:cs="宋体"/>
                <w:b w:val="0"/>
                <w:bCs w:val="0"/>
                <w:color w:val="auto"/>
                <w:kern w:val="0"/>
                <w:sz w:val="21"/>
                <w:szCs w:val="21"/>
                <w:lang w:val="en-US" w:eastAsia="zh-CN"/>
              </w:rPr>
              <w:t>5</w:t>
            </w:r>
          </w:p>
        </w:tc>
        <w:tc>
          <w:tcPr>
            <w:tcW w:w="420" w:type="pct"/>
            <w:tcBorders>
              <w:left w:val="single" w:color="auto" w:sz="4" w:space="0"/>
              <w:right w:val="single" w:color="auto" w:sz="4" w:space="0"/>
            </w:tcBorders>
            <w:noWrap/>
            <w:vAlign w:val="center"/>
          </w:tcPr>
          <w:p w14:paraId="7E96D2E3">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bCs w:val="0"/>
                <w:color w:val="auto"/>
                <w:kern w:val="0"/>
                <w:sz w:val="21"/>
                <w:szCs w:val="21"/>
                <w:lang w:val="en-US" w:eastAsia="zh-CN"/>
              </w:rPr>
            </w:pPr>
            <w:r>
              <w:rPr>
                <w:rFonts w:hint="eastAsia" w:ascii="宋体" w:hAnsi="宋体" w:eastAsia="宋体" w:cs="宋体"/>
                <w:b w:val="0"/>
                <w:bCs w:val="0"/>
                <w:color w:val="auto"/>
                <w:kern w:val="0"/>
                <w:sz w:val="21"/>
                <w:szCs w:val="21"/>
                <w:lang w:val="en-US" w:eastAsia="zh-CN"/>
              </w:rPr>
              <w:t>张世松</w:t>
            </w:r>
          </w:p>
        </w:tc>
        <w:tc>
          <w:tcPr>
            <w:tcW w:w="592" w:type="pct"/>
            <w:tcBorders>
              <w:top w:val="single" w:color="auto" w:sz="4" w:space="0"/>
              <w:left w:val="single" w:color="auto" w:sz="4" w:space="0"/>
              <w:bottom w:val="single" w:color="auto" w:sz="4" w:space="0"/>
              <w:right w:val="single" w:color="auto" w:sz="4" w:space="0"/>
            </w:tcBorders>
            <w:noWrap/>
            <w:vAlign w:val="center"/>
          </w:tcPr>
          <w:p w14:paraId="006C9BBA">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电工作业</w:t>
            </w:r>
          </w:p>
        </w:tc>
        <w:tc>
          <w:tcPr>
            <w:tcW w:w="1223" w:type="pct"/>
            <w:tcBorders>
              <w:top w:val="single" w:color="auto" w:sz="4" w:space="0"/>
              <w:left w:val="single" w:color="auto" w:sz="4" w:space="0"/>
              <w:bottom w:val="single" w:color="auto" w:sz="4" w:space="0"/>
              <w:right w:val="single" w:color="auto" w:sz="4" w:space="0"/>
            </w:tcBorders>
            <w:noWrap/>
            <w:vAlign w:val="center"/>
          </w:tcPr>
          <w:p w14:paraId="4BF5A525">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T532901200309153214</w:t>
            </w:r>
          </w:p>
        </w:tc>
        <w:tc>
          <w:tcPr>
            <w:tcW w:w="792" w:type="pct"/>
            <w:tcBorders>
              <w:top w:val="single" w:color="auto" w:sz="4" w:space="0"/>
              <w:left w:val="single" w:color="auto" w:sz="4" w:space="0"/>
              <w:bottom w:val="single" w:color="auto" w:sz="4" w:space="0"/>
              <w:right w:val="single" w:color="auto" w:sz="4" w:space="0"/>
            </w:tcBorders>
            <w:noWrap/>
            <w:vAlign w:val="center"/>
          </w:tcPr>
          <w:p w14:paraId="70EB91C7">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高压电工作业</w:t>
            </w:r>
          </w:p>
        </w:tc>
        <w:tc>
          <w:tcPr>
            <w:tcW w:w="1060" w:type="pct"/>
            <w:tcBorders>
              <w:top w:val="single" w:color="auto" w:sz="4" w:space="0"/>
              <w:left w:val="single" w:color="auto" w:sz="4" w:space="0"/>
              <w:bottom w:val="single" w:color="auto" w:sz="4" w:space="0"/>
              <w:right w:val="single" w:color="auto" w:sz="4" w:space="0"/>
            </w:tcBorders>
            <w:noWrap/>
            <w:vAlign w:val="center"/>
          </w:tcPr>
          <w:p w14:paraId="1C5CF753">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大理州应急管理局</w:t>
            </w:r>
          </w:p>
        </w:tc>
        <w:tc>
          <w:tcPr>
            <w:tcW w:w="688" w:type="pct"/>
            <w:tcBorders>
              <w:top w:val="single" w:color="auto" w:sz="4" w:space="0"/>
              <w:left w:val="single" w:color="auto" w:sz="4" w:space="0"/>
              <w:bottom w:val="single" w:color="auto" w:sz="4" w:space="0"/>
              <w:right w:val="single" w:color="auto" w:sz="4" w:space="0"/>
            </w:tcBorders>
            <w:noWrap/>
            <w:vAlign w:val="center"/>
          </w:tcPr>
          <w:p w14:paraId="1E634412">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2031-05-06</w:t>
            </w:r>
          </w:p>
        </w:tc>
      </w:tr>
      <w:tr w14:paraId="2CD61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 w:type="pct"/>
            <w:vMerge w:val="restart"/>
            <w:tcBorders>
              <w:left w:val="single" w:color="auto" w:sz="4" w:space="0"/>
              <w:right w:val="single" w:color="auto" w:sz="4" w:space="0"/>
            </w:tcBorders>
            <w:noWrap/>
            <w:vAlign w:val="center"/>
          </w:tcPr>
          <w:p w14:paraId="42BFA230">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bCs w:val="0"/>
                <w:color w:val="auto"/>
                <w:kern w:val="0"/>
                <w:sz w:val="21"/>
                <w:szCs w:val="21"/>
                <w:lang w:val="en-US" w:eastAsia="zh-CN"/>
              </w:rPr>
            </w:pPr>
            <w:r>
              <w:rPr>
                <w:rFonts w:hint="eastAsia" w:ascii="宋体" w:hAnsi="宋体" w:eastAsia="宋体" w:cs="宋体"/>
                <w:b w:val="0"/>
                <w:bCs w:val="0"/>
                <w:color w:val="auto"/>
                <w:kern w:val="0"/>
                <w:sz w:val="21"/>
                <w:szCs w:val="21"/>
                <w:lang w:val="en-US" w:eastAsia="zh-CN"/>
              </w:rPr>
              <w:t>6</w:t>
            </w:r>
          </w:p>
        </w:tc>
        <w:tc>
          <w:tcPr>
            <w:tcW w:w="420" w:type="pct"/>
            <w:vMerge w:val="restart"/>
            <w:tcBorders>
              <w:left w:val="single" w:color="auto" w:sz="4" w:space="0"/>
              <w:right w:val="single" w:color="auto" w:sz="4" w:space="0"/>
            </w:tcBorders>
            <w:noWrap/>
            <w:vAlign w:val="center"/>
          </w:tcPr>
          <w:p w14:paraId="3D071447">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bCs w:val="0"/>
                <w:color w:val="auto"/>
                <w:kern w:val="0"/>
                <w:sz w:val="21"/>
                <w:szCs w:val="21"/>
                <w:lang w:val="en-US" w:eastAsia="zh-CN"/>
              </w:rPr>
            </w:pPr>
            <w:r>
              <w:rPr>
                <w:rFonts w:hint="eastAsia" w:ascii="宋体" w:hAnsi="宋体" w:eastAsia="宋体" w:cs="宋体"/>
                <w:b w:val="0"/>
                <w:bCs w:val="0"/>
                <w:color w:val="auto"/>
                <w:kern w:val="0"/>
                <w:sz w:val="21"/>
                <w:szCs w:val="21"/>
                <w:lang w:val="en-US" w:eastAsia="zh-CN"/>
              </w:rPr>
              <w:t>吴绍校</w:t>
            </w:r>
          </w:p>
        </w:tc>
        <w:tc>
          <w:tcPr>
            <w:tcW w:w="592" w:type="pct"/>
            <w:tcBorders>
              <w:top w:val="single" w:color="auto" w:sz="4" w:space="0"/>
              <w:left w:val="single" w:color="auto" w:sz="4" w:space="0"/>
              <w:bottom w:val="single" w:color="auto" w:sz="4" w:space="0"/>
              <w:right w:val="single" w:color="auto" w:sz="4" w:space="0"/>
            </w:tcBorders>
            <w:noWrap/>
            <w:vAlign w:val="center"/>
          </w:tcPr>
          <w:p w14:paraId="13338BF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电工作业</w:t>
            </w:r>
          </w:p>
        </w:tc>
        <w:tc>
          <w:tcPr>
            <w:tcW w:w="1223" w:type="pct"/>
            <w:tcBorders>
              <w:top w:val="single" w:color="auto" w:sz="4" w:space="0"/>
              <w:left w:val="single" w:color="auto" w:sz="4" w:space="0"/>
              <w:bottom w:val="single" w:color="auto" w:sz="4" w:space="0"/>
              <w:right w:val="single" w:color="auto" w:sz="4" w:space="0"/>
            </w:tcBorders>
            <w:noWrap/>
            <w:vAlign w:val="center"/>
          </w:tcPr>
          <w:p w14:paraId="4F433DEC">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T532127199008050515</w:t>
            </w:r>
          </w:p>
        </w:tc>
        <w:tc>
          <w:tcPr>
            <w:tcW w:w="792" w:type="pct"/>
            <w:tcBorders>
              <w:top w:val="single" w:color="auto" w:sz="4" w:space="0"/>
              <w:left w:val="single" w:color="auto" w:sz="4" w:space="0"/>
              <w:bottom w:val="single" w:color="auto" w:sz="4" w:space="0"/>
              <w:right w:val="single" w:color="auto" w:sz="4" w:space="0"/>
            </w:tcBorders>
            <w:noWrap/>
            <w:vAlign w:val="center"/>
          </w:tcPr>
          <w:p w14:paraId="45BA5EE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低压电工作业</w:t>
            </w:r>
          </w:p>
        </w:tc>
        <w:tc>
          <w:tcPr>
            <w:tcW w:w="1060" w:type="pct"/>
            <w:tcBorders>
              <w:top w:val="single" w:color="auto" w:sz="4" w:space="0"/>
              <w:left w:val="single" w:color="auto" w:sz="4" w:space="0"/>
              <w:bottom w:val="single" w:color="auto" w:sz="4" w:space="0"/>
              <w:right w:val="single" w:color="auto" w:sz="4" w:space="0"/>
            </w:tcBorders>
            <w:noWrap/>
            <w:vAlign w:val="center"/>
          </w:tcPr>
          <w:p w14:paraId="6D85603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大理州应急管理局</w:t>
            </w:r>
          </w:p>
        </w:tc>
        <w:tc>
          <w:tcPr>
            <w:tcW w:w="688" w:type="pct"/>
            <w:tcBorders>
              <w:top w:val="single" w:color="auto" w:sz="4" w:space="0"/>
              <w:left w:val="single" w:color="auto" w:sz="4" w:space="0"/>
              <w:bottom w:val="single" w:color="auto" w:sz="4" w:space="0"/>
              <w:right w:val="single" w:color="auto" w:sz="4" w:space="0"/>
            </w:tcBorders>
            <w:noWrap/>
            <w:vAlign w:val="center"/>
          </w:tcPr>
          <w:p w14:paraId="74A4B9C5">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2028-08-14</w:t>
            </w:r>
          </w:p>
        </w:tc>
      </w:tr>
      <w:tr w14:paraId="52A08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 w:type="pct"/>
            <w:vMerge w:val="continue"/>
            <w:tcBorders>
              <w:left w:val="single" w:color="auto" w:sz="4" w:space="0"/>
              <w:right w:val="single" w:color="auto" w:sz="4" w:space="0"/>
            </w:tcBorders>
            <w:noWrap/>
            <w:vAlign w:val="center"/>
          </w:tcPr>
          <w:p w14:paraId="1299E9B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bCs w:val="0"/>
                <w:color w:val="auto"/>
                <w:kern w:val="0"/>
                <w:sz w:val="21"/>
                <w:szCs w:val="21"/>
                <w:lang w:val="en-US" w:eastAsia="zh-CN"/>
              </w:rPr>
            </w:pPr>
          </w:p>
        </w:tc>
        <w:tc>
          <w:tcPr>
            <w:tcW w:w="420" w:type="pct"/>
            <w:vMerge w:val="continue"/>
            <w:tcBorders>
              <w:left w:val="single" w:color="auto" w:sz="4" w:space="0"/>
              <w:right w:val="single" w:color="auto" w:sz="4" w:space="0"/>
            </w:tcBorders>
            <w:noWrap/>
            <w:vAlign w:val="center"/>
          </w:tcPr>
          <w:p w14:paraId="5D349EC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bCs w:val="0"/>
                <w:color w:val="auto"/>
                <w:kern w:val="0"/>
                <w:sz w:val="21"/>
                <w:szCs w:val="21"/>
                <w:lang w:val="en-US" w:eastAsia="zh-CN"/>
              </w:rPr>
            </w:pPr>
          </w:p>
        </w:tc>
        <w:tc>
          <w:tcPr>
            <w:tcW w:w="592" w:type="pct"/>
            <w:tcBorders>
              <w:top w:val="single" w:color="auto" w:sz="4" w:space="0"/>
              <w:left w:val="single" w:color="auto" w:sz="4" w:space="0"/>
              <w:bottom w:val="single" w:color="auto" w:sz="4" w:space="0"/>
              <w:right w:val="single" w:color="auto" w:sz="4" w:space="0"/>
            </w:tcBorders>
            <w:noWrap/>
            <w:vAlign w:val="center"/>
          </w:tcPr>
          <w:p w14:paraId="025B2EF8">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电工作业</w:t>
            </w:r>
          </w:p>
        </w:tc>
        <w:tc>
          <w:tcPr>
            <w:tcW w:w="1223" w:type="pct"/>
            <w:tcBorders>
              <w:top w:val="single" w:color="auto" w:sz="4" w:space="0"/>
              <w:left w:val="single" w:color="auto" w:sz="4" w:space="0"/>
              <w:bottom w:val="single" w:color="auto" w:sz="4" w:space="0"/>
              <w:right w:val="single" w:color="auto" w:sz="4" w:space="0"/>
            </w:tcBorders>
            <w:noWrap/>
            <w:vAlign w:val="center"/>
          </w:tcPr>
          <w:p w14:paraId="0E1E076C">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T532127199008050515</w:t>
            </w:r>
          </w:p>
        </w:tc>
        <w:tc>
          <w:tcPr>
            <w:tcW w:w="792" w:type="pct"/>
            <w:tcBorders>
              <w:top w:val="single" w:color="auto" w:sz="4" w:space="0"/>
              <w:left w:val="single" w:color="auto" w:sz="4" w:space="0"/>
              <w:bottom w:val="single" w:color="auto" w:sz="4" w:space="0"/>
              <w:right w:val="single" w:color="auto" w:sz="4" w:space="0"/>
            </w:tcBorders>
            <w:noWrap/>
            <w:vAlign w:val="center"/>
          </w:tcPr>
          <w:p w14:paraId="07622099">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高压电工作业</w:t>
            </w:r>
          </w:p>
        </w:tc>
        <w:tc>
          <w:tcPr>
            <w:tcW w:w="1060" w:type="pct"/>
            <w:tcBorders>
              <w:top w:val="single" w:color="auto" w:sz="4" w:space="0"/>
              <w:left w:val="single" w:color="auto" w:sz="4" w:space="0"/>
              <w:bottom w:val="single" w:color="auto" w:sz="4" w:space="0"/>
              <w:right w:val="single" w:color="auto" w:sz="4" w:space="0"/>
            </w:tcBorders>
            <w:noWrap/>
            <w:vAlign w:val="center"/>
          </w:tcPr>
          <w:p w14:paraId="3A117E55">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大理州应急管理局</w:t>
            </w:r>
          </w:p>
        </w:tc>
        <w:tc>
          <w:tcPr>
            <w:tcW w:w="688" w:type="pct"/>
            <w:tcBorders>
              <w:top w:val="single" w:color="auto" w:sz="4" w:space="0"/>
              <w:left w:val="single" w:color="auto" w:sz="4" w:space="0"/>
              <w:bottom w:val="single" w:color="auto" w:sz="4" w:space="0"/>
              <w:right w:val="single" w:color="auto" w:sz="4" w:space="0"/>
            </w:tcBorders>
            <w:noWrap/>
            <w:vAlign w:val="center"/>
          </w:tcPr>
          <w:p w14:paraId="40015F3C">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2027-05-26</w:t>
            </w:r>
          </w:p>
        </w:tc>
      </w:tr>
      <w:tr w14:paraId="51AD9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 w:type="pct"/>
            <w:vMerge w:val="restart"/>
            <w:tcBorders>
              <w:left w:val="single" w:color="auto" w:sz="4" w:space="0"/>
              <w:right w:val="single" w:color="auto" w:sz="4" w:space="0"/>
            </w:tcBorders>
            <w:noWrap/>
            <w:vAlign w:val="center"/>
          </w:tcPr>
          <w:p w14:paraId="52ACA170">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bCs w:val="0"/>
                <w:color w:val="auto"/>
                <w:kern w:val="0"/>
                <w:sz w:val="21"/>
                <w:szCs w:val="21"/>
                <w:lang w:val="en-US" w:eastAsia="zh-CN"/>
              </w:rPr>
            </w:pPr>
            <w:r>
              <w:rPr>
                <w:rFonts w:hint="eastAsia" w:ascii="宋体" w:hAnsi="宋体" w:eastAsia="宋体" w:cs="宋体"/>
                <w:b w:val="0"/>
                <w:bCs w:val="0"/>
                <w:color w:val="auto"/>
                <w:kern w:val="0"/>
                <w:sz w:val="21"/>
                <w:szCs w:val="21"/>
                <w:lang w:val="en-US" w:eastAsia="zh-CN"/>
              </w:rPr>
              <w:t>7</w:t>
            </w:r>
          </w:p>
        </w:tc>
        <w:tc>
          <w:tcPr>
            <w:tcW w:w="420" w:type="pct"/>
            <w:vMerge w:val="restart"/>
            <w:tcBorders>
              <w:left w:val="single" w:color="auto" w:sz="4" w:space="0"/>
              <w:right w:val="single" w:color="auto" w:sz="4" w:space="0"/>
            </w:tcBorders>
            <w:noWrap/>
            <w:vAlign w:val="center"/>
          </w:tcPr>
          <w:p w14:paraId="6045F1CA">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bCs w:val="0"/>
                <w:color w:val="auto"/>
                <w:kern w:val="0"/>
                <w:sz w:val="21"/>
                <w:szCs w:val="21"/>
                <w:lang w:val="en-US" w:eastAsia="zh-CN"/>
              </w:rPr>
            </w:pPr>
            <w:r>
              <w:rPr>
                <w:rFonts w:hint="eastAsia" w:ascii="宋体" w:hAnsi="宋体" w:eastAsia="宋体" w:cs="宋体"/>
                <w:b w:val="0"/>
                <w:bCs w:val="0"/>
                <w:color w:val="auto"/>
                <w:kern w:val="0"/>
                <w:sz w:val="21"/>
                <w:szCs w:val="21"/>
                <w:lang w:val="en-US" w:eastAsia="zh-CN"/>
              </w:rPr>
              <w:t>杨波</w:t>
            </w:r>
          </w:p>
        </w:tc>
        <w:tc>
          <w:tcPr>
            <w:tcW w:w="592" w:type="pct"/>
            <w:tcBorders>
              <w:top w:val="single" w:color="auto" w:sz="4" w:space="0"/>
              <w:left w:val="single" w:color="auto" w:sz="4" w:space="0"/>
              <w:bottom w:val="single" w:color="auto" w:sz="4" w:space="0"/>
              <w:right w:val="single" w:color="auto" w:sz="4" w:space="0"/>
            </w:tcBorders>
            <w:noWrap/>
            <w:vAlign w:val="center"/>
          </w:tcPr>
          <w:p w14:paraId="5B038169">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电工作业</w:t>
            </w:r>
          </w:p>
        </w:tc>
        <w:tc>
          <w:tcPr>
            <w:tcW w:w="1223" w:type="pct"/>
            <w:tcBorders>
              <w:top w:val="single" w:color="auto" w:sz="4" w:space="0"/>
              <w:left w:val="single" w:color="auto" w:sz="4" w:space="0"/>
              <w:bottom w:val="single" w:color="auto" w:sz="4" w:space="0"/>
              <w:right w:val="single" w:color="auto" w:sz="4" w:space="0"/>
            </w:tcBorders>
            <w:noWrap/>
            <w:vAlign w:val="center"/>
          </w:tcPr>
          <w:p w14:paraId="19058DAC">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T532930198911101339</w:t>
            </w:r>
          </w:p>
        </w:tc>
        <w:tc>
          <w:tcPr>
            <w:tcW w:w="792" w:type="pct"/>
            <w:tcBorders>
              <w:top w:val="single" w:color="auto" w:sz="4" w:space="0"/>
              <w:left w:val="single" w:color="auto" w:sz="4" w:space="0"/>
              <w:bottom w:val="single" w:color="auto" w:sz="4" w:space="0"/>
              <w:right w:val="single" w:color="auto" w:sz="4" w:space="0"/>
            </w:tcBorders>
            <w:noWrap/>
            <w:vAlign w:val="center"/>
          </w:tcPr>
          <w:p w14:paraId="75AF073A">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低压电工作业</w:t>
            </w:r>
          </w:p>
        </w:tc>
        <w:tc>
          <w:tcPr>
            <w:tcW w:w="1060" w:type="pct"/>
            <w:tcBorders>
              <w:top w:val="single" w:color="auto" w:sz="4" w:space="0"/>
              <w:left w:val="single" w:color="auto" w:sz="4" w:space="0"/>
              <w:bottom w:val="single" w:color="auto" w:sz="4" w:space="0"/>
              <w:right w:val="single" w:color="auto" w:sz="4" w:space="0"/>
            </w:tcBorders>
            <w:noWrap/>
            <w:vAlign w:val="center"/>
          </w:tcPr>
          <w:p w14:paraId="42DD51B2">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大理州应急管理局</w:t>
            </w:r>
          </w:p>
        </w:tc>
        <w:tc>
          <w:tcPr>
            <w:tcW w:w="688" w:type="pct"/>
            <w:tcBorders>
              <w:top w:val="single" w:color="auto" w:sz="4" w:space="0"/>
              <w:left w:val="single" w:color="auto" w:sz="4" w:space="0"/>
              <w:bottom w:val="single" w:color="auto" w:sz="4" w:space="0"/>
              <w:right w:val="single" w:color="auto" w:sz="4" w:space="0"/>
            </w:tcBorders>
            <w:noWrap/>
            <w:vAlign w:val="center"/>
          </w:tcPr>
          <w:p w14:paraId="0B246D1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2028-08-14</w:t>
            </w:r>
          </w:p>
        </w:tc>
      </w:tr>
      <w:tr w14:paraId="4E5AC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 w:type="pct"/>
            <w:vMerge w:val="continue"/>
            <w:tcBorders>
              <w:left w:val="single" w:color="auto" w:sz="4" w:space="0"/>
              <w:right w:val="single" w:color="auto" w:sz="4" w:space="0"/>
            </w:tcBorders>
            <w:noWrap/>
            <w:vAlign w:val="center"/>
          </w:tcPr>
          <w:p w14:paraId="51A05EC7">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bCs w:val="0"/>
                <w:color w:val="auto"/>
                <w:kern w:val="0"/>
                <w:sz w:val="21"/>
                <w:szCs w:val="21"/>
                <w:lang w:val="en-US" w:eastAsia="zh-CN"/>
              </w:rPr>
            </w:pPr>
          </w:p>
        </w:tc>
        <w:tc>
          <w:tcPr>
            <w:tcW w:w="420" w:type="pct"/>
            <w:vMerge w:val="continue"/>
            <w:tcBorders>
              <w:left w:val="single" w:color="auto" w:sz="4" w:space="0"/>
              <w:right w:val="single" w:color="auto" w:sz="4" w:space="0"/>
            </w:tcBorders>
            <w:noWrap/>
            <w:vAlign w:val="center"/>
          </w:tcPr>
          <w:p w14:paraId="48A99B9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bCs w:val="0"/>
                <w:color w:val="auto"/>
                <w:kern w:val="0"/>
                <w:sz w:val="21"/>
                <w:szCs w:val="21"/>
                <w:lang w:val="en-US" w:eastAsia="zh-CN"/>
              </w:rPr>
            </w:pPr>
          </w:p>
        </w:tc>
        <w:tc>
          <w:tcPr>
            <w:tcW w:w="592" w:type="pct"/>
            <w:tcBorders>
              <w:top w:val="single" w:color="auto" w:sz="4" w:space="0"/>
              <w:left w:val="single" w:color="auto" w:sz="4" w:space="0"/>
              <w:bottom w:val="single" w:color="auto" w:sz="4" w:space="0"/>
              <w:right w:val="single" w:color="auto" w:sz="4" w:space="0"/>
            </w:tcBorders>
            <w:noWrap/>
            <w:vAlign w:val="center"/>
          </w:tcPr>
          <w:p w14:paraId="21ACC747">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高处作业</w:t>
            </w:r>
          </w:p>
        </w:tc>
        <w:tc>
          <w:tcPr>
            <w:tcW w:w="1223" w:type="pct"/>
            <w:tcBorders>
              <w:top w:val="single" w:color="auto" w:sz="4" w:space="0"/>
              <w:left w:val="single" w:color="auto" w:sz="4" w:space="0"/>
              <w:bottom w:val="single" w:color="auto" w:sz="4" w:space="0"/>
              <w:right w:val="single" w:color="auto" w:sz="4" w:space="0"/>
            </w:tcBorders>
            <w:noWrap/>
            <w:vAlign w:val="center"/>
          </w:tcPr>
          <w:p w14:paraId="54CFE9F0">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T532930198911101339</w:t>
            </w:r>
          </w:p>
        </w:tc>
        <w:tc>
          <w:tcPr>
            <w:tcW w:w="792" w:type="pct"/>
            <w:tcBorders>
              <w:top w:val="single" w:color="auto" w:sz="4" w:space="0"/>
              <w:left w:val="single" w:color="auto" w:sz="4" w:space="0"/>
              <w:bottom w:val="single" w:color="auto" w:sz="4" w:space="0"/>
              <w:right w:val="single" w:color="auto" w:sz="4" w:space="0"/>
            </w:tcBorders>
            <w:noWrap/>
            <w:vAlign w:val="center"/>
          </w:tcPr>
          <w:p w14:paraId="08474622">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高处安装、推护、拆除作业</w:t>
            </w:r>
          </w:p>
        </w:tc>
        <w:tc>
          <w:tcPr>
            <w:tcW w:w="1060" w:type="pct"/>
            <w:tcBorders>
              <w:top w:val="single" w:color="auto" w:sz="4" w:space="0"/>
              <w:left w:val="single" w:color="auto" w:sz="4" w:space="0"/>
              <w:bottom w:val="single" w:color="auto" w:sz="4" w:space="0"/>
              <w:right w:val="single" w:color="auto" w:sz="4" w:space="0"/>
            </w:tcBorders>
            <w:noWrap/>
            <w:vAlign w:val="center"/>
          </w:tcPr>
          <w:p w14:paraId="226B7EB5">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大理州应急管理局</w:t>
            </w:r>
          </w:p>
        </w:tc>
        <w:tc>
          <w:tcPr>
            <w:tcW w:w="688" w:type="pct"/>
            <w:tcBorders>
              <w:top w:val="single" w:color="auto" w:sz="4" w:space="0"/>
              <w:left w:val="single" w:color="auto" w:sz="4" w:space="0"/>
              <w:bottom w:val="single" w:color="auto" w:sz="4" w:space="0"/>
              <w:right w:val="single" w:color="auto" w:sz="4" w:space="0"/>
            </w:tcBorders>
            <w:noWrap/>
            <w:vAlign w:val="center"/>
          </w:tcPr>
          <w:p w14:paraId="3B4ED918">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2028-09-12</w:t>
            </w:r>
          </w:p>
        </w:tc>
      </w:tr>
      <w:tr w14:paraId="4EE8B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 w:type="pct"/>
            <w:vMerge w:val="continue"/>
            <w:tcBorders>
              <w:left w:val="single" w:color="auto" w:sz="4" w:space="0"/>
              <w:right w:val="single" w:color="auto" w:sz="4" w:space="0"/>
            </w:tcBorders>
            <w:noWrap/>
            <w:vAlign w:val="center"/>
          </w:tcPr>
          <w:p w14:paraId="1D2245DE">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bCs w:val="0"/>
                <w:color w:val="auto"/>
                <w:kern w:val="0"/>
                <w:sz w:val="21"/>
                <w:szCs w:val="21"/>
                <w:lang w:val="en-US" w:eastAsia="zh-CN"/>
              </w:rPr>
            </w:pPr>
          </w:p>
        </w:tc>
        <w:tc>
          <w:tcPr>
            <w:tcW w:w="420" w:type="pct"/>
            <w:vMerge w:val="continue"/>
            <w:tcBorders>
              <w:left w:val="single" w:color="auto" w:sz="4" w:space="0"/>
              <w:right w:val="single" w:color="auto" w:sz="4" w:space="0"/>
            </w:tcBorders>
            <w:noWrap/>
            <w:vAlign w:val="center"/>
          </w:tcPr>
          <w:p w14:paraId="3D0EEE5C">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bCs w:val="0"/>
                <w:color w:val="auto"/>
                <w:kern w:val="0"/>
                <w:sz w:val="21"/>
                <w:szCs w:val="21"/>
                <w:lang w:val="en-US" w:eastAsia="zh-CN"/>
              </w:rPr>
            </w:pPr>
          </w:p>
        </w:tc>
        <w:tc>
          <w:tcPr>
            <w:tcW w:w="592" w:type="pct"/>
            <w:tcBorders>
              <w:top w:val="single" w:color="auto" w:sz="4" w:space="0"/>
              <w:left w:val="single" w:color="auto" w:sz="4" w:space="0"/>
              <w:bottom w:val="single" w:color="auto" w:sz="4" w:space="0"/>
              <w:right w:val="single" w:color="auto" w:sz="4" w:space="0"/>
            </w:tcBorders>
            <w:noWrap/>
            <w:vAlign w:val="center"/>
          </w:tcPr>
          <w:p w14:paraId="1D77982E">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电工作业</w:t>
            </w:r>
          </w:p>
        </w:tc>
        <w:tc>
          <w:tcPr>
            <w:tcW w:w="1223" w:type="pct"/>
            <w:tcBorders>
              <w:top w:val="single" w:color="auto" w:sz="4" w:space="0"/>
              <w:left w:val="single" w:color="auto" w:sz="4" w:space="0"/>
              <w:bottom w:val="single" w:color="auto" w:sz="4" w:space="0"/>
              <w:right w:val="single" w:color="auto" w:sz="4" w:space="0"/>
            </w:tcBorders>
            <w:noWrap/>
            <w:vAlign w:val="center"/>
          </w:tcPr>
          <w:p w14:paraId="35AF40D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T532930198911101339</w:t>
            </w:r>
          </w:p>
        </w:tc>
        <w:tc>
          <w:tcPr>
            <w:tcW w:w="792" w:type="pct"/>
            <w:tcBorders>
              <w:top w:val="single" w:color="auto" w:sz="4" w:space="0"/>
              <w:left w:val="single" w:color="auto" w:sz="4" w:space="0"/>
              <w:bottom w:val="single" w:color="auto" w:sz="4" w:space="0"/>
              <w:right w:val="single" w:color="auto" w:sz="4" w:space="0"/>
            </w:tcBorders>
            <w:noWrap/>
            <w:vAlign w:val="center"/>
          </w:tcPr>
          <w:p w14:paraId="0E640E7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高压电工作业</w:t>
            </w:r>
          </w:p>
        </w:tc>
        <w:tc>
          <w:tcPr>
            <w:tcW w:w="1060" w:type="pct"/>
            <w:tcBorders>
              <w:top w:val="single" w:color="auto" w:sz="4" w:space="0"/>
              <w:left w:val="single" w:color="auto" w:sz="4" w:space="0"/>
              <w:bottom w:val="single" w:color="auto" w:sz="4" w:space="0"/>
              <w:right w:val="single" w:color="auto" w:sz="4" w:space="0"/>
            </w:tcBorders>
            <w:noWrap/>
            <w:vAlign w:val="center"/>
          </w:tcPr>
          <w:p w14:paraId="42A2FE60">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大理州应急管理局</w:t>
            </w:r>
          </w:p>
        </w:tc>
        <w:tc>
          <w:tcPr>
            <w:tcW w:w="688" w:type="pct"/>
            <w:tcBorders>
              <w:top w:val="single" w:color="auto" w:sz="4" w:space="0"/>
              <w:left w:val="single" w:color="auto" w:sz="4" w:space="0"/>
              <w:bottom w:val="single" w:color="auto" w:sz="4" w:space="0"/>
              <w:right w:val="single" w:color="auto" w:sz="4" w:space="0"/>
            </w:tcBorders>
            <w:noWrap/>
            <w:vAlign w:val="center"/>
          </w:tcPr>
          <w:p w14:paraId="72E77012">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2029-08-21</w:t>
            </w:r>
          </w:p>
        </w:tc>
      </w:tr>
      <w:tr w14:paraId="72E89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 w:type="pct"/>
            <w:vMerge w:val="restart"/>
            <w:tcBorders>
              <w:left w:val="single" w:color="auto" w:sz="4" w:space="0"/>
              <w:right w:val="single" w:color="auto" w:sz="4" w:space="0"/>
            </w:tcBorders>
            <w:noWrap/>
            <w:vAlign w:val="center"/>
          </w:tcPr>
          <w:p w14:paraId="33B0264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bCs w:val="0"/>
                <w:color w:val="auto"/>
                <w:kern w:val="0"/>
                <w:sz w:val="21"/>
                <w:szCs w:val="21"/>
                <w:lang w:val="en-US" w:eastAsia="zh-CN"/>
              </w:rPr>
            </w:pPr>
            <w:r>
              <w:rPr>
                <w:rFonts w:hint="eastAsia" w:ascii="宋体" w:hAnsi="宋体" w:eastAsia="宋体" w:cs="宋体"/>
                <w:b w:val="0"/>
                <w:bCs w:val="0"/>
                <w:color w:val="auto"/>
                <w:kern w:val="0"/>
                <w:sz w:val="21"/>
                <w:szCs w:val="21"/>
                <w:lang w:val="en-US" w:eastAsia="zh-CN"/>
              </w:rPr>
              <w:t>8</w:t>
            </w:r>
          </w:p>
        </w:tc>
        <w:tc>
          <w:tcPr>
            <w:tcW w:w="420" w:type="pct"/>
            <w:vMerge w:val="restart"/>
            <w:tcBorders>
              <w:left w:val="single" w:color="auto" w:sz="4" w:space="0"/>
              <w:right w:val="single" w:color="auto" w:sz="4" w:space="0"/>
            </w:tcBorders>
            <w:noWrap/>
            <w:vAlign w:val="center"/>
          </w:tcPr>
          <w:p w14:paraId="6C06E542">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b w:val="0"/>
                <w:bCs w:val="0"/>
                <w:color w:val="auto"/>
                <w:kern w:val="0"/>
                <w:sz w:val="21"/>
                <w:szCs w:val="21"/>
                <w:lang w:val="en-US" w:eastAsia="zh-CN"/>
              </w:rPr>
            </w:pPr>
            <w:r>
              <w:rPr>
                <w:rFonts w:hint="eastAsia" w:ascii="宋体" w:hAnsi="宋体" w:eastAsia="宋体" w:cs="宋体"/>
                <w:b w:val="0"/>
                <w:bCs w:val="0"/>
                <w:color w:val="auto"/>
                <w:kern w:val="0"/>
                <w:sz w:val="21"/>
                <w:szCs w:val="21"/>
                <w:lang w:val="en-US" w:eastAsia="zh-CN"/>
              </w:rPr>
              <w:t>张剑</w:t>
            </w:r>
          </w:p>
        </w:tc>
        <w:tc>
          <w:tcPr>
            <w:tcW w:w="592" w:type="pct"/>
            <w:tcBorders>
              <w:top w:val="single" w:color="auto" w:sz="4" w:space="0"/>
              <w:left w:val="single" w:color="auto" w:sz="4" w:space="0"/>
              <w:bottom w:val="single" w:color="auto" w:sz="4" w:space="0"/>
              <w:right w:val="single" w:color="auto" w:sz="4" w:space="0"/>
            </w:tcBorders>
            <w:noWrap/>
            <w:vAlign w:val="center"/>
          </w:tcPr>
          <w:p w14:paraId="153D7D67">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电工作业</w:t>
            </w:r>
          </w:p>
        </w:tc>
        <w:tc>
          <w:tcPr>
            <w:tcW w:w="1223" w:type="pct"/>
            <w:tcBorders>
              <w:top w:val="single" w:color="auto" w:sz="4" w:space="0"/>
              <w:left w:val="single" w:color="auto" w:sz="4" w:space="0"/>
              <w:bottom w:val="single" w:color="auto" w:sz="4" w:space="0"/>
              <w:right w:val="single" w:color="auto" w:sz="4" w:space="0"/>
            </w:tcBorders>
            <w:noWrap/>
            <w:vAlign w:val="center"/>
          </w:tcPr>
          <w:p w14:paraId="096A631A">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T532931198810160512</w:t>
            </w:r>
          </w:p>
        </w:tc>
        <w:tc>
          <w:tcPr>
            <w:tcW w:w="792" w:type="pct"/>
            <w:tcBorders>
              <w:top w:val="single" w:color="auto" w:sz="4" w:space="0"/>
              <w:left w:val="single" w:color="auto" w:sz="4" w:space="0"/>
              <w:bottom w:val="single" w:color="auto" w:sz="4" w:space="0"/>
              <w:right w:val="single" w:color="auto" w:sz="4" w:space="0"/>
            </w:tcBorders>
            <w:noWrap/>
            <w:vAlign w:val="center"/>
          </w:tcPr>
          <w:p w14:paraId="4B2E150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低压电工作业</w:t>
            </w:r>
          </w:p>
        </w:tc>
        <w:tc>
          <w:tcPr>
            <w:tcW w:w="1060" w:type="pct"/>
            <w:tcBorders>
              <w:top w:val="single" w:color="auto" w:sz="4" w:space="0"/>
              <w:left w:val="single" w:color="auto" w:sz="4" w:space="0"/>
              <w:bottom w:val="single" w:color="auto" w:sz="4" w:space="0"/>
              <w:right w:val="single" w:color="auto" w:sz="4" w:space="0"/>
            </w:tcBorders>
            <w:noWrap/>
            <w:vAlign w:val="center"/>
          </w:tcPr>
          <w:p w14:paraId="71FBE915">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大理州应急管理局</w:t>
            </w:r>
          </w:p>
        </w:tc>
        <w:tc>
          <w:tcPr>
            <w:tcW w:w="688" w:type="pct"/>
            <w:tcBorders>
              <w:top w:val="single" w:color="auto" w:sz="4" w:space="0"/>
              <w:left w:val="single" w:color="auto" w:sz="4" w:space="0"/>
              <w:bottom w:val="single" w:color="auto" w:sz="4" w:space="0"/>
              <w:right w:val="single" w:color="auto" w:sz="4" w:space="0"/>
            </w:tcBorders>
            <w:noWrap/>
            <w:vAlign w:val="center"/>
          </w:tcPr>
          <w:p w14:paraId="07E759B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2028-08-14</w:t>
            </w:r>
          </w:p>
        </w:tc>
      </w:tr>
      <w:tr w14:paraId="647E8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 w:type="pct"/>
            <w:vMerge w:val="continue"/>
            <w:tcBorders>
              <w:left w:val="single" w:color="auto" w:sz="4" w:space="0"/>
              <w:right w:val="single" w:color="auto" w:sz="4" w:space="0"/>
            </w:tcBorders>
            <w:noWrap/>
            <w:vAlign w:val="center"/>
          </w:tcPr>
          <w:p w14:paraId="2CE38BC1">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bCs w:val="0"/>
                <w:color w:val="auto"/>
                <w:kern w:val="0"/>
                <w:sz w:val="21"/>
                <w:szCs w:val="21"/>
                <w:lang w:val="en-US" w:eastAsia="zh-CN"/>
              </w:rPr>
            </w:pPr>
          </w:p>
        </w:tc>
        <w:tc>
          <w:tcPr>
            <w:tcW w:w="420" w:type="pct"/>
            <w:vMerge w:val="continue"/>
            <w:tcBorders>
              <w:left w:val="single" w:color="auto" w:sz="4" w:space="0"/>
              <w:right w:val="single" w:color="auto" w:sz="4" w:space="0"/>
            </w:tcBorders>
            <w:noWrap/>
            <w:vAlign w:val="center"/>
          </w:tcPr>
          <w:p w14:paraId="5C26960B">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b w:val="0"/>
                <w:bCs w:val="0"/>
                <w:color w:val="auto"/>
                <w:kern w:val="0"/>
                <w:sz w:val="21"/>
                <w:szCs w:val="21"/>
                <w:lang w:val="en-US" w:eastAsia="zh-CN"/>
              </w:rPr>
            </w:pPr>
          </w:p>
        </w:tc>
        <w:tc>
          <w:tcPr>
            <w:tcW w:w="592" w:type="pct"/>
            <w:tcBorders>
              <w:top w:val="single" w:color="auto" w:sz="4" w:space="0"/>
              <w:left w:val="single" w:color="auto" w:sz="4" w:space="0"/>
              <w:bottom w:val="single" w:color="auto" w:sz="4" w:space="0"/>
              <w:right w:val="single" w:color="auto" w:sz="4" w:space="0"/>
            </w:tcBorders>
            <w:noWrap/>
            <w:vAlign w:val="center"/>
          </w:tcPr>
          <w:p w14:paraId="2EDBF4DF">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电工作业</w:t>
            </w:r>
          </w:p>
        </w:tc>
        <w:tc>
          <w:tcPr>
            <w:tcW w:w="1223" w:type="pct"/>
            <w:tcBorders>
              <w:top w:val="single" w:color="auto" w:sz="4" w:space="0"/>
              <w:left w:val="single" w:color="auto" w:sz="4" w:space="0"/>
              <w:bottom w:val="single" w:color="auto" w:sz="4" w:space="0"/>
              <w:right w:val="single" w:color="auto" w:sz="4" w:space="0"/>
            </w:tcBorders>
            <w:noWrap/>
            <w:vAlign w:val="center"/>
          </w:tcPr>
          <w:p w14:paraId="50201BE5">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T532931198810160512</w:t>
            </w:r>
          </w:p>
        </w:tc>
        <w:tc>
          <w:tcPr>
            <w:tcW w:w="792" w:type="pct"/>
            <w:tcBorders>
              <w:top w:val="single" w:color="auto" w:sz="4" w:space="0"/>
              <w:left w:val="single" w:color="auto" w:sz="4" w:space="0"/>
              <w:bottom w:val="single" w:color="auto" w:sz="4" w:space="0"/>
              <w:right w:val="single" w:color="auto" w:sz="4" w:space="0"/>
            </w:tcBorders>
            <w:noWrap/>
            <w:vAlign w:val="center"/>
          </w:tcPr>
          <w:p w14:paraId="5B616D7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高压电工作业</w:t>
            </w:r>
          </w:p>
        </w:tc>
        <w:tc>
          <w:tcPr>
            <w:tcW w:w="1060" w:type="pct"/>
            <w:tcBorders>
              <w:top w:val="single" w:color="auto" w:sz="4" w:space="0"/>
              <w:left w:val="single" w:color="auto" w:sz="4" w:space="0"/>
              <w:bottom w:val="single" w:color="auto" w:sz="4" w:space="0"/>
              <w:right w:val="single" w:color="auto" w:sz="4" w:space="0"/>
            </w:tcBorders>
            <w:noWrap/>
            <w:vAlign w:val="center"/>
          </w:tcPr>
          <w:p w14:paraId="05510DE4">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大理州应急管理局</w:t>
            </w:r>
          </w:p>
        </w:tc>
        <w:tc>
          <w:tcPr>
            <w:tcW w:w="688" w:type="pct"/>
            <w:tcBorders>
              <w:top w:val="single" w:color="auto" w:sz="4" w:space="0"/>
              <w:left w:val="single" w:color="auto" w:sz="4" w:space="0"/>
              <w:bottom w:val="single" w:color="auto" w:sz="4" w:space="0"/>
              <w:right w:val="single" w:color="auto" w:sz="4" w:space="0"/>
            </w:tcBorders>
            <w:noWrap/>
            <w:vAlign w:val="center"/>
          </w:tcPr>
          <w:p w14:paraId="33EEEF06">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2030-03-20</w:t>
            </w:r>
          </w:p>
        </w:tc>
      </w:tr>
    </w:tbl>
    <w:p w14:paraId="6362BCDC">
      <w:pPr>
        <w:pStyle w:val="4"/>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28"/>
          <w:szCs w:val="28"/>
          <w:lang w:val="en-US" w:eastAsia="zh-CN"/>
          <w14:textFill>
            <w14:solidFill>
              <w14:schemeClr w14:val="tx1"/>
            </w14:solidFill>
          </w14:textFill>
        </w:rPr>
      </w:pPr>
      <w:bookmarkStart w:id="214" w:name="_Toc3900"/>
      <w:r>
        <w:rPr>
          <w:rFonts w:hint="eastAsia" w:ascii="宋体" w:hAnsi="宋体" w:eastAsia="宋体" w:cs="宋体"/>
          <w:b/>
          <w:bCs w:val="0"/>
          <w:color w:val="000000" w:themeColor="text1"/>
          <w:sz w:val="28"/>
          <w:szCs w:val="28"/>
          <w:lang w:val="en-US" w:eastAsia="zh-CN"/>
          <w14:textFill>
            <w14:solidFill>
              <w14:schemeClr w14:val="tx1"/>
            </w14:solidFill>
          </w14:textFill>
        </w:rPr>
        <w:t>2.5.4劳保用品发放</w:t>
      </w:r>
      <w:bookmarkEnd w:id="214"/>
    </w:p>
    <w:p w14:paraId="5ADEE733">
      <w:pPr>
        <w:keepNext w:val="0"/>
        <w:keepLines w:val="0"/>
        <w:pageBreakBefore w:val="0"/>
        <w:widowControl w:val="0"/>
        <w:suppressLineNumbers w:val="0"/>
        <w:kinsoku/>
        <w:wordWrap/>
        <w:overflowPunct/>
        <w:topLinePunct w:val="0"/>
        <w:autoSpaceDE/>
        <w:autoSpaceDN/>
        <w:bidi w:val="0"/>
        <w:adjustRightInd/>
        <w:snapToGrid/>
        <w:spacing w:line="420" w:lineRule="exact"/>
        <w:ind w:firstLine="560" w:firstLineChars="200"/>
        <w:jc w:val="both"/>
        <w:textAlignment w:val="auto"/>
        <w:rPr>
          <w:rFonts w:hint="eastAsia" w:ascii="宋体" w:hAnsi="宋体" w:eastAsia="宋体" w:cs="宋体"/>
          <w:b/>
          <w:bCs/>
          <w:color w:val="000000"/>
          <w:kern w:val="0"/>
          <w:sz w:val="28"/>
          <w:szCs w:val="28"/>
          <w:lang w:val="en-US" w:eastAsia="zh-CN" w:bidi="ar"/>
        </w:rPr>
      </w:pPr>
      <w:r>
        <w:rPr>
          <w:rFonts w:hint="eastAsia" w:ascii="宋体" w:hAnsi="宋体" w:eastAsia="宋体" w:cs="宋体"/>
          <w:color w:val="000000" w:themeColor="text1"/>
          <w:sz w:val="28"/>
          <w:szCs w:val="28"/>
          <w:lang w:val="en-US" w:eastAsia="zh-CN"/>
          <w14:textFill>
            <w14:solidFill>
              <w14:schemeClr w14:val="tx1"/>
            </w14:solidFill>
          </w14:textFill>
        </w:rPr>
        <w:t>该公司根据《用人单位劳动防护用品管理规范》(安监总厅安健〔2018〕3号)，为员工配备了防护用品，该公司根据不同工种每月发放劳动防护用品，</w:t>
      </w:r>
      <w:r>
        <w:rPr>
          <w:rFonts w:hint="eastAsia" w:ascii="宋体" w:hAnsi="宋体" w:eastAsia="宋体" w:cs="宋体"/>
          <w:color w:val="000000" w:themeColor="text1"/>
          <w:kern w:val="0"/>
          <w:sz w:val="28"/>
          <w:szCs w:val="28"/>
          <w:lang w:val="en-US" w:eastAsia="zh-CN" w:bidi="ar"/>
          <w14:textFill>
            <w14:solidFill>
              <w14:schemeClr w14:val="tx1"/>
            </w14:solidFill>
          </w14:textFill>
        </w:rPr>
        <w:t>劳动防护用品发放记录见附件</w:t>
      </w:r>
      <w:r>
        <w:rPr>
          <w:rFonts w:hint="eastAsia" w:ascii="宋体" w:hAnsi="宋体" w:cs="宋体"/>
          <w:color w:val="000000" w:themeColor="text1"/>
          <w:kern w:val="0"/>
          <w:sz w:val="28"/>
          <w:szCs w:val="28"/>
          <w:lang w:val="en-US" w:eastAsia="zh-CN" w:bidi="ar"/>
          <w14:textFill>
            <w14:solidFill>
              <w14:schemeClr w14:val="tx1"/>
            </w14:solidFill>
          </w14:textFill>
        </w:rPr>
        <w:t>20</w:t>
      </w:r>
      <w:r>
        <w:rPr>
          <w:rFonts w:hint="eastAsia" w:ascii="宋体" w:hAnsi="宋体" w:eastAsia="宋体" w:cs="宋体"/>
          <w:color w:val="000000" w:themeColor="text1"/>
          <w:kern w:val="0"/>
          <w:sz w:val="28"/>
          <w:szCs w:val="28"/>
          <w:lang w:val="en-US" w:eastAsia="zh-CN" w:bidi="ar"/>
          <w14:textFill>
            <w14:solidFill>
              <w14:schemeClr w14:val="tx1"/>
            </w14:solidFill>
          </w14:textFill>
        </w:rPr>
        <w:t>劳动防护用品发放记录。</w:t>
      </w:r>
    </w:p>
    <w:p w14:paraId="15AB0576">
      <w:pPr>
        <w:pStyle w:val="4"/>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28"/>
          <w:szCs w:val="28"/>
          <w:lang w:val="en-US" w:eastAsia="zh-CN"/>
          <w14:textFill>
            <w14:solidFill>
              <w14:schemeClr w14:val="tx1"/>
            </w14:solidFill>
          </w14:textFill>
        </w:rPr>
      </w:pPr>
      <w:bookmarkStart w:id="215" w:name="_Toc29169"/>
      <w:bookmarkStart w:id="216" w:name="_Toc20129"/>
      <w:r>
        <w:rPr>
          <w:rFonts w:hint="eastAsia" w:ascii="宋体" w:hAnsi="宋体" w:eastAsia="宋体" w:cs="宋体"/>
          <w:b/>
          <w:bCs w:val="0"/>
          <w:color w:val="000000" w:themeColor="text1"/>
          <w:sz w:val="28"/>
          <w:szCs w:val="28"/>
          <w:lang w:val="en-US" w:eastAsia="zh-CN"/>
          <w14:textFill>
            <w14:solidFill>
              <w14:schemeClr w14:val="tx1"/>
            </w14:solidFill>
          </w14:textFill>
        </w:rPr>
        <w:t>2.5.5保险缴纳情况</w:t>
      </w:r>
      <w:bookmarkEnd w:id="215"/>
      <w:bookmarkEnd w:id="216"/>
    </w:p>
    <w:p w14:paraId="0D2D788B">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color w:val="000000" w:themeColor="text1"/>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该公司按要求为职工缴纳工伤保险。</w:t>
      </w:r>
    </w:p>
    <w:p w14:paraId="4D8CA6B8">
      <w:pPr>
        <w:pStyle w:val="4"/>
        <w:keepNext w:val="0"/>
        <w:keepLines w:val="0"/>
        <w:pageBreakBefore w:val="0"/>
        <w:widowControl w:val="0"/>
        <w:kinsoku/>
        <w:wordWrap/>
        <w:overflowPunct/>
        <w:topLinePunct w:val="0"/>
        <w:autoSpaceDE/>
        <w:autoSpaceDN/>
        <w:bidi w:val="0"/>
        <w:spacing w:line="420" w:lineRule="exact"/>
        <w:textAlignment w:val="auto"/>
        <w:rPr>
          <w:rFonts w:hint="eastAsia"/>
          <w:color w:val="000000" w:themeColor="text1"/>
          <w:lang w:val="en-US" w:eastAsia="zh-CN"/>
          <w14:textFill>
            <w14:solidFill>
              <w14:schemeClr w14:val="tx1"/>
            </w14:solidFill>
          </w14:textFill>
        </w:rPr>
      </w:pPr>
      <w:bookmarkStart w:id="217" w:name="_Toc6472"/>
      <w:r>
        <w:rPr>
          <w:rFonts w:hint="eastAsia" w:ascii="宋体" w:hAnsi="宋体" w:eastAsia="宋体" w:cs="宋体"/>
          <w:b/>
          <w:bCs w:val="0"/>
          <w:color w:val="000000" w:themeColor="text1"/>
          <w:sz w:val="28"/>
          <w:szCs w:val="28"/>
          <w:lang w:val="en-US" w:eastAsia="zh-CN"/>
          <w14:textFill>
            <w14:solidFill>
              <w14:schemeClr w14:val="tx1"/>
            </w14:solidFill>
          </w14:textFill>
        </w:rPr>
        <w:t>2.5.6</w:t>
      </w:r>
      <w:bookmarkStart w:id="218" w:name="_Toc22880"/>
      <w:r>
        <w:rPr>
          <w:rFonts w:hint="eastAsia" w:ascii="宋体" w:hAnsi="宋体" w:eastAsia="宋体" w:cs="宋体"/>
          <w:b/>
          <w:bCs w:val="0"/>
          <w:color w:val="000000" w:themeColor="text1"/>
          <w:lang w:val="en-US" w:eastAsia="zh-CN"/>
          <w14:textFill>
            <w14:solidFill>
              <w14:schemeClr w14:val="tx1"/>
            </w14:solidFill>
          </w14:textFill>
        </w:rPr>
        <w:t>事故预防与应急管理</w:t>
      </w:r>
      <w:bookmarkEnd w:id="217"/>
      <w:bookmarkEnd w:id="218"/>
    </w:p>
    <w:p w14:paraId="60DD3183">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Chars="0" w:firstLine="560" w:firstLineChars="200"/>
        <w:textAlignment w:val="auto"/>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公司根据生产过程中存在的主要危险因素以及《生产经营单位生产安全事故应急预案编制导则》（GB/T 29639-2020）编制了《华能澜沧江（景洪）新能源有限公司景讷乡大寨村云盘光伏电站生产安全事故应急救援预案》，配备了应急救援器材，该公司应急救援预案经外部专家评审通过，并于2025年1月8日取得景洪市发展和改革局备案表，备案编号为：532801FG2025004。</w:t>
      </w:r>
    </w:p>
    <w:p w14:paraId="061CA16C">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宋体" w:hAnsi="宋体" w:cs="Times New Roman"/>
          <w:color w:val="000000" w:themeColor="text1"/>
          <w:kern w:val="2"/>
          <w:sz w:val="28"/>
          <w:szCs w:val="28"/>
          <w:highlight w:val="none"/>
          <w:lang w:val="en-US" w:eastAsia="zh-CN" w:bidi="ar-SA"/>
          <w14:textFill>
            <w14:solidFill>
              <w14:schemeClr w14:val="tx1"/>
            </w14:solidFill>
          </w14:textFill>
        </w:rPr>
      </w:pPr>
      <w:r>
        <w:rPr>
          <w:rFonts w:hint="eastAsia" w:ascii="宋体" w:hAnsi="宋体" w:cs="Times New Roman"/>
          <w:color w:val="000000" w:themeColor="text1"/>
          <w:kern w:val="2"/>
          <w:sz w:val="28"/>
          <w:szCs w:val="28"/>
          <w:highlight w:val="none"/>
          <w:lang w:val="en-US" w:eastAsia="zh-CN" w:bidi="ar-SA"/>
          <w14:textFill>
            <w14:solidFill>
              <w14:schemeClr w14:val="tx1"/>
            </w14:solidFill>
          </w14:textFill>
        </w:rPr>
        <w:t>1.预防事故的设施、设备</w:t>
      </w:r>
    </w:p>
    <w:p w14:paraId="73BC2F21">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宋体" w:hAnsi="宋体" w:cs="Times New Roman"/>
          <w:color w:val="000000" w:themeColor="text1"/>
          <w:kern w:val="2"/>
          <w:sz w:val="28"/>
          <w:szCs w:val="28"/>
          <w:highlight w:val="none"/>
          <w:lang w:val="en-US" w:eastAsia="zh-CN" w:bidi="ar-SA"/>
          <w14:textFill>
            <w14:solidFill>
              <w14:schemeClr w14:val="tx1"/>
            </w14:solidFill>
          </w14:textFill>
        </w:rPr>
      </w:pPr>
      <w:r>
        <w:rPr>
          <w:rFonts w:hint="eastAsia" w:ascii="宋体" w:hAnsi="宋体" w:cs="Times New Roman"/>
          <w:color w:val="000000" w:themeColor="text1"/>
          <w:kern w:val="2"/>
          <w:sz w:val="28"/>
          <w:szCs w:val="28"/>
          <w:highlight w:val="none"/>
          <w:lang w:val="en-US" w:eastAsia="zh-CN" w:bidi="ar-SA"/>
          <w14:textFill>
            <w14:solidFill>
              <w14:schemeClr w14:val="tx1"/>
            </w14:solidFill>
          </w14:textFill>
        </w:rPr>
        <w:t>预防事故的设施、设备见下表：</w:t>
      </w:r>
    </w:p>
    <w:p w14:paraId="3833580C">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center"/>
        <w:textAlignment w:val="auto"/>
        <w:rPr>
          <w:b/>
          <w:bCs/>
          <w:color w:val="000000" w:themeColor="text1"/>
          <w:sz w:val="24"/>
          <w:szCs w:val="24"/>
          <w14:textFill>
            <w14:solidFill>
              <w14:schemeClr w14:val="tx1"/>
            </w14:solidFill>
          </w14:textFill>
        </w:rPr>
      </w:pPr>
      <w:r>
        <w:rPr>
          <w:b/>
          <w:bCs/>
          <w:color w:val="000000" w:themeColor="text1"/>
          <w:sz w:val="24"/>
          <w:szCs w:val="24"/>
          <w14:textFill>
            <w14:solidFill>
              <w14:schemeClr w14:val="tx1"/>
            </w14:solidFill>
          </w14:textFill>
        </w:rPr>
        <w:t>表</w:t>
      </w:r>
      <w:r>
        <w:rPr>
          <w:b/>
          <w:bCs/>
          <w:color w:val="000000" w:themeColor="text1"/>
          <w:sz w:val="24"/>
          <w:szCs w:val="24"/>
          <w14:textFill>
            <w14:solidFill>
              <w14:schemeClr w14:val="tx1"/>
            </w14:solidFill>
          </w14:textFill>
        </w:rPr>
        <w:fldChar w:fldCharType="begin"/>
      </w:r>
      <w:r>
        <w:rPr>
          <w:b/>
          <w:bCs/>
          <w:color w:val="000000" w:themeColor="text1"/>
          <w:sz w:val="24"/>
          <w:szCs w:val="24"/>
          <w14:textFill>
            <w14:solidFill>
              <w14:schemeClr w14:val="tx1"/>
            </w14:solidFill>
          </w14:textFill>
        </w:rPr>
        <w:instrText xml:space="preserve"> STYLEREF 1 \s </w:instrText>
      </w:r>
      <w:r>
        <w:rPr>
          <w:b/>
          <w:bCs/>
          <w:color w:val="000000" w:themeColor="text1"/>
          <w:sz w:val="24"/>
          <w:szCs w:val="24"/>
          <w14:textFill>
            <w14:solidFill>
              <w14:schemeClr w14:val="tx1"/>
            </w14:solidFill>
          </w14:textFill>
        </w:rPr>
        <w:fldChar w:fldCharType="separate"/>
      </w:r>
      <w:r>
        <w:rPr>
          <w:b/>
          <w:bCs/>
          <w:color w:val="000000" w:themeColor="text1"/>
          <w:sz w:val="24"/>
          <w:szCs w:val="24"/>
          <w14:textFill>
            <w14:solidFill>
              <w14:schemeClr w14:val="tx1"/>
            </w14:solidFill>
          </w14:textFill>
        </w:rPr>
        <w:t>2</w:t>
      </w:r>
      <w:r>
        <w:rPr>
          <w:b/>
          <w:bCs/>
          <w:color w:val="000000" w:themeColor="text1"/>
          <w:sz w:val="24"/>
          <w:szCs w:val="24"/>
          <w14:textFill>
            <w14:solidFill>
              <w14:schemeClr w14:val="tx1"/>
            </w14:solidFill>
          </w14:textFill>
        </w:rPr>
        <w:fldChar w:fldCharType="end"/>
      </w:r>
      <w:r>
        <w:rPr>
          <w:rFonts w:hint="eastAsia"/>
          <w:b/>
          <w:bCs/>
          <w:color w:val="000000" w:themeColor="text1"/>
          <w:sz w:val="24"/>
          <w:szCs w:val="24"/>
          <w:lang w:eastAsia="zh-CN"/>
          <w14:textFill>
            <w14:solidFill>
              <w14:schemeClr w14:val="tx1"/>
            </w14:solidFill>
          </w14:textFill>
        </w:rPr>
        <w:t>-</w:t>
      </w:r>
      <w:r>
        <w:rPr>
          <w:b/>
          <w:bCs/>
          <w:color w:val="000000" w:themeColor="text1"/>
          <w:sz w:val="24"/>
          <w:szCs w:val="24"/>
          <w14:textFill>
            <w14:solidFill>
              <w14:schemeClr w14:val="tx1"/>
            </w14:solidFill>
          </w14:textFill>
        </w:rPr>
        <w:fldChar w:fldCharType="begin"/>
      </w:r>
      <w:r>
        <w:rPr>
          <w:b/>
          <w:bCs/>
          <w:color w:val="000000" w:themeColor="text1"/>
          <w:sz w:val="24"/>
          <w:szCs w:val="24"/>
          <w14:textFill>
            <w14:solidFill>
              <w14:schemeClr w14:val="tx1"/>
            </w14:solidFill>
          </w14:textFill>
        </w:rPr>
        <w:instrText xml:space="preserve"> SEQ 表 \* ARABIC \s 1 </w:instrText>
      </w:r>
      <w:r>
        <w:rPr>
          <w:b/>
          <w:bCs/>
          <w:color w:val="000000" w:themeColor="text1"/>
          <w:sz w:val="24"/>
          <w:szCs w:val="24"/>
          <w14:textFill>
            <w14:solidFill>
              <w14:schemeClr w14:val="tx1"/>
            </w14:solidFill>
          </w14:textFill>
        </w:rPr>
        <w:fldChar w:fldCharType="separate"/>
      </w:r>
      <w:r>
        <w:rPr>
          <w:rFonts w:hint="eastAsia"/>
          <w:b/>
          <w:bCs/>
          <w:color w:val="000000" w:themeColor="text1"/>
          <w:sz w:val="24"/>
          <w:szCs w:val="24"/>
          <w:lang w:val="en-US" w:eastAsia="zh-CN"/>
          <w14:textFill>
            <w14:solidFill>
              <w14:schemeClr w14:val="tx1"/>
            </w14:solidFill>
          </w14:textFill>
        </w:rPr>
        <w:t>5</w:t>
      </w:r>
      <w:r>
        <w:rPr>
          <w:b/>
          <w:bCs/>
          <w:color w:val="000000" w:themeColor="text1"/>
          <w:sz w:val="24"/>
          <w:szCs w:val="24"/>
          <w14:textFill>
            <w14:solidFill>
              <w14:schemeClr w14:val="tx1"/>
            </w14:solidFill>
          </w14:textFill>
        </w:rPr>
        <w:fldChar w:fldCharType="end"/>
      </w:r>
      <w:r>
        <w:rPr>
          <w:rFonts w:hint="eastAsia"/>
          <w:b/>
          <w:bCs/>
          <w:color w:val="000000" w:themeColor="text1"/>
          <w:sz w:val="24"/>
          <w:szCs w:val="24"/>
          <w:lang w:val="en-US" w:eastAsia="zh-CN"/>
          <w14:textFill>
            <w14:solidFill>
              <w14:schemeClr w14:val="tx1"/>
            </w14:solidFill>
          </w14:textFill>
        </w:rPr>
        <w:t>.2</w:t>
      </w:r>
      <w:r>
        <w:rPr>
          <w:b/>
          <w:bCs/>
          <w:color w:val="000000" w:themeColor="text1"/>
          <w:sz w:val="24"/>
          <w:szCs w:val="24"/>
          <w14:textFill>
            <w14:solidFill>
              <w14:schemeClr w14:val="tx1"/>
            </w14:solidFill>
          </w14:textFill>
        </w:rPr>
        <w:t>预防事故设施、设备表</w:t>
      </w:r>
    </w:p>
    <w:tbl>
      <w:tblPr>
        <w:tblStyle w:val="21"/>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5"/>
        <w:gridCol w:w="2589"/>
        <w:gridCol w:w="2840"/>
        <w:gridCol w:w="2802"/>
      </w:tblGrid>
      <w:tr w14:paraId="1C26F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pct"/>
            <w:tcBorders>
              <w:tl2br w:val="nil"/>
              <w:tr2bl w:val="nil"/>
            </w:tcBorders>
            <w:noWrap w:val="0"/>
            <w:vAlign w:val="center"/>
          </w:tcPr>
          <w:p w14:paraId="2526B729">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color w:val="000000" w:themeColor="text1"/>
                <w14:textFill>
                  <w14:solidFill>
                    <w14:schemeClr w14:val="tx1"/>
                  </w14:solidFill>
                </w14:textFill>
              </w:rPr>
              <w:t>序号</w:t>
            </w:r>
          </w:p>
        </w:tc>
        <w:tc>
          <w:tcPr>
            <w:tcW w:w="1419" w:type="pct"/>
            <w:tcBorders>
              <w:tl2br w:val="nil"/>
              <w:tr2bl w:val="nil"/>
            </w:tcBorders>
            <w:noWrap w:val="0"/>
            <w:vAlign w:val="center"/>
          </w:tcPr>
          <w:p w14:paraId="348E7575">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color w:val="000000" w:themeColor="text1"/>
                <w14:textFill>
                  <w14:solidFill>
                    <w14:schemeClr w14:val="tx1"/>
                  </w14:solidFill>
                </w14:textFill>
              </w:rPr>
              <w:t>设备名称</w:t>
            </w:r>
          </w:p>
        </w:tc>
        <w:tc>
          <w:tcPr>
            <w:tcW w:w="1557" w:type="pct"/>
            <w:tcBorders>
              <w:tl2br w:val="nil"/>
              <w:tr2bl w:val="nil"/>
            </w:tcBorders>
            <w:noWrap w:val="0"/>
            <w:vAlign w:val="center"/>
          </w:tcPr>
          <w:p w14:paraId="62C2921F">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color w:val="000000" w:themeColor="text1"/>
                <w14:textFill>
                  <w14:solidFill>
                    <w14:schemeClr w14:val="tx1"/>
                  </w14:solidFill>
                </w14:textFill>
              </w:rPr>
              <w:t>设置区域</w:t>
            </w:r>
          </w:p>
        </w:tc>
        <w:tc>
          <w:tcPr>
            <w:tcW w:w="1536" w:type="pct"/>
            <w:tcBorders>
              <w:tl2br w:val="nil"/>
              <w:tr2bl w:val="nil"/>
            </w:tcBorders>
            <w:noWrap w:val="0"/>
            <w:vAlign w:val="center"/>
          </w:tcPr>
          <w:p w14:paraId="14A3B062">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color w:val="000000" w:themeColor="text1"/>
                <w14:textFill>
                  <w14:solidFill>
                    <w14:schemeClr w14:val="tx1"/>
                  </w14:solidFill>
                </w14:textFill>
              </w:rPr>
              <w:t>备注</w:t>
            </w:r>
          </w:p>
        </w:tc>
      </w:tr>
      <w:tr w14:paraId="5EAD7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pct"/>
            <w:tcBorders>
              <w:tl2br w:val="nil"/>
              <w:tr2bl w:val="nil"/>
            </w:tcBorders>
            <w:noWrap w:val="0"/>
            <w:vAlign w:val="center"/>
          </w:tcPr>
          <w:p w14:paraId="1ED5AF12">
            <w:pPr>
              <w:pStyle w:val="30"/>
              <w:keepNext w:val="0"/>
              <w:keepLines w:val="0"/>
              <w:pageBreakBefore w:val="0"/>
              <w:widowControl w:val="0"/>
              <w:kinsoku/>
              <w:wordWrap/>
              <w:overflowPunct/>
              <w:topLinePunct w:val="0"/>
              <w:autoSpaceDE/>
              <w:autoSpaceDN/>
              <w:bidi w:val="0"/>
              <w:spacing w:line="480" w:lineRule="exact"/>
              <w:textAlignment w:val="auto"/>
              <w:rPr>
                <w:rFonts w:hint="eastAsia"/>
                <w:color w:val="000000" w:themeColor="text1"/>
                <w:lang w:val="en-US" w:eastAsia="zh-CN"/>
                <w14:textFill>
                  <w14:solidFill>
                    <w14:schemeClr w14:val="tx1"/>
                  </w14:solidFill>
                </w14:textFill>
              </w:rPr>
            </w:pPr>
            <w:r>
              <w:rPr>
                <w:color w:val="000000" w:themeColor="text1"/>
                <w14:textFill>
                  <w14:solidFill>
                    <w14:schemeClr w14:val="tx1"/>
                  </w14:solidFill>
                </w14:textFill>
              </w:rPr>
              <w:t>1</w:t>
            </w:r>
          </w:p>
        </w:tc>
        <w:tc>
          <w:tcPr>
            <w:tcW w:w="1419" w:type="pct"/>
            <w:tcBorders>
              <w:tl2br w:val="nil"/>
              <w:tr2bl w:val="nil"/>
            </w:tcBorders>
            <w:noWrap w:val="0"/>
            <w:vAlign w:val="center"/>
          </w:tcPr>
          <w:p w14:paraId="6C7946C3">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color w:val="000000" w:themeColor="text1"/>
                <w14:textFill>
                  <w14:solidFill>
                    <w14:schemeClr w14:val="tx1"/>
                  </w14:solidFill>
                </w14:textFill>
              </w:rPr>
              <w:t>机械防护罩</w:t>
            </w:r>
          </w:p>
        </w:tc>
        <w:tc>
          <w:tcPr>
            <w:tcW w:w="1557" w:type="pct"/>
            <w:tcBorders>
              <w:tl2br w:val="nil"/>
              <w:tr2bl w:val="nil"/>
            </w:tcBorders>
            <w:noWrap w:val="0"/>
            <w:vAlign w:val="center"/>
          </w:tcPr>
          <w:p w14:paraId="6848F100">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color w:val="000000" w:themeColor="text1"/>
                <w14:textFill>
                  <w14:solidFill>
                    <w14:schemeClr w14:val="tx1"/>
                  </w14:solidFill>
                </w14:textFill>
              </w:rPr>
              <w:t>机械设备</w:t>
            </w:r>
          </w:p>
        </w:tc>
        <w:tc>
          <w:tcPr>
            <w:tcW w:w="1536" w:type="pct"/>
            <w:tcBorders>
              <w:tl2br w:val="nil"/>
              <w:tr2bl w:val="nil"/>
            </w:tcBorders>
            <w:noWrap w:val="0"/>
            <w:vAlign w:val="center"/>
          </w:tcPr>
          <w:p w14:paraId="5CED2B5E">
            <w:pPr>
              <w:pStyle w:val="30"/>
              <w:keepNext w:val="0"/>
              <w:keepLines w:val="0"/>
              <w:pageBreakBefore w:val="0"/>
              <w:widowControl w:val="0"/>
              <w:kinsoku/>
              <w:wordWrap/>
              <w:overflowPunct/>
              <w:topLinePunct w:val="0"/>
              <w:autoSpaceDE/>
              <w:autoSpaceDN/>
              <w:bidi w:val="0"/>
              <w:spacing w:line="480" w:lineRule="exact"/>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14:paraId="783D4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pct"/>
            <w:tcBorders>
              <w:tl2br w:val="nil"/>
              <w:tr2bl w:val="nil"/>
            </w:tcBorders>
            <w:noWrap w:val="0"/>
            <w:vAlign w:val="center"/>
          </w:tcPr>
          <w:p w14:paraId="5371000A">
            <w:pPr>
              <w:pStyle w:val="30"/>
              <w:keepNext w:val="0"/>
              <w:keepLines w:val="0"/>
              <w:pageBreakBefore w:val="0"/>
              <w:widowControl w:val="0"/>
              <w:kinsoku/>
              <w:wordWrap/>
              <w:overflowPunct/>
              <w:topLinePunct w:val="0"/>
              <w:autoSpaceDE/>
              <w:autoSpaceDN/>
              <w:bidi w:val="0"/>
              <w:spacing w:line="480" w:lineRule="exact"/>
              <w:textAlignment w:val="auto"/>
              <w:rPr>
                <w:rFonts w:hint="eastAsia"/>
                <w:color w:val="000000" w:themeColor="text1"/>
                <w:lang w:val="en-US" w:eastAsia="zh-CN"/>
                <w14:textFill>
                  <w14:solidFill>
                    <w14:schemeClr w14:val="tx1"/>
                  </w14:solidFill>
                </w14:textFill>
              </w:rPr>
            </w:pPr>
            <w:r>
              <w:rPr>
                <w:color w:val="000000" w:themeColor="text1"/>
                <w14:textFill>
                  <w14:solidFill>
                    <w14:schemeClr w14:val="tx1"/>
                  </w14:solidFill>
                </w14:textFill>
              </w:rPr>
              <w:t>2</w:t>
            </w:r>
          </w:p>
        </w:tc>
        <w:tc>
          <w:tcPr>
            <w:tcW w:w="1419" w:type="pct"/>
            <w:tcBorders>
              <w:tl2br w:val="nil"/>
              <w:tr2bl w:val="nil"/>
            </w:tcBorders>
            <w:noWrap w:val="0"/>
            <w:vAlign w:val="center"/>
          </w:tcPr>
          <w:p w14:paraId="0CB49387">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color w:val="000000" w:themeColor="text1"/>
                <w14:textFill>
                  <w14:solidFill>
                    <w14:schemeClr w14:val="tx1"/>
                  </w14:solidFill>
                </w14:textFill>
              </w:rPr>
              <w:t>防护栏</w:t>
            </w:r>
          </w:p>
        </w:tc>
        <w:tc>
          <w:tcPr>
            <w:tcW w:w="1557" w:type="pct"/>
            <w:tcBorders>
              <w:tl2br w:val="nil"/>
              <w:tr2bl w:val="nil"/>
            </w:tcBorders>
            <w:noWrap w:val="0"/>
            <w:vAlign w:val="center"/>
          </w:tcPr>
          <w:p w14:paraId="4C71CA48">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color w:val="000000" w:themeColor="text1"/>
                <w14:textFill>
                  <w14:solidFill>
                    <w14:schemeClr w14:val="tx1"/>
                  </w14:solidFill>
                </w14:textFill>
              </w:rPr>
              <w:t>设备机组旁及斜梯</w:t>
            </w:r>
          </w:p>
        </w:tc>
        <w:tc>
          <w:tcPr>
            <w:tcW w:w="1536" w:type="pct"/>
            <w:tcBorders>
              <w:tl2br w:val="nil"/>
              <w:tr2bl w:val="nil"/>
            </w:tcBorders>
            <w:noWrap w:val="0"/>
            <w:vAlign w:val="center"/>
          </w:tcPr>
          <w:p w14:paraId="4688B831">
            <w:pPr>
              <w:pStyle w:val="30"/>
              <w:keepNext w:val="0"/>
              <w:keepLines w:val="0"/>
              <w:pageBreakBefore w:val="0"/>
              <w:widowControl w:val="0"/>
              <w:kinsoku/>
              <w:wordWrap/>
              <w:overflowPunct/>
              <w:topLinePunct w:val="0"/>
              <w:autoSpaceDE/>
              <w:autoSpaceDN/>
              <w:bidi w:val="0"/>
              <w:spacing w:line="480" w:lineRule="exact"/>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14:paraId="35942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pct"/>
            <w:tcBorders>
              <w:tl2br w:val="nil"/>
              <w:tr2bl w:val="nil"/>
            </w:tcBorders>
            <w:noWrap w:val="0"/>
            <w:vAlign w:val="center"/>
          </w:tcPr>
          <w:p w14:paraId="2333538E">
            <w:pPr>
              <w:pStyle w:val="30"/>
              <w:keepNext w:val="0"/>
              <w:keepLines w:val="0"/>
              <w:pageBreakBefore w:val="0"/>
              <w:widowControl w:val="0"/>
              <w:kinsoku/>
              <w:wordWrap/>
              <w:overflowPunct/>
              <w:topLinePunct w:val="0"/>
              <w:autoSpaceDE/>
              <w:autoSpaceDN/>
              <w:bidi w:val="0"/>
              <w:spacing w:line="480" w:lineRule="exact"/>
              <w:textAlignment w:val="auto"/>
              <w:rPr>
                <w:rFonts w:hint="eastAsia"/>
                <w:color w:val="000000" w:themeColor="text1"/>
                <w:lang w:val="en-US" w:eastAsia="zh-CN"/>
                <w14:textFill>
                  <w14:solidFill>
                    <w14:schemeClr w14:val="tx1"/>
                  </w14:solidFill>
                </w14:textFill>
              </w:rPr>
            </w:pPr>
            <w:r>
              <w:rPr>
                <w:color w:val="000000" w:themeColor="text1"/>
                <w14:textFill>
                  <w14:solidFill>
                    <w14:schemeClr w14:val="tx1"/>
                  </w14:solidFill>
                </w14:textFill>
              </w:rPr>
              <w:t>3</w:t>
            </w:r>
          </w:p>
        </w:tc>
        <w:tc>
          <w:tcPr>
            <w:tcW w:w="1419" w:type="pct"/>
            <w:tcBorders>
              <w:tl2br w:val="nil"/>
              <w:tr2bl w:val="nil"/>
            </w:tcBorders>
            <w:noWrap w:val="0"/>
            <w:vAlign w:val="center"/>
          </w:tcPr>
          <w:p w14:paraId="09E27946">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color w:val="000000" w:themeColor="text1"/>
                <w14:textFill>
                  <w14:solidFill>
                    <w14:schemeClr w14:val="tx1"/>
                  </w14:solidFill>
                </w14:textFill>
              </w:rPr>
              <w:t>过载保护器</w:t>
            </w:r>
          </w:p>
        </w:tc>
        <w:tc>
          <w:tcPr>
            <w:tcW w:w="1557" w:type="pct"/>
            <w:tcBorders>
              <w:tl2br w:val="nil"/>
              <w:tr2bl w:val="nil"/>
            </w:tcBorders>
            <w:noWrap w:val="0"/>
            <w:vAlign w:val="center"/>
          </w:tcPr>
          <w:p w14:paraId="134F52E5">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color w:val="000000" w:themeColor="text1"/>
                <w14:textFill>
                  <w14:solidFill>
                    <w14:schemeClr w14:val="tx1"/>
                  </w14:solidFill>
                </w14:textFill>
              </w:rPr>
              <w:t>配电箱</w:t>
            </w:r>
          </w:p>
        </w:tc>
        <w:tc>
          <w:tcPr>
            <w:tcW w:w="1536" w:type="pct"/>
            <w:tcBorders>
              <w:tl2br w:val="nil"/>
              <w:tr2bl w:val="nil"/>
            </w:tcBorders>
            <w:noWrap w:val="0"/>
            <w:vAlign w:val="center"/>
          </w:tcPr>
          <w:p w14:paraId="32974DAC">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color w:val="000000" w:themeColor="text1"/>
                <w14:textFill>
                  <w14:solidFill>
                    <w14:schemeClr w14:val="tx1"/>
                  </w14:solidFill>
                </w14:textFill>
              </w:rPr>
              <w:t>/</w:t>
            </w:r>
          </w:p>
        </w:tc>
      </w:tr>
      <w:tr w14:paraId="4DD45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pct"/>
            <w:tcBorders>
              <w:tl2br w:val="nil"/>
              <w:tr2bl w:val="nil"/>
            </w:tcBorders>
            <w:noWrap w:val="0"/>
            <w:vAlign w:val="center"/>
          </w:tcPr>
          <w:p w14:paraId="1E5E9941">
            <w:pPr>
              <w:pStyle w:val="30"/>
              <w:keepNext w:val="0"/>
              <w:keepLines w:val="0"/>
              <w:pageBreakBefore w:val="0"/>
              <w:widowControl w:val="0"/>
              <w:kinsoku/>
              <w:wordWrap/>
              <w:overflowPunct/>
              <w:topLinePunct w:val="0"/>
              <w:autoSpaceDE/>
              <w:autoSpaceDN/>
              <w:bidi w:val="0"/>
              <w:spacing w:line="480" w:lineRule="exact"/>
              <w:textAlignment w:val="auto"/>
              <w:rPr>
                <w:rFonts w:hint="eastAsia"/>
                <w:color w:val="000000" w:themeColor="text1"/>
                <w:lang w:val="en-US" w:eastAsia="zh-CN"/>
                <w14:textFill>
                  <w14:solidFill>
                    <w14:schemeClr w14:val="tx1"/>
                  </w14:solidFill>
                </w14:textFill>
              </w:rPr>
            </w:pPr>
            <w:r>
              <w:rPr>
                <w:color w:val="000000" w:themeColor="text1"/>
                <w14:textFill>
                  <w14:solidFill>
                    <w14:schemeClr w14:val="tx1"/>
                  </w14:solidFill>
                </w14:textFill>
              </w:rPr>
              <w:t>4</w:t>
            </w:r>
          </w:p>
        </w:tc>
        <w:tc>
          <w:tcPr>
            <w:tcW w:w="1419" w:type="pct"/>
            <w:tcBorders>
              <w:tl2br w:val="nil"/>
              <w:tr2bl w:val="nil"/>
            </w:tcBorders>
            <w:noWrap w:val="0"/>
            <w:vAlign w:val="center"/>
          </w:tcPr>
          <w:p w14:paraId="2613A1EF">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color w:val="000000" w:themeColor="text1"/>
                <w14:textFill>
                  <w14:solidFill>
                    <w14:schemeClr w14:val="tx1"/>
                  </w14:solidFill>
                </w14:textFill>
              </w:rPr>
              <w:t>漏电保护器</w:t>
            </w:r>
          </w:p>
        </w:tc>
        <w:tc>
          <w:tcPr>
            <w:tcW w:w="1557" w:type="pct"/>
            <w:tcBorders>
              <w:tl2br w:val="nil"/>
              <w:tr2bl w:val="nil"/>
            </w:tcBorders>
            <w:noWrap w:val="0"/>
            <w:vAlign w:val="center"/>
          </w:tcPr>
          <w:p w14:paraId="69857895">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color w:val="000000" w:themeColor="text1"/>
                <w14:textFill>
                  <w14:solidFill>
                    <w14:schemeClr w14:val="tx1"/>
                  </w14:solidFill>
                </w14:textFill>
              </w:rPr>
              <w:t>配电箱</w:t>
            </w:r>
          </w:p>
        </w:tc>
        <w:tc>
          <w:tcPr>
            <w:tcW w:w="1536" w:type="pct"/>
            <w:tcBorders>
              <w:tl2br w:val="nil"/>
              <w:tr2bl w:val="nil"/>
            </w:tcBorders>
            <w:noWrap w:val="0"/>
            <w:vAlign w:val="center"/>
          </w:tcPr>
          <w:p w14:paraId="26135D87">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color w:val="000000" w:themeColor="text1"/>
                <w14:textFill>
                  <w14:solidFill>
                    <w14:schemeClr w14:val="tx1"/>
                  </w14:solidFill>
                </w14:textFill>
              </w:rPr>
              <w:t>/</w:t>
            </w:r>
          </w:p>
        </w:tc>
      </w:tr>
      <w:tr w14:paraId="492D4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pct"/>
            <w:tcBorders>
              <w:tl2br w:val="nil"/>
              <w:tr2bl w:val="nil"/>
            </w:tcBorders>
            <w:noWrap w:val="0"/>
            <w:vAlign w:val="center"/>
          </w:tcPr>
          <w:p w14:paraId="57D89F93">
            <w:pPr>
              <w:pStyle w:val="30"/>
              <w:keepNext w:val="0"/>
              <w:keepLines w:val="0"/>
              <w:pageBreakBefore w:val="0"/>
              <w:widowControl w:val="0"/>
              <w:kinsoku/>
              <w:wordWrap/>
              <w:overflowPunct/>
              <w:topLinePunct w:val="0"/>
              <w:autoSpaceDE/>
              <w:autoSpaceDN/>
              <w:bidi w:val="0"/>
              <w:spacing w:line="480" w:lineRule="exact"/>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1419" w:type="pct"/>
            <w:tcBorders>
              <w:tl2br w:val="nil"/>
              <w:tr2bl w:val="nil"/>
            </w:tcBorders>
            <w:noWrap w:val="0"/>
            <w:vAlign w:val="center"/>
          </w:tcPr>
          <w:p w14:paraId="6B210746">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color w:val="000000" w:themeColor="text1"/>
                <w14:textFill>
                  <w14:solidFill>
                    <w14:schemeClr w14:val="tx1"/>
                  </w14:solidFill>
                </w14:textFill>
              </w:rPr>
              <w:t>安全标志、标识</w:t>
            </w:r>
          </w:p>
        </w:tc>
        <w:tc>
          <w:tcPr>
            <w:tcW w:w="1557" w:type="pct"/>
            <w:tcBorders>
              <w:tl2br w:val="nil"/>
              <w:tr2bl w:val="nil"/>
            </w:tcBorders>
            <w:noWrap w:val="0"/>
            <w:vAlign w:val="center"/>
          </w:tcPr>
          <w:p w14:paraId="181AA6EF">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color w:val="000000" w:themeColor="text1"/>
                <w14:textFill>
                  <w14:solidFill>
                    <w14:schemeClr w14:val="tx1"/>
                  </w14:solidFill>
                </w14:textFill>
              </w:rPr>
              <w:t>厂区</w:t>
            </w:r>
          </w:p>
        </w:tc>
        <w:tc>
          <w:tcPr>
            <w:tcW w:w="1536" w:type="pct"/>
            <w:tcBorders>
              <w:tl2br w:val="nil"/>
              <w:tr2bl w:val="nil"/>
            </w:tcBorders>
            <w:noWrap w:val="0"/>
            <w:vAlign w:val="center"/>
          </w:tcPr>
          <w:p w14:paraId="5532F463">
            <w:pPr>
              <w:pStyle w:val="30"/>
              <w:keepNext w:val="0"/>
              <w:keepLines w:val="0"/>
              <w:pageBreakBefore w:val="0"/>
              <w:widowControl w:val="0"/>
              <w:kinsoku/>
              <w:wordWrap/>
              <w:overflowPunct/>
              <w:topLinePunct w:val="0"/>
              <w:autoSpaceDE/>
              <w:autoSpaceDN/>
              <w:bidi w:val="0"/>
              <w:spacing w:line="480" w:lineRule="exact"/>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bl>
    <w:p w14:paraId="03CDFF99">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宋体" w:hAnsi="宋体" w:cs="Times New Roman"/>
          <w:color w:val="000000" w:themeColor="text1"/>
          <w:kern w:val="2"/>
          <w:sz w:val="28"/>
          <w:szCs w:val="28"/>
          <w:highlight w:val="none"/>
          <w:lang w:val="en-US" w:eastAsia="zh-CN" w:bidi="ar-SA"/>
          <w14:textFill>
            <w14:solidFill>
              <w14:schemeClr w14:val="tx1"/>
            </w14:solidFill>
          </w14:textFill>
        </w:rPr>
      </w:pPr>
      <w:r>
        <w:rPr>
          <w:rFonts w:hint="eastAsia" w:ascii="宋体" w:hAnsi="宋体" w:cs="Times New Roman"/>
          <w:color w:val="000000" w:themeColor="text1"/>
          <w:kern w:val="2"/>
          <w:sz w:val="28"/>
          <w:szCs w:val="28"/>
          <w:highlight w:val="none"/>
          <w:lang w:val="en-US" w:eastAsia="zh-CN" w:bidi="ar-SA"/>
          <w14:textFill>
            <w14:solidFill>
              <w14:schemeClr w14:val="tx1"/>
            </w14:solidFill>
          </w14:textFill>
        </w:rPr>
        <w:t>2.降低事故灾害的设施、设备</w:t>
      </w:r>
    </w:p>
    <w:p w14:paraId="4862EA7A">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降低事故灾害的设施、设备见下表：</w:t>
      </w:r>
    </w:p>
    <w:p w14:paraId="59718708">
      <w:pPr>
        <w:pStyle w:val="8"/>
        <w:bidi w:val="0"/>
        <w:rPr>
          <w:color w:val="000000" w:themeColor="text1"/>
          <w14:textFill>
            <w14:solidFill>
              <w14:schemeClr w14:val="tx1"/>
            </w14:solidFill>
          </w14:textFill>
        </w:rPr>
      </w:pPr>
      <w:r>
        <w:rPr>
          <w:color w:val="000000" w:themeColor="text1"/>
          <w14:textFill>
            <w14:solidFill>
              <w14:schemeClr w14:val="tx1"/>
            </w14:solidFill>
          </w14:textFill>
        </w:rPr>
        <w:t>表</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5.3</w:t>
      </w:r>
      <w:r>
        <w:rPr>
          <w:color w:val="000000" w:themeColor="text1"/>
          <w14:textFill>
            <w14:solidFill>
              <w14:schemeClr w14:val="tx1"/>
            </w14:solidFill>
          </w14:textFill>
        </w:rPr>
        <w:t>降低事故灾害设施、设备表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11"/>
        <w:gridCol w:w="717"/>
        <w:gridCol w:w="4005"/>
        <w:gridCol w:w="985"/>
      </w:tblGrid>
      <w:tr w14:paraId="5A0AB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4"/>
            <w:noWrap w:val="0"/>
            <w:vAlign w:val="center"/>
          </w:tcPr>
          <w:p w14:paraId="71C4E691">
            <w:pPr>
              <w:pStyle w:val="30"/>
              <w:keepNext w:val="0"/>
              <w:keepLines w:val="0"/>
              <w:pageBreakBefore w:val="0"/>
              <w:widowControl w:val="0"/>
              <w:kinsoku/>
              <w:bidi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预防事故措施</w:t>
            </w:r>
          </w:p>
        </w:tc>
      </w:tr>
      <w:tr w14:paraId="2FDD2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1" w:type="pct"/>
            <w:noWrap w:val="0"/>
            <w:vAlign w:val="center"/>
          </w:tcPr>
          <w:p w14:paraId="0784736F">
            <w:pPr>
              <w:pStyle w:val="30"/>
              <w:keepNext w:val="0"/>
              <w:keepLines w:val="0"/>
              <w:pageBreakBefore w:val="0"/>
              <w:widowControl w:val="0"/>
              <w:kinsoku/>
              <w:bidi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名称</w:t>
            </w:r>
          </w:p>
        </w:tc>
        <w:tc>
          <w:tcPr>
            <w:tcW w:w="393" w:type="pct"/>
            <w:noWrap w:val="0"/>
            <w:vAlign w:val="center"/>
          </w:tcPr>
          <w:p w14:paraId="3D0A7383">
            <w:pPr>
              <w:pStyle w:val="30"/>
              <w:keepNext w:val="0"/>
              <w:keepLines w:val="0"/>
              <w:pageBreakBefore w:val="0"/>
              <w:widowControl w:val="0"/>
              <w:kinsoku/>
              <w:bidi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数量</w:t>
            </w:r>
          </w:p>
        </w:tc>
        <w:tc>
          <w:tcPr>
            <w:tcW w:w="2196" w:type="pct"/>
            <w:noWrap w:val="0"/>
            <w:vAlign w:val="center"/>
          </w:tcPr>
          <w:p w14:paraId="166CBB78">
            <w:pPr>
              <w:pStyle w:val="30"/>
              <w:keepNext w:val="0"/>
              <w:keepLines w:val="0"/>
              <w:pageBreakBefore w:val="0"/>
              <w:widowControl w:val="0"/>
              <w:kinsoku/>
              <w:bidi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安装位置</w:t>
            </w:r>
          </w:p>
        </w:tc>
        <w:tc>
          <w:tcPr>
            <w:tcW w:w="539" w:type="pct"/>
            <w:noWrap w:val="0"/>
            <w:vAlign w:val="center"/>
          </w:tcPr>
          <w:p w14:paraId="763BA5E8">
            <w:pPr>
              <w:pStyle w:val="30"/>
              <w:keepNext w:val="0"/>
              <w:keepLines w:val="0"/>
              <w:pageBreakBefore w:val="0"/>
              <w:widowControl w:val="0"/>
              <w:kinsoku/>
              <w:bidi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备注</w:t>
            </w:r>
          </w:p>
        </w:tc>
      </w:tr>
      <w:tr w14:paraId="1D362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1" w:type="pct"/>
            <w:noWrap w:val="0"/>
            <w:vAlign w:val="center"/>
          </w:tcPr>
          <w:p w14:paraId="13CF4AD8">
            <w:pPr>
              <w:pStyle w:val="30"/>
              <w:keepNext w:val="0"/>
              <w:keepLines w:val="0"/>
              <w:pageBreakBefore w:val="0"/>
              <w:widowControl w:val="0"/>
              <w:kinsoku/>
              <w:bidi w:val="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视频监控系统</w:t>
            </w:r>
          </w:p>
        </w:tc>
        <w:tc>
          <w:tcPr>
            <w:tcW w:w="393" w:type="pct"/>
            <w:noWrap w:val="0"/>
            <w:vAlign w:val="center"/>
          </w:tcPr>
          <w:p w14:paraId="497BA679">
            <w:pPr>
              <w:pStyle w:val="30"/>
              <w:keepNext w:val="0"/>
              <w:keepLines w:val="0"/>
              <w:pageBreakBefore w:val="0"/>
              <w:widowControl w:val="0"/>
              <w:kinsoku/>
              <w:bidi w:val="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r>
              <w:rPr>
                <w:rFonts w:hint="eastAsia"/>
                <w:color w:val="000000" w:themeColor="text1"/>
                <w:sz w:val="21"/>
                <w:szCs w:val="21"/>
                <w14:textFill>
                  <w14:solidFill>
                    <w14:schemeClr w14:val="tx1"/>
                  </w14:solidFill>
                </w14:textFill>
              </w:rPr>
              <w:t>套</w:t>
            </w:r>
          </w:p>
        </w:tc>
        <w:tc>
          <w:tcPr>
            <w:tcW w:w="2196" w:type="pct"/>
            <w:noWrap w:val="0"/>
            <w:vAlign w:val="center"/>
          </w:tcPr>
          <w:p w14:paraId="3F8FC4AD">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auto"/>
              <w:rPr>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 xml:space="preserve">光伏场区每个设置 </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1</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个摄像头，22共</w:t>
            </w:r>
            <w:r>
              <w:rPr>
                <w:rFonts w:hint="eastAsia" w:ascii="宋体" w:hAnsi="宋体" w:eastAsia="宋体" w:cs="宋体"/>
                <w:color w:val="000000" w:themeColor="text1"/>
                <w:kern w:val="0"/>
                <w:sz w:val="21"/>
                <w:szCs w:val="21"/>
                <w:lang w:val="en-US" w:eastAsia="zh-CN" w:bidi="ar"/>
                <w14:textFill>
                  <w14:solidFill>
                    <w14:schemeClr w14:val="tx1"/>
                  </w14:solidFill>
                </w14:textFill>
              </w:rPr>
              <w:t>个。</w:t>
            </w:r>
          </w:p>
        </w:tc>
        <w:tc>
          <w:tcPr>
            <w:tcW w:w="539" w:type="pct"/>
            <w:noWrap w:val="0"/>
            <w:vAlign w:val="center"/>
          </w:tcPr>
          <w:p w14:paraId="1BE80C7A">
            <w:pPr>
              <w:pStyle w:val="30"/>
              <w:keepNext w:val="0"/>
              <w:keepLines w:val="0"/>
              <w:pageBreakBefore w:val="0"/>
              <w:widowControl w:val="0"/>
              <w:kinsoku/>
              <w:bidi w:val="0"/>
              <w:rPr>
                <w:color w:val="000000" w:themeColor="text1"/>
                <w14:textFill>
                  <w14:solidFill>
                    <w14:schemeClr w14:val="tx1"/>
                  </w14:solidFill>
                </w14:textFill>
              </w:rPr>
            </w:pPr>
          </w:p>
        </w:tc>
      </w:tr>
      <w:tr w14:paraId="26AEF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1" w:type="pct"/>
            <w:noWrap w:val="0"/>
            <w:vAlign w:val="center"/>
          </w:tcPr>
          <w:p w14:paraId="6A18F7EE">
            <w:pPr>
              <w:pStyle w:val="30"/>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AGC/AVC</w:t>
            </w:r>
            <w:r>
              <w:rPr>
                <w:color w:val="000000" w:themeColor="text1"/>
                <w14:textFill>
                  <w14:solidFill>
                    <w14:schemeClr w14:val="tx1"/>
                  </w14:solidFill>
                </w14:textFill>
              </w:rPr>
              <w:t>控制系统</w:t>
            </w:r>
          </w:p>
        </w:tc>
        <w:tc>
          <w:tcPr>
            <w:tcW w:w="393" w:type="pct"/>
            <w:noWrap w:val="0"/>
            <w:vAlign w:val="center"/>
          </w:tcPr>
          <w:p w14:paraId="570ADA42">
            <w:pPr>
              <w:pStyle w:val="30"/>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套</w:t>
            </w:r>
          </w:p>
        </w:tc>
        <w:tc>
          <w:tcPr>
            <w:tcW w:w="2196" w:type="pct"/>
            <w:noWrap w:val="0"/>
            <w:vAlign w:val="center"/>
          </w:tcPr>
          <w:p w14:paraId="54B18BE8">
            <w:pPr>
              <w:pStyle w:val="30"/>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各配电室</w:t>
            </w:r>
          </w:p>
        </w:tc>
        <w:tc>
          <w:tcPr>
            <w:tcW w:w="539" w:type="pct"/>
            <w:noWrap w:val="0"/>
            <w:vAlign w:val="center"/>
          </w:tcPr>
          <w:p w14:paraId="67BD2B85">
            <w:pPr>
              <w:pStyle w:val="30"/>
              <w:keepNext w:val="0"/>
              <w:keepLines w:val="0"/>
              <w:pageBreakBefore w:val="0"/>
              <w:widowControl w:val="0"/>
              <w:kinsoku/>
              <w:bidi w:val="0"/>
              <w:rPr>
                <w:color w:val="000000" w:themeColor="text1"/>
                <w14:textFill>
                  <w14:solidFill>
                    <w14:schemeClr w14:val="tx1"/>
                  </w14:solidFill>
                </w14:textFill>
              </w:rPr>
            </w:pPr>
          </w:p>
        </w:tc>
      </w:tr>
      <w:tr w14:paraId="5B043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1" w:type="pct"/>
            <w:noWrap w:val="0"/>
            <w:vAlign w:val="center"/>
          </w:tcPr>
          <w:p w14:paraId="4BF5E06E">
            <w:pPr>
              <w:pStyle w:val="30"/>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35kV无功补偿保护测控装置</w:t>
            </w:r>
          </w:p>
        </w:tc>
        <w:tc>
          <w:tcPr>
            <w:tcW w:w="393" w:type="pct"/>
            <w:noWrap w:val="0"/>
            <w:vAlign w:val="center"/>
          </w:tcPr>
          <w:p w14:paraId="1FF6A16C">
            <w:pPr>
              <w:pStyle w:val="30"/>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1套</w:t>
            </w:r>
          </w:p>
        </w:tc>
        <w:tc>
          <w:tcPr>
            <w:tcW w:w="2196" w:type="pct"/>
            <w:noWrap w:val="0"/>
            <w:vAlign w:val="center"/>
          </w:tcPr>
          <w:p w14:paraId="2668D88D">
            <w:pPr>
              <w:pStyle w:val="30"/>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无功补偿器</w:t>
            </w:r>
          </w:p>
        </w:tc>
        <w:tc>
          <w:tcPr>
            <w:tcW w:w="539" w:type="pct"/>
            <w:noWrap w:val="0"/>
            <w:vAlign w:val="center"/>
          </w:tcPr>
          <w:p w14:paraId="17F3E305">
            <w:pPr>
              <w:pStyle w:val="30"/>
              <w:keepNext w:val="0"/>
              <w:keepLines w:val="0"/>
              <w:pageBreakBefore w:val="0"/>
              <w:widowControl w:val="0"/>
              <w:kinsoku/>
              <w:bidi w:val="0"/>
              <w:rPr>
                <w:color w:val="000000" w:themeColor="text1"/>
                <w14:textFill>
                  <w14:solidFill>
                    <w14:schemeClr w14:val="tx1"/>
                  </w14:solidFill>
                </w14:textFill>
              </w:rPr>
            </w:pPr>
          </w:p>
        </w:tc>
      </w:tr>
      <w:tr w14:paraId="21774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1" w:type="pct"/>
            <w:noWrap w:val="0"/>
            <w:vAlign w:val="center"/>
          </w:tcPr>
          <w:p w14:paraId="7D3C6886">
            <w:pPr>
              <w:pStyle w:val="30"/>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远动通信柜</w:t>
            </w:r>
          </w:p>
        </w:tc>
        <w:tc>
          <w:tcPr>
            <w:tcW w:w="393" w:type="pct"/>
            <w:noWrap w:val="0"/>
            <w:vAlign w:val="center"/>
          </w:tcPr>
          <w:p w14:paraId="7228ACBA">
            <w:pPr>
              <w:pStyle w:val="30"/>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1套</w:t>
            </w:r>
          </w:p>
        </w:tc>
        <w:tc>
          <w:tcPr>
            <w:tcW w:w="2196" w:type="pct"/>
            <w:noWrap w:val="0"/>
            <w:vAlign w:val="center"/>
          </w:tcPr>
          <w:p w14:paraId="1950062D">
            <w:pPr>
              <w:pStyle w:val="30"/>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开关站控制室</w:t>
            </w:r>
          </w:p>
        </w:tc>
        <w:tc>
          <w:tcPr>
            <w:tcW w:w="539" w:type="pct"/>
            <w:noWrap w:val="0"/>
            <w:vAlign w:val="center"/>
          </w:tcPr>
          <w:p w14:paraId="5C2CCFC0">
            <w:pPr>
              <w:pStyle w:val="30"/>
              <w:keepNext w:val="0"/>
              <w:keepLines w:val="0"/>
              <w:pageBreakBefore w:val="0"/>
              <w:widowControl w:val="0"/>
              <w:kinsoku/>
              <w:bidi w:val="0"/>
              <w:rPr>
                <w:color w:val="000000" w:themeColor="text1"/>
                <w14:textFill>
                  <w14:solidFill>
                    <w14:schemeClr w14:val="tx1"/>
                  </w14:solidFill>
                </w14:textFill>
              </w:rPr>
            </w:pPr>
          </w:p>
        </w:tc>
      </w:tr>
      <w:tr w14:paraId="20869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1" w:type="pct"/>
            <w:noWrap w:val="0"/>
            <w:vAlign w:val="center"/>
          </w:tcPr>
          <w:p w14:paraId="19DF2A7B">
            <w:pPr>
              <w:pStyle w:val="30"/>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光伏方阵及逆变器室接地装置</w:t>
            </w:r>
          </w:p>
        </w:tc>
        <w:tc>
          <w:tcPr>
            <w:tcW w:w="393" w:type="pct"/>
            <w:noWrap w:val="0"/>
            <w:vAlign w:val="center"/>
          </w:tcPr>
          <w:p w14:paraId="094CE4CB">
            <w:pPr>
              <w:pStyle w:val="30"/>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1套</w:t>
            </w:r>
          </w:p>
        </w:tc>
        <w:tc>
          <w:tcPr>
            <w:tcW w:w="2196" w:type="pct"/>
            <w:noWrap w:val="0"/>
            <w:vAlign w:val="center"/>
          </w:tcPr>
          <w:p w14:paraId="3EFD4235">
            <w:pPr>
              <w:pStyle w:val="30"/>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光伏方阵区</w:t>
            </w:r>
          </w:p>
        </w:tc>
        <w:tc>
          <w:tcPr>
            <w:tcW w:w="539" w:type="pct"/>
            <w:noWrap w:val="0"/>
            <w:vAlign w:val="center"/>
          </w:tcPr>
          <w:p w14:paraId="160A3C2C">
            <w:pPr>
              <w:pStyle w:val="30"/>
              <w:keepNext w:val="0"/>
              <w:keepLines w:val="0"/>
              <w:pageBreakBefore w:val="0"/>
              <w:widowControl w:val="0"/>
              <w:kinsoku/>
              <w:bidi w:val="0"/>
              <w:rPr>
                <w:color w:val="000000" w:themeColor="text1"/>
                <w14:textFill>
                  <w14:solidFill>
                    <w14:schemeClr w14:val="tx1"/>
                  </w14:solidFill>
                </w14:textFill>
              </w:rPr>
            </w:pPr>
          </w:p>
        </w:tc>
      </w:tr>
      <w:tr w14:paraId="7DEDE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1" w:type="pct"/>
            <w:noWrap w:val="0"/>
            <w:vAlign w:val="center"/>
          </w:tcPr>
          <w:p w14:paraId="1AC9450D">
            <w:pPr>
              <w:pStyle w:val="30"/>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作业平台、楼梯防护栏</w:t>
            </w:r>
          </w:p>
        </w:tc>
        <w:tc>
          <w:tcPr>
            <w:tcW w:w="393" w:type="pct"/>
            <w:noWrap w:val="0"/>
            <w:vAlign w:val="center"/>
          </w:tcPr>
          <w:p w14:paraId="32D7A091">
            <w:pPr>
              <w:pStyle w:val="30"/>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若干</w:t>
            </w:r>
          </w:p>
        </w:tc>
        <w:tc>
          <w:tcPr>
            <w:tcW w:w="2196" w:type="pct"/>
            <w:noWrap w:val="0"/>
            <w:vAlign w:val="center"/>
          </w:tcPr>
          <w:p w14:paraId="2EB1294C">
            <w:pPr>
              <w:pStyle w:val="30"/>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各作业平台、楼梯等处</w:t>
            </w:r>
          </w:p>
        </w:tc>
        <w:tc>
          <w:tcPr>
            <w:tcW w:w="539" w:type="pct"/>
            <w:noWrap w:val="0"/>
            <w:vAlign w:val="center"/>
          </w:tcPr>
          <w:p w14:paraId="76F7A1FF">
            <w:pPr>
              <w:pStyle w:val="30"/>
              <w:keepNext w:val="0"/>
              <w:keepLines w:val="0"/>
              <w:pageBreakBefore w:val="0"/>
              <w:widowControl w:val="0"/>
              <w:kinsoku/>
              <w:bidi w:val="0"/>
              <w:rPr>
                <w:color w:val="000000" w:themeColor="text1"/>
                <w14:textFill>
                  <w14:solidFill>
                    <w14:schemeClr w14:val="tx1"/>
                  </w14:solidFill>
                </w14:textFill>
              </w:rPr>
            </w:pPr>
          </w:p>
        </w:tc>
      </w:tr>
      <w:tr w14:paraId="29E01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1" w:type="pct"/>
            <w:noWrap w:val="0"/>
            <w:vAlign w:val="center"/>
          </w:tcPr>
          <w:p w14:paraId="64C1894B">
            <w:pPr>
              <w:pStyle w:val="30"/>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接地装置</w:t>
            </w:r>
          </w:p>
        </w:tc>
        <w:tc>
          <w:tcPr>
            <w:tcW w:w="393" w:type="pct"/>
            <w:noWrap w:val="0"/>
            <w:vAlign w:val="center"/>
          </w:tcPr>
          <w:p w14:paraId="198DE372">
            <w:pPr>
              <w:pStyle w:val="30"/>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1套</w:t>
            </w:r>
          </w:p>
        </w:tc>
        <w:tc>
          <w:tcPr>
            <w:tcW w:w="2196" w:type="pct"/>
            <w:noWrap w:val="0"/>
            <w:vAlign w:val="center"/>
          </w:tcPr>
          <w:p w14:paraId="20308E32">
            <w:pPr>
              <w:pStyle w:val="30"/>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各电器设备</w:t>
            </w:r>
          </w:p>
        </w:tc>
        <w:tc>
          <w:tcPr>
            <w:tcW w:w="539" w:type="pct"/>
            <w:noWrap w:val="0"/>
            <w:vAlign w:val="center"/>
          </w:tcPr>
          <w:p w14:paraId="0F8887DD">
            <w:pPr>
              <w:pStyle w:val="30"/>
              <w:keepNext w:val="0"/>
              <w:keepLines w:val="0"/>
              <w:pageBreakBefore w:val="0"/>
              <w:widowControl w:val="0"/>
              <w:kinsoku/>
              <w:bidi w:val="0"/>
              <w:rPr>
                <w:color w:val="000000" w:themeColor="text1"/>
                <w14:textFill>
                  <w14:solidFill>
                    <w14:schemeClr w14:val="tx1"/>
                  </w14:solidFill>
                </w14:textFill>
              </w:rPr>
            </w:pPr>
          </w:p>
        </w:tc>
      </w:tr>
      <w:tr w14:paraId="3872D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1" w:type="pct"/>
            <w:noWrap w:val="0"/>
            <w:vAlign w:val="center"/>
          </w:tcPr>
          <w:p w14:paraId="6CDA81B6">
            <w:pPr>
              <w:pStyle w:val="30"/>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避雷系统</w:t>
            </w:r>
          </w:p>
        </w:tc>
        <w:tc>
          <w:tcPr>
            <w:tcW w:w="393" w:type="pct"/>
            <w:noWrap w:val="0"/>
            <w:vAlign w:val="center"/>
          </w:tcPr>
          <w:p w14:paraId="2BC1DA93">
            <w:pPr>
              <w:pStyle w:val="30"/>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1套</w:t>
            </w:r>
          </w:p>
        </w:tc>
        <w:tc>
          <w:tcPr>
            <w:tcW w:w="2196" w:type="pct"/>
            <w:noWrap w:val="0"/>
            <w:vAlign w:val="center"/>
          </w:tcPr>
          <w:p w14:paraId="1AEAD689">
            <w:pPr>
              <w:pStyle w:val="30"/>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厂区内各建（构）筑物及电器设备</w:t>
            </w:r>
          </w:p>
        </w:tc>
        <w:tc>
          <w:tcPr>
            <w:tcW w:w="539" w:type="pct"/>
            <w:noWrap w:val="0"/>
            <w:vAlign w:val="center"/>
          </w:tcPr>
          <w:p w14:paraId="144408C9">
            <w:pPr>
              <w:pStyle w:val="30"/>
              <w:keepNext w:val="0"/>
              <w:keepLines w:val="0"/>
              <w:pageBreakBefore w:val="0"/>
              <w:widowControl w:val="0"/>
              <w:kinsoku/>
              <w:bidi w:val="0"/>
              <w:rPr>
                <w:color w:val="000000" w:themeColor="text1"/>
                <w14:textFill>
                  <w14:solidFill>
                    <w14:schemeClr w14:val="tx1"/>
                  </w14:solidFill>
                </w14:textFill>
              </w:rPr>
            </w:pPr>
          </w:p>
        </w:tc>
      </w:tr>
      <w:tr w14:paraId="3CF58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1" w:type="pct"/>
            <w:noWrap w:val="0"/>
            <w:vAlign w:val="center"/>
          </w:tcPr>
          <w:p w14:paraId="7A6D1DA7">
            <w:pPr>
              <w:pStyle w:val="30"/>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安全防护罩</w:t>
            </w:r>
          </w:p>
        </w:tc>
        <w:tc>
          <w:tcPr>
            <w:tcW w:w="393" w:type="pct"/>
            <w:noWrap w:val="0"/>
            <w:vAlign w:val="center"/>
          </w:tcPr>
          <w:p w14:paraId="4841FD72">
            <w:pPr>
              <w:pStyle w:val="30"/>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若干</w:t>
            </w:r>
          </w:p>
        </w:tc>
        <w:tc>
          <w:tcPr>
            <w:tcW w:w="2196" w:type="pct"/>
            <w:noWrap w:val="0"/>
            <w:vAlign w:val="center"/>
          </w:tcPr>
          <w:p w14:paraId="6F7AAC6F">
            <w:pPr>
              <w:pStyle w:val="30"/>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val="zh-CN"/>
                <w14:textFill>
                  <w14:solidFill>
                    <w14:schemeClr w14:val="tx1"/>
                  </w14:solidFill>
                </w14:textFill>
              </w:rPr>
              <w:t>转动设备、皮带机</w:t>
            </w:r>
          </w:p>
        </w:tc>
        <w:tc>
          <w:tcPr>
            <w:tcW w:w="539" w:type="pct"/>
            <w:noWrap w:val="0"/>
            <w:vAlign w:val="center"/>
          </w:tcPr>
          <w:p w14:paraId="25481F0E">
            <w:pPr>
              <w:pStyle w:val="30"/>
              <w:keepNext w:val="0"/>
              <w:keepLines w:val="0"/>
              <w:pageBreakBefore w:val="0"/>
              <w:widowControl w:val="0"/>
              <w:kinsoku/>
              <w:bidi w:val="0"/>
              <w:rPr>
                <w:color w:val="000000" w:themeColor="text1"/>
                <w14:textFill>
                  <w14:solidFill>
                    <w14:schemeClr w14:val="tx1"/>
                  </w14:solidFill>
                </w14:textFill>
              </w:rPr>
            </w:pPr>
          </w:p>
        </w:tc>
      </w:tr>
      <w:tr w14:paraId="57714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1" w:type="pct"/>
            <w:noWrap w:val="0"/>
            <w:vAlign w:val="center"/>
          </w:tcPr>
          <w:p w14:paraId="47DF3886">
            <w:pPr>
              <w:pStyle w:val="30"/>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安全警示标志</w:t>
            </w:r>
          </w:p>
        </w:tc>
        <w:tc>
          <w:tcPr>
            <w:tcW w:w="393" w:type="pct"/>
            <w:noWrap w:val="0"/>
            <w:vAlign w:val="center"/>
          </w:tcPr>
          <w:p w14:paraId="5F514E51">
            <w:pPr>
              <w:pStyle w:val="30"/>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若干</w:t>
            </w:r>
          </w:p>
        </w:tc>
        <w:tc>
          <w:tcPr>
            <w:tcW w:w="2196" w:type="pct"/>
            <w:noWrap w:val="0"/>
            <w:vAlign w:val="center"/>
          </w:tcPr>
          <w:p w14:paraId="32CB59A0">
            <w:pPr>
              <w:pStyle w:val="30"/>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厂区道路及各生产动</w:t>
            </w:r>
            <w:r>
              <w:rPr>
                <w:rFonts w:hint="eastAsia" w:ascii="宋体" w:hAnsi="宋体" w:eastAsia="宋体" w:cs="宋体"/>
                <w:color w:val="000000" w:themeColor="text1"/>
                <w:lang w:val="en-US" w:eastAsia="zh-CN"/>
                <w14:textFill>
                  <w14:solidFill>
                    <w14:schemeClr w14:val="tx1"/>
                  </w14:solidFill>
                </w14:textFill>
              </w:rPr>
              <w:t>力</w:t>
            </w:r>
            <w:r>
              <w:rPr>
                <w:rFonts w:hint="eastAsia" w:ascii="宋体" w:hAnsi="宋体" w:eastAsia="宋体" w:cs="宋体"/>
                <w:color w:val="000000" w:themeColor="text1"/>
                <w14:textFill>
                  <w14:solidFill>
                    <w14:schemeClr w14:val="tx1"/>
                  </w14:solidFill>
                </w14:textFill>
              </w:rPr>
              <w:t>设备</w:t>
            </w:r>
          </w:p>
        </w:tc>
        <w:tc>
          <w:tcPr>
            <w:tcW w:w="539" w:type="pct"/>
            <w:noWrap w:val="0"/>
            <w:vAlign w:val="center"/>
          </w:tcPr>
          <w:p w14:paraId="4D19B9FB">
            <w:pPr>
              <w:pStyle w:val="30"/>
              <w:keepNext w:val="0"/>
              <w:keepLines w:val="0"/>
              <w:pageBreakBefore w:val="0"/>
              <w:widowControl w:val="0"/>
              <w:kinsoku/>
              <w:bidi w:val="0"/>
              <w:rPr>
                <w:color w:val="000000" w:themeColor="text1"/>
                <w14:textFill>
                  <w14:solidFill>
                    <w14:schemeClr w14:val="tx1"/>
                  </w14:solidFill>
                </w14:textFill>
              </w:rPr>
            </w:pPr>
          </w:p>
        </w:tc>
      </w:tr>
      <w:tr w14:paraId="698DA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4"/>
            <w:noWrap w:val="0"/>
            <w:vAlign w:val="center"/>
          </w:tcPr>
          <w:p w14:paraId="43902A70">
            <w:pPr>
              <w:pStyle w:val="30"/>
              <w:keepNext w:val="0"/>
              <w:keepLines w:val="0"/>
              <w:pageBreakBefore w:val="0"/>
              <w:widowControl w:val="0"/>
              <w:kinsoku/>
              <w:bidi w:val="0"/>
              <w:rPr>
                <w:color w:val="000000" w:themeColor="text1"/>
                <w14:textFill>
                  <w14:solidFill>
                    <w14:schemeClr w14:val="tx1"/>
                  </w14:solidFill>
                </w14:textFill>
              </w:rPr>
            </w:pPr>
            <w:r>
              <w:rPr>
                <w:rFonts w:hint="eastAsia"/>
                <w:b/>
                <w:bCs/>
                <w:color w:val="000000" w:themeColor="text1"/>
                <w14:textFill>
                  <w14:solidFill>
                    <w14:schemeClr w14:val="tx1"/>
                  </w14:solidFill>
                </w14:textFill>
              </w:rPr>
              <w:t>控制事故措施</w:t>
            </w:r>
          </w:p>
        </w:tc>
      </w:tr>
      <w:tr w14:paraId="5EC5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1" w:type="pct"/>
            <w:noWrap w:val="0"/>
            <w:vAlign w:val="center"/>
          </w:tcPr>
          <w:p w14:paraId="49B31186">
            <w:pPr>
              <w:pStyle w:val="30"/>
              <w:keepNext w:val="0"/>
              <w:keepLines w:val="0"/>
              <w:pageBreakBefore w:val="0"/>
              <w:widowControl w:val="0"/>
              <w:kinsoku/>
              <w:bidi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名称</w:t>
            </w:r>
          </w:p>
        </w:tc>
        <w:tc>
          <w:tcPr>
            <w:tcW w:w="393" w:type="pct"/>
            <w:noWrap w:val="0"/>
            <w:vAlign w:val="center"/>
          </w:tcPr>
          <w:p w14:paraId="7BBF0F72">
            <w:pPr>
              <w:pStyle w:val="30"/>
              <w:keepNext w:val="0"/>
              <w:keepLines w:val="0"/>
              <w:pageBreakBefore w:val="0"/>
              <w:widowControl w:val="0"/>
              <w:kinsoku/>
              <w:bidi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数量</w:t>
            </w:r>
          </w:p>
        </w:tc>
        <w:tc>
          <w:tcPr>
            <w:tcW w:w="2196" w:type="pct"/>
            <w:noWrap w:val="0"/>
            <w:vAlign w:val="center"/>
          </w:tcPr>
          <w:p w14:paraId="79B75F9C">
            <w:pPr>
              <w:pStyle w:val="30"/>
              <w:keepNext w:val="0"/>
              <w:keepLines w:val="0"/>
              <w:pageBreakBefore w:val="0"/>
              <w:widowControl w:val="0"/>
              <w:kinsoku/>
              <w:bidi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安装位置</w:t>
            </w:r>
          </w:p>
        </w:tc>
        <w:tc>
          <w:tcPr>
            <w:tcW w:w="539" w:type="pct"/>
            <w:noWrap w:val="0"/>
            <w:vAlign w:val="center"/>
          </w:tcPr>
          <w:p w14:paraId="2DACB2FA">
            <w:pPr>
              <w:pStyle w:val="30"/>
              <w:keepNext w:val="0"/>
              <w:keepLines w:val="0"/>
              <w:pageBreakBefore w:val="0"/>
              <w:widowControl w:val="0"/>
              <w:kinsoku/>
              <w:bidi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备注</w:t>
            </w:r>
          </w:p>
        </w:tc>
      </w:tr>
      <w:tr w14:paraId="317D0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1" w:type="pct"/>
            <w:noWrap w:val="0"/>
            <w:vAlign w:val="center"/>
          </w:tcPr>
          <w:p w14:paraId="5C069612">
            <w:pPr>
              <w:pStyle w:val="30"/>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疏散标志及应急照明</w:t>
            </w:r>
          </w:p>
        </w:tc>
        <w:tc>
          <w:tcPr>
            <w:tcW w:w="393" w:type="pct"/>
            <w:noWrap w:val="0"/>
            <w:vAlign w:val="center"/>
          </w:tcPr>
          <w:p w14:paraId="59444BD7">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若干</w:t>
            </w:r>
          </w:p>
        </w:tc>
        <w:tc>
          <w:tcPr>
            <w:tcW w:w="2196" w:type="pct"/>
            <w:noWrap w:val="0"/>
            <w:vAlign w:val="center"/>
          </w:tcPr>
          <w:p w14:paraId="7D4D5D68">
            <w:pPr>
              <w:pStyle w:val="30"/>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厂区</w:t>
            </w:r>
          </w:p>
        </w:tc>
        <w:tc>
          <w:tcPr>
            <w:tcW w:w="539" w:type="pct"/>
            <w:noWrap w:val="0"/>
            <w:vAlign w:val="center"/>
          </w:tcPr>
          <w:p w14:paraId="367B5F58">
            <w:pPr>
              <w:pStyle w:val="30"/>
              <w:keepNext w:val="0"/>
              <w:keepLines w:val="0"/>
              <w:pageBreakBefore w:val="0"/>
              <w:widowControl w:val="0"/>
              <w:kinsoku/>
              <w:bidi w:val="0"/>
              <w:rPr>
                <w:color w:val="000000" w:themeColor="text1"/>
                <w14:textFill>
                  <w14:solidFill>
                    <w14:schemeClr w14:val="tx1"/>
                  </w14:solidFill>
                </w14:textFill>
              </w:rPr>
            </w:pPr>
          </w:p>
        </w:tc>
      </w:tr>
      <w:tr w14:paraId="61465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1" w:type="pct"/>
            <w:noWrap w:val="0"/>
            <w:vAlign w:val="center"/>
          </w:tcPr>
          <w:p w14:paraId="1DAB5958">
            <w:pPr>
              <w:pStyle w:val="30"/>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事故警铃</w:t>
            </w:r>
          </w:p>
        </w:tc>
        <w:tc>
          <w:tcPr>
            <w:tcW w:w="393" w:type="pct"/>
            <w:noWrap w:val="0"/>
            <w:vAlign w:val="center"/>
          </w:tcPr>
          <w:p w14:paraId="71899075">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4只</w:t>
            </w:r>
          </w:p>
        </w:tc>
        <w:tc>
          <w:tcPr>
            <w:tcW w:w="2196" w:type="pct"/>
            <w:noWrap w:val="0"/>
            <w:vAlign w:val="center"/>
          </w:tcPr>
          <w:p w14:paraId="0BAB94B7">
            <w:pPr>
              <w:pStyle w:val="30"/>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539" w:type="pct"/>
            <w:noWrap w:val="0"/>
            <w:vAlign w:val="center"/>
          </w:tcPr>
          <w:p w14:paraId="349720D9">
            <w:pPr>
              <w:pStyle w:val="30"/>
              <w:keepNext w:val="0"/>
              <w:keepLines w:val="0"/>
              <w:pageBreakBefore w:val="0"/>
              <w:widowControl w:val="0"/>
              <w:kinsoku/>
              <w:bidi w:val="0"/>
              <w:rPr>
                <w:color w:val="000000" w:themeColor="text1"/>
                <w14:textFill>
                  <w14:solidFill>
                    <w14:schemeClr w14:val="tx1"/>
                  </w14:solidFill>
                </w14:textFill>
              </w:rPr>
            </w:pPr>
          </w:p>
        </w:tc>
      </w:tr>
      <w:tr w14:paraId="559C2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1" w:type="pct"/>
            <w:noWrap w:val="0"/>
            <w:vAlign w:val="center"/>
          </w:tcPr>
          <w:p w14:paraId="71111BD3">
            <w:pPr>
              <w:pStyle w:val="30"/>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绝缘杆</w:t>
            </w:r>
          </w:p>
        </w:tc>
        <w:tc>
          <w:tcPr>
            <w:tcW w:w="393" w:type="pct"/>
            <w:noWrap w:val="0"/>
            <w:vAlign w:val="center"/>
          </w:tcPr>
          <w:p w14:paraId="1432E993">
            <w:pPr>
              <w:pStyle w:val="30"/>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2只</w:t>
            </w:r>
          </w:p>
        </w:tc>
        <w:tc>
          <w:tcPr>
            <w:tcW w:w="2196" w:type="pct"/>
            <w:noWrap w:val="0"/>
            <w:vAlign w:val="center"/>
          </w:tcPr>
          <w:p w14:paraId="2F2824C8">
            <w:pPr>
              <w:pStyle w:val="30"/>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各电器设备</w:t>
            </w:r>
          </w:p>
        </w:tc>
        <w:tc>
          <w:tcPr>
            <w:tcW w:w="539" w:type="pct"/>
            <w:noWrap w:val="0"/>
            <w:vAlign w:val="center"/>
          </w:tcPr>
          <w:p w14:paraId="32A1C5A9">
            <w:pPr>
              <w:pStyle w:val="30"/>
              <w:keepNext w:val="0"/>
              <w:keepLines w:val="0"/>
              <w:pageBreakBefore w:val="0"/>
              <w:widowControl w:val="0"/>
              <w:kinsoku/>
              <w:bidi w:val="0"/>
              <w:rPr>
                <w:color w:val="000000" w:themeColor="text1"/>
                <w14:textFill>
                  <w14:solidFill>
                    <w14:schemeClr w14:val="tx1"/>
                  </w14:solidFill>
                </w14:textFill>
              </w:rPr>
            </w:pPr>
          </w:p>
        </w:tc>
      </w:tr>
      <w:tr w14:paraId="61A73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4"/>
            <w:noWrap w:val="0"/>
            <w:vAlign w:val="center"/>
          </w:tcPr>
          <w:p w14:paraId="2C52F5AE">
            <w:pPr>
              <w:pStyle w:val="30"/>
              <w:keepNext w:val="0"/>
              <w:keepLines w:val="0"/>
              <w:pageBreakBefore w:val="0"/>
              <w:widowControl w:val="0"/>
              <w:kinsoku/>
              <w:bidi w:val="0"/>
              <w:rPr>
                <w:color w:val="000000" w:themeColor="text1"/>
                <w14:textFill>
                  <w14:solidFill>
                    <w14:schemeClr w14:val="tx1"/>
                  </w14:solidFill>
                </w14:textFill>
              </w:rPr>
            </w:pPr>
            <w:r>
              <w:rPr>
                <w:rFonts w:hint="eastAsia"/>
                <w:b/>
                <w:bCs/>
                <w:color w:val="000000" w:themeColor="text1"/>
                <w14:textFill>
                  <w14:solidFill>
                    <w14:schemeClr w14:val="tx1"/>
                  </w14:solidFill>
                </w14:textFill>
              </w:rPr>
              <w:t>减少和消除事故影响设施</w:t>
            </w:r>
          </w:p>
        </w:tc>
      </w:tr>
      <w:tr w14:paraId="175EC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1" w:type="pct"/>
            <w:noWrap w:val="0"/>
            <w:vAlign w:val="center"/>
          </w:tcPr>
          <w:p w14:paraId="3A520312">
            <w:pPr>
              <w:pStyle w:val="30"/>
              <w:keepNext w:val="0"/>
              <w:keepLines w:val="0"/>
              <w:pageBreakBefore w:val="0"/>
              <w:widowControl w:val="0"/>
              <w:kinsoku/>
              <w:bidi w:val="0"/>
              <w:ind w:left="0" w:leftChars="0" w:right="0" w:rightChars="0" w:firstLine="0" w:firstLineChars="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名称</w:t>
            </w:r>
          </w:p>
        </w:tc>
        <w:tc>
          <w:tcPr>
            <w:tcW w:w="393" w:type="pct"/>
            <w:noWrap w:val="0"/>
            <w:vAlign w:val="center"/>
          </w:tcPr>
          <w:p w14:paraId="4437803A">
            <w:pPr>
              <w:pStyle w:val="30"/>
              <w:keepNext w:val="0"/>
              <w:keepLines w:val="0"/>
              <w:pageBreakBefore w:val="0"/>
              <w:widowControl w:val="0"/>
              <w:kinsoku/>
              <w:bidi w:val="0"/>
              <w:ind w:left="0" w:leftChars="0" w:right="0" w:rightChars="0" w:firstLine="0" w:firstLineChars="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数量</w:t>
            </w:r>
          </w:p>
        </w:tc>
        <w:tc>
          <w:tcPr>
            <w:tcW w:w="2196" w:type="pct"/>
            <w:noWrap w:val="0"/>
            <w:vAlign w:val="center"/>
          </w:tcPr>
          <w:p w14:paraId="0BC99AAB">
            <w:pPr>
              <w:pStyle w:val="30"/>
              <w:keepNext w:val="0"/>
              <w:keepLines w:val="0"/>
              <w:pageBreakBefore w:val="0"/>
              <w:widowControl w:val="0"/>
              <w:kinsoku/>
              <w:bidi w:val="0"/>
              <w:ind w:left="0" w:leftChars="0" w:right="0" w:rightChars="0" w:firstLine="0" w:firstLineChars="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安装位置</w:t>
            </w:r>
          </w:p>
        </w:tc>
        <w:tc>
          <w:tcPr>
            <w:tcW w:w="539" w:type="pct"/>
            <w:noWrap w:val="0"/>
            <w:vAlign w:val="center"/>
          </w:tcPr>
          <w:p w14:paraId="09D478FF">
            <w:pPr>
              <w:pStyle w:val="30"/>
              <w:keepNext w:val="0"/>
              <w:keepLines w:val="0"/>
              <w:pageBreakBefore w:val="0"/>
              <w:widowControl w:val="0"/>
              <w:kinsoku/>
              <w:bidi w:val="0"/>
              <w:rPr>
                <w:color w:val="000000" w:themeColor="text1"/>
                <w14:textFill>
                  <w14:solidFill>
                    <w14:schemeClr w14:val="tx1"/>
                  </w14:solidFill>
                </w14:textFill>
              </w:rPr>
            </w:pPr>
            <w:r>
              <w:rPr>
                <w:rFonts w:hint="eastAsia"/>
                <w:b/>
                <w:bCs/>
                <w:color w:val="000000" w:themeColor="text1"/>
                <w14:textFill>
                  <w14:solidFill>
                    <w14:schemeClr w14:val="tx1"/>
                  </w14:solidFill>
                </w14:textFill>
              </w:rPr>
              <w:t>备注</w:t>
            </w:r>
          </w:p>
        </w:tc>
      </w:tr>
      <w:tr w14:paraId="5C1BA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1" w:type="pct"/>
            <w:noWrap w:val="0"/>
            <w:vAlign w:val="center"/>
          </w:tcPr>
          <w:p w14:paraId="12F6E2FE">
            <w:pPr>
              <w:pStyle w:val="30"/>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手提式干粉灭火器</w:t>
            </w:r>
          </w:p>
        </w:tc>
        <w:tc>
          <w:tcPr>
            <w:tcW w:w="393" w:type="pct"/>
            <w:noWrap w:val="0"/>
            <w:vAlign w:val="center"/>
          </w:tcPr>
          <w:p w14:paraId="533B7332">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若干</w:t>
            </w:r>
          </w:p>
        </w:tc>
        <w:tc>
          <w:tcPr>
            <w:tcW w:w="2196" w:type="pct"/>
            <w:noWrap w:val="0"/>
            <w:vAlign w:val="center"/>
          </w:tcPr>
          <w:p w14:paraId="1DE37F47">
            <w:pPr>
              <w:pStyle w:val="30"/>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35KV配电室、控制室、继保室、无功补偿设备</w:t>
            </w:r>
          </w:p>
        </w:tc>
        <w:tc>
          <w:tcPr>
            <w:tcW w:w="539" w:type="pct"/>
            <w:noWrap w:val="0"/>
            <w:vAlign w:val="center"/>
          </w:tcPr>
          <w:p w14:paraId="3253A13E">
            <w:pPr>
              <w:pStyle w:val="30"/>
              <w:keepNext w:val="0"/>
              <w:keepLines w:val="0"/>
              <w:pageBreakBefore w:val="0"/>
              <w:widowControl w:val="0"/>
              <w:kinsoku/>
              <w:bidi w:val="0"/>
              <w:rPr>
                <w:color w:val="000000" w:themeColor="text1"/>
                <w14:textFill>
                  <w14:solidFill>
                    <w14:schemeClr w14:val="tx1"/>
                  </w14:solidFill>
                </w14:textFill>
              </w:rPr>
            </w:pPr>
          </w:p>
        </w:tc>
      </w:tr>
      <w:tr w14:paraId="77E07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1" w:type="pct"/>
            <w:noWrap w:val="0"/>
            <w:vAlign w:val="center"/>
          </w:tcPr>
          <w:p w14:paraId="7D156F2A">
            <w:pPr>
              <w:pStyle w:val="30"/>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MT7二氧化碳灭火器</w:t>
            </w:r>
          </w:p>
        </w:tc>
        <w:tc>
          <w:tcPr>
            <w:tcW w:w="393" w:type="pct"/>
            <w:noWrap w:val="0"/>
            <w:vAlign w:val="center"/>
          </w:tcPr>
          <w:p w14:paraId="0A7ADC85">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2具</w:t>
            </w:r>
          </w:p>
        </w:tc>
        <w:tc>
          <w:tcPr>
            <w:tcW w:w="2196" w:type="pct"/>
            <w:noWrap w:val="0"/>
            <w:vAlign w:val="center"/>
          </w:tcPr>
          <w:p w14:paraId="31EC547E">
            <w:pPr>
              <w:pStyle w:val="30"/>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35KV配电室、GIS室、无功功率</w:t>
            </w:r>
          </w:p>
        </w:tc>
        <w:tc>
          <w:tcPr>
            <w:tcW w:w="539" w:type="pct"/>
            <w:noWrap w:val="0"/>
            <w:vAlign w:val="center"/>
          </w:tcPr>
          <w:p w14:paraId="6E3F1FDB">
            <w:pPr>
              <w:pStyle w:val="30"/>
              <w:keepNext w:val="0"/>
              <w:keepLines w:val="0"/>
              <w:pageBreakBefore w:val="0"/>
              <w:widowControl w:val="0"/>
              <w:kinsoku/>
              <w:bidi w:val="0"/>
              <w:rPr>
                <w:color w:val="000000" w:themeColor="text1"/>
                <w14:textFill>
                  <w14:solidFill>
                    <w14:schemeClr w14:val="tx1"/>
                  </w14:solidFill>
                </w14:textFill>
              </w:rPr>
            </w:pPr>
          </w:p>
        </w:tc>
      </w:tr>
      <w:tr w14:paraId="3C840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1" w:type="pct"/>
            <w:noWrap w:val="0"/>
            <w:vAlign w:val="center"/>
          </w:tcPr>
          <w:p w14:paraId="47D1BE04">
            <w:pPr>
              <w:pStyle w:val="30"/>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担架</w:t>
            </w:r>
          </w:p>
        </w:tc>
        <w:tc>
          <w:tcPr>
            <w:tcW w:w="393" w:type="pct"/>
            <w:noWrap w:val="0"/>
            <w:vAlign w:val="center"/>
          </w:tcPr>
          <w:p w14:paraId="151AE093">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t>具</w:t>
            </w:r>
          </w:p>
        </w:tc>
        <w:tc>
          <w:tcPr>
            <w:tcW w:w="2196" w:type="pct"/>
            <w:noWrap w:val="0"/>
            <w:vAlign w:val="center"/>
          </w:tcPr>
          <w:p w14:paraId="7AC165F5">
            <w:pPr>
              <w:pStyle w:val="30"/>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厂区应急</w:t>
            </w:r>
            <w:r>
              <w:rPr>
                <w:color w:val="000000" w:themeColor="text1"/>
                <w14:textFill>
                  <w14:solidFill>
                    <w14:schemeClr w14:val="tx1"/>
                  </w14:solidFill>
                </w14:textFill>
              </w:rPr>
              <w:t>救援</w:t>
            </w:r>
            <w:r>
              <w:rPr>
                <w:rFonts w:hint="eastAsia"/>
                <w:color w:val="000000" w:themeColor="text1"/>
                <w14:textFill>
                  <w14:solidFill>
                    <w14:schemeClr w14:val="tx1"/>
                  </w14:solidFill>
                </w14:textFill>
              </w:rPr>
              <w:t>器材</w:t>
            </w:r>
            <w:r>
              <w:rPr>
                <w:color w:val="000000" w:themeColor="text1"/>
                <w14:textFill>
                  <w14:solidFill>
                    <w14:schemeClr w14:val="tx1"/>
                  </w14:solidFill>
                </w14:textFill>
              </w:rPr>
              <w:t>室</w:t>
            </w:r>
          </w:p>
        </w:tc>
        <w:tc>
          <w:tcPr>
            <w:tcW w:w="539" w:type="pct"/>
            <w:noWrap w:val="0"/>
            <w:vAlign w:val="center"/>
          </w:tcPr>
          <w:p w14:paraId="20793961">
            <w:pPr>
              <w:pStyle w:val="30"/>
              <w:keepNext w:val="0"/>
              <w:keepLines w:val="0"/>
              <w:pageBreakBefore w:val="0"/>
              <w:widowControl w:val="0"/>
              <w:kinsoku/>
              <w:bidi w:val="0"/>
              <w:rPr>
                <w:color w:val="000000" w:themeColor="text1"/>
                <w14:textFill>
                  <w14:solidFill>
                    <w14:schemeClr w14:val="tx1"/>
                  </w14:solidFill>
                </w14:textFill>
              </w:rPr>
            </w:pPr>
          </w:p>
        </w:tc>
      </w:tr>
      <w:tr w14:paraId="36A1E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1" w:type="pct"/>
            <w:noWrap w:val="0"/>
            <w:vAlign w:val="center"/>
          </w:tcPr>
          <w:p w14:paraId="68D187D8">
            <w:pPr>
              <w:pStyle w:val="30"/>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工作服、口罩、手套</w:t>
            </w:r>
          </w:p>
        </w:tc>
        <w:tc>
          <w:tcPr>
            <w:tcW w:w="393" w:type="pct"/>
            <w:noWrap w:val="0"/>
            <w:vAlign w:val="center"/>
          </w:tcPr>
          <w:p w14:paraId="00B595D2">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若干</w:t>
            </w:r>
          </w:p>
        </w:tc>
        <w:tc>
          <w:tcPr>
            <w:tcW w:w="2196" w:type="pct"/>
            <w:noWrap w:val="0"/>
            <w:vAlign w:val="center"/>
          </w:tcPr>
          <w:p w14:paraId="23DF7E76">
            <w:pPr>
              <w:pStyle w:val="30"/>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定时发放</w:t>
            </w:r>
          </w:p>
        </w:tc>
        <w:tc>
          <w:tcPr>
            <w:tcW w:w="539" w:type="pct"/>
            <w:noWrap w:val="0"/>
            <w:vAlign w:val="center"/>
          </w:tcPr>
          <w:p w14:paraId="198F38D4">
            <w:pPr>
              <w:pStyle w:val="30"/>
              <w:keepNext w:val="0"/>
              <w:keepLines w:val="0"/>
              <w:pageBreakBefore w:val="0"/>
              <w:widowControl w:val="0"/>
              <w:kinsoku/>
              <w:bidi w:val="0"/>
              <w:rPr>
                <w:color w:val="000000" w:themeColor="text1"/>
                <w14:textFill>
                  <w14:solidFill>
                    <w14:schemeClr w14:val="tx1"/>
                  </w14:solidFill>
                </w14:textFill>
              </w:rPr>
            </w:pPr>
          </w:p>
        </w:tc>
      </w:tr>
    </w:tbl>
    <w:p w14:paraId="6E28644F">
      <w:pPr>
        <w:pStyle w:val="4"/>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lang w:val="en-US" w:eastAsia="zh-CN"/>
          <w14:textFill>
            <w14:solidFill>
              <w14:schemeClr w14:val="tx1"/>
            </w14:solidFill>
          </w14:textFill>
        </w:rPr>
      </w:pPr>
      <w:bookmarkStart w:id="219" w:name="_Toc25361"/>
      <w:r>
        <w:rPr>
          <w:rFonts w:hint="eastAsia" w:ascii="宋体" w:hAnsi="宋体" w:eastAsia="宋体" w:cs="宋体"/>
          <w:b/>
          <w:bCs w:val="0"/>
          <w:color w:val="000000" w:themeColor="text1"/>
          <w:sz w:val="30"/>
          <w:szCs w:val="30"/>
          <w:lang w:val="en-US" w:eastAsia="zh-CN"/>
          <w14:textFill>
            <w14:solidFill>
              <w14:schemeClr w14:val="tx1"/>
            </w14:solidFill>
          </w14:textFill>
        </w:rPr>
        <w:t>2.5.7</w:t>
      </w:r>
      <w:bookmarkStart w:id="220" w:name="_Toc9805"/>
      <w:r>
        <w:rPr>
          <w:rFonts w:hint="eastAsia" w:ascii="宋体" w:hAnsi="宋体" w:eastAsia="宋体" w:cs="宋体"/>
          <w:b/>
          <w:bCs w:val="0"/>
          <w:color w:val="000000" w:themeColor="text1"/>
          <w:sz w:val="30"/>
          <w:szCs w:val="30"/>
          <w:lang w:val="en-US" w:eastAsia="zh-CN"/>
          <w14:textFill>
            <w14:solidFill>
              <w14:schemeClr w14:val="tx1"/>
            </w14:solidFill>
          </w14:textFill>
        </w:rPr>
        <w:t>劳动保护</w:t>
      </w:r>
      <w:bookmarkEnd w:id="219"/>
      <w:bookmarkEnd w:id="220"/>
    </w:p>
    <w:p w14:paraId="1CDD407E">
      <w:pPr>
        <w:keepNext w:val="0"/>
        <w:keepLines w:val="0"/>
        <w:pageBreakBefore w:val="0"/>
        <w:widowControl w:val="0"/>
        <w:kinsoku/>
        <w:wordWrap/>
        <w:overflowPunct/>
        <w:topLinePunct w:val="0"/>
        <w:autoSpaceDE/>
        <w:autoSpaceDN/>
        <w:bidi w:val="0"/>
        <w:spacing w:line="420" w:lineRule="exact"/>
        <w:ind w:firstLine="560" w:firstLineChars="200"/>
        <w:textAlignment w:val="auto"/>
        <w:outlineLvl w:val="9"/>
        <w:rPr>
          <w:rFonts w:hint="eastAsia" w:ascii="宋体" w:hAnsi="宋体" w:eastAsia="宋体" w:cs="宋体"/>
          <w:b/>
          <w:bCs w:val="0"/>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kern w:val="2"/>
          <w:sz w:val="28"/>
          <w:szCs w:val="28"/>
          <w:lang w:val="en-US" w:eastAsia="zh-CN" w:bidi="ar-SA"/>
          <w14:textFill>
            <w14:solidFill>
              <w14:schemeClr w14:val="tx1"/>
            </w14:solidFill>
          </w14:textFill>
        </w:rPr>
        <w:t>华能澜沧江（景洪）新能源有限公司依照厂区的作业环境为员工配备了劳动作业防护用品工作服、工作鞋、绝缘鞋、绝缘手套、安全帽等。</w:t>
      </w:r>
    </w:p>
    <w:p w14:paraId="1BE429C1">
      <w:pPr>
        <w:keepNext w:val="0"/>
        <w:keepLines w:val="0"/>
        <w:pageBreakBefore w:val="0"/>
        <w:widowControl/>
        <w:suppressLineNumbers w:val="0"/>
        <w:kinsoku/>
        <w:wordWrap/>
        <w:overflowPunct/>
        <w:topLinePunct w:val="0"/>
        <w:autoSpaceDE/>
        <w:autoSpaceDN/>
        <w:bidi w:val="0"/>
        <w:spacing w:line="420" w:lineRule="exact"/>
        <w:jc w:val="left"/>
        <w:textAlignment w:val="auto"/>
        <w:outlineLvl w:val="2"/>
        <w:rPr>
          <w:rFonts w:hint="default" w:ascii="宋体" w:hAnsi="宋体" w:eastAsia="宋体" w:cs="宋体"/>
          <w:color w:val="000000"/>
          <w:kern w:val="0"/>
          <w:sz w:val="28"/>
          <w:szCs w:val="28"/>
          <w:lang w:val="en-US" w:eastAsia="zh-CN" w:bidi="ar"/>
        </w:rPr>
      </w:pPr>
      <w:bookmarkStart w:id="221" w:name="_Toc31673"/>
      <w:r>
        <w:rPr>
          <w:rFonts w:hint="eastAsia" w:ascii="宋体" w:hAnsi="宋体" w:eastAsia="宋体" w:cs="宋体"/>
          <w:b/>
          <w:bCs w:val="0"/>
          <w:color w:val="000000" w:themeColor="text1"/>
          <w:sz w:val="30"/>
          <w:szCs w:val="30"/>
          <w:lang w:val="en-US" w:eastAsia="zh-CN"/>
          <w14:textFill>
            <w14:solidFill>
              <w14:schemeClr w14:val="tx1"/>
            </w14:solidFill>
          </w14:textFill>
        </w:rPr>
        <w:t>2.5.</w:t>
      </w:r>
      <w:r>
        <w:rPr>
          <w:rFonts w:hint="eastAsia" w:ascii="宋体" w:hAnsi="宋体" w:cs="宋体"/>
          <w:b/>
          <w:bCs w:val="0"/>
          <w:color w:val="000000" w:themeColor="text1"/>
          <w:sz w:val="30"/>
          <w:szCs w:val="30"/>
          <w:lang w:val="en-US" w:eastAsia="zh-CN"/>
          <w14:textFill>
            <w14:solidFill>
              <w14:schemeClr w14:val="tx1"/>
            </w14:solidFill>
          </w14:textFill>
        </w:rPr>
        <w:t>8安全投入</w:t>
      </w:r>
      <w:bookmarkEnd w:id="221"/>
    </w:p>
    <w:p w14:paraId="565296B6">
      <w:pPr>
        <w:keepNext w:val="0"/>
        <w:keepLines w:val="0"/>
        <w:pageBreakBefore w:val="0"/>
        <w:widowControl/>
        <w:suppressLineNumbers w:val="0"/>
        <w:kinsoku/>
        <w:wordWrap/>
        <w:overflowPunct/>
        <w:topLinePunct w:val="0"/>
        <w:autoSpaceDE/>
        <w:autoSpaceDN/>
        <w:bidi w:val="0"/>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项目总投资 </w:t>
      </w:r>
      <w:r>
        <w:rPr>
          <w:rFonts w:hint="default" w:ascii="Times New Roman" w:hAnsi="Times New Roman" w:eastAsia="宋体" w:cs="Times New Roman"/>
          <w:color w:val="000000"/>
          <w:kern w:val="0"/>
          <w:sz w:val="28"/>
          <w:szCs w:val="28"/>
          <w:lang w:val="en-US" w:eastAsia="zh-CN" w:bidi="ar"/>
        </w:rPr>
        <w:t>39007</w:t>
      </w:r>
      <w:r>
        <w:rPr>
          <w:rFonts w:hint="eastAsia" w:ascii="宋体" w:hAnsi="宋体" w:eastAsia="宋体" w:cs="宋体"/>
          <w:color w:val="000000"/>
          <w:kern w:val="0"/>
          <w:sz w:val="28"/>
          <w:szCs w:val="28"/>
          <w:lang w:val="en-US" w:eastAsia="zh-CN" w:bidi="ar"/>
        </w:rPr>
        <w:t>万元，安全设施投资概算为</w:t>
      </w:r>
      <w:r>
        <w:rPr>
          <w:rFonts w:hint="default" w:ascii="Times New Roman" w:hAnsi="Times New Roman" w:eastAsia="宋体" w:cs="Times New Roman"/>
          <w:color w:val="000000"/>
          <w:kern w:val="0"/>
          <w:sz w:val="28"/>
          <w:szCs w:val="28"/>
          <w:lang w:val="en-US" w:eastAsia="zh-CN" w:bidi="ar"/>
        </w:rPr>
        <w:t>741</w:t>
      </w:r>
      <w:r>
        <w:rPr>
          <w:rFonts w:hint="eastAsia" w:ascii="宋体" w:hAnsi="宋体" w:eastAsia="宋体" w:cs="宋体"/>
          <w:color w:val="000000"/>
          <w:kern w:val="0"/>
          <w:sz w:val="28"/>
          <w:szCs w:val="28"/>
          <w:lang w:val="en-US" w:eastAsia="zh-CN" w:bidi="ar"/>
        </w:rPr>
        <w:t>万元，占总投资的比例约为</w:t>
      </w:r>
      <w:r>
        <w:rPr>
          <w:rFonts w:hint="default" w:ascii="Times New Roman" w:hAnsi="Times New Roman" w:eastAsia="宋体" w:cs="Times New Roman"/>
          <w:color w:val="000000"/>
          <w:kern w:val="0"/>
          <w:sz w:val="28"/>
          <w:szCs w:val="28"/>
          <w:lang w:val="en-US" w:eastAsia="zh-CN" w:bidi="ar"/>
        </w:rPr>
        <w:t>1.90%</w:t>
      </w:r>
      <w:r>
        <w:rPr>
          <w:rFonts w:hint="eastAsia" w:ascii="宋体" w:hAnsi="宋体" w:eastAsia="宋体" w:cs="宋体"/>
          <w:color w:val="000000"/>
          <w:kern w:val="0"/>
          <w:sz w:val="28"/>
          <w:szCs w:val="28"/>
          <w:lang w:val="en-US" w:eastAsia="zh-CN" w:bidi="ar"/>
        </w:rPr>
        <w:t xml:space="preserve">。 </w:t>
      </w:r>
    </w:p>
    <w:p w14:paraId="719FD0A3">
      <w:pPr>
        <w:keepNext w:val="0"/>
        <w:keepLines w:val="0"/>
        <w:pageBreakBefore w:val="0"/>
        <w:widowControl/>
        <w:suppressLineNumbers w:val="0"/>
        <w:kinsoku/>
        <w:wordWrap/>
        <w:overflowPunct/>
        <w:topLinePunct w:val="0"/>
        <w:autoSpaceDE/>
        <w:autoSpaceDN/>
        <w:bidi w:val="0"/>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本项目安全设施总投资概算主要依据《关于印发〈企业安全生产费用 </w:t>
      </w:r>
    </w:p>
    <w:p w14:paraId="7469A1E7">
      <w:pPr>
        <w:keepNext w:val="0"/>
        <w:keepLines w:val="0"/>
        <w:pageBreakBefore w:val="0"/>
        <w:widowControl/>
        <w:suppressLineNumbers w:val="0"/>
        <w:kinsoku/>
        <w:wordWrap/>
        <w:overflowPunct/>
        <w:topLinePunct w:val="0"/>
        <w:autoSpaceDE/>
        <w:autoSpaceDN/>
        <w:bidi w:val="0"/>
        <w:spacing w:line="420" w:lineRule="exact"/>
        <w:jc w:val="left"/>
        <w:textAlignment w:val="auto"/>
      </w:pPr>
      <w:r>
        <w:rPr>
          <w:rFonts w:hint="eastAsia" w:ascii="宋体" w:hAnsi="宋体" w:eastAsia="宋体" w:cs="宋体"/>
          <w:color w:val="000000"/>
          <w:kern w:val="0"/>
          <w:sz w:val="28"/>
          <w:szCs w:val="28"/>
          <w:lang w:val="en-US" w:eastAsia="zh-CN" w:bidi="ar"/>
        </w:rPr>
        <w:t>提取和使用管理办法〉的通知》（财企〔</w:t>
      </w:r>
      <w:r>
        <w:rPr>
          <w:rFonts w:hint="default" w:ascii="Times New Roman" w:hAnsi="Times New Roman" w:eastAsia="宋体" w:cs="Times New Roman"/>
          <w:color w:val="000000"/>
          <w:kern w:val="0"/>
          <w:sz w:val="28"/>
          <w:szCs w:val="28"/>
          <w:lang w:val="en-US" w:eastAsia="zh-CN" w:bidi="ar"/>
        </w:rPr>
        <w:t>2022136</w:t>
      </w:r>
      <w:r>
        <w:rPr>
          <w:rFonts w:hint="eastAsia" w:ascii="宋体" w:hAnsi="宋体" w:eastAsia="宋体" w:cs="宋体"/>
          <w:color w:val="000000"/>
          <w:kern w:val="0"/>
          <w:sz w:val="28"/>
          <w:szCs w:val="28"/>
          <w:lang w:val="en-US" w:eastAsia="zh-CN" w:bidi="ar"/>
        </w:rPr>
        <w:t>号），安全设施投资主要为：独立费用、安全标志、安全防护围栏、安全防护罩设施、电气绝缘工具、登高工器具、应急物资、器材、安全生产教育和培训设备、设施等。</w:t>
      </w:r>
    </w:p>
    <w:p w14:paraId="75302154">
      <w:pPr>
        <w:keepNext w:val="0"/>
        <w:keepLines w:val="0"/>
        <w:pageBreakBefore w:val="0"/>
        <w:numPr>
          <w:ilvl w:val="0"/>
          <w:numId w:val="0"/>
        </w:numPr>
        <w:kinsoku/>
        <w:wordWrap/>
        <w:overflowPunct/>
        <w:topLinePunct w:val="0"/>
        <w:autoSpaceDE/>
        <w:autoSpaceDN/>
        <w:bidi w:val="0"/>
        <w:adjustRightInd/>
        <w:snapToGrid/>
        <w:spacing w:line="420" w:lineRule="exact"/>
        <w:jc w:val="center"/>
        <w:textAlignment w:val="auto"/>
        <w:rPr>
          <w:b/>
          <w:bCs/>
          <w:color w:val="000000" w:themeColor="text1"/>
          <w:sz w:val="24"/>
          <w:szCs w:val="24"/>
          <w14:textFill>
            <w14:solidFill>
              <w14:schemeClr w14:val="tx1"/>
            </w14:solidFill>
          </w14:textFill>
        </w:rPr>
      </w:pPr>
      <w:r>
        <w:rPr>
          <w:b/>
          <w:bCs/>
          <w:color w:val="000000" w:themeColor="text1"/>
          <w:sz w:val="24"/>
          <w:szCs w:val="24"/>
          <w14:textFill>
            <w14:solidFill>
              <w14:schemeClr w14:val="tx1"/>
            </w14:solidFill>
          </w14:textFill>
        </w:rPr>
        <w:t>表</w:t>
      </w:r>
      <w:r>
        <w:rPr>
          <w:b/>
          <w:bCs/>
          <w:color w:val="000000" w:themeColor="text1"/>
          <w:sz w:val="24"/>
          <w:szCs w:val="24"/>
          <w14:textFill>
            <w14:solidFill>
              <w14:schemeClr w14:val="tx1"/>
            </w14:solidFill>
          </w14:textFill>
        </w:rPr>
        <w:fldChar w:fldCharType="begin"/>
      </w:r>
      <w:r>
        <w:rPr>
          <w:b/>
          <w:bCs/>
          <w:color w:val="000000" w:themeColor="text1"/>
          <w:sz w:val="24"/>
          <w:szCs w:val="24"/>
          <w14:textFill>
            <w14:solidFill>
              <w14:schemeClr w14:val="tx1"/>
            </w14:solidFill>
          </w14:textFill>
        </w:rPr>
        <w:instrText xml:space="preserve"> STYLEREF 1 \s </w:instrText>
      </w:r>
      <w:r>
        <w:rPr>
          <w:b/>
          <w:bCs/>
          <w:color w:val="000000" w:themeColor="text1"/>
          <w:sz w:val="24"/>
          <w:szCs w:val="24"/>
          <w14:textFill>
            <w14:solidFill>
              <w14:schemeClr w14:val="tx1"/>
            </w14:solidFill>
          </w14:textFill>
        </w:rPr>
        <w:fldChar w:fldCharType="separate"/>
      </w:r>
      <w:r>
        <w:rPr>
          <w:b/>
          <w:bCs/>
          <w:color w:val="000000" w:themeColor="text1"/>
          <w:sz w:val="24"/>
          <w:szCs w:val="24"/>
          <w14:textFill>
            <w14:solidFill>
              <w14:schemeClr w14:val="tx1"/>
            </w14:solidFill>
          </w14:textFill>
        </w:rPr>
        <w:t>2</w:t>
      </w:r>
      <w:r>
        <w:rPr>
          <w:b/>
          <w:bCs/>
          <w:color w:val="000000" w:themeColor="text1"/>
          <w:sz w:val="24"/>
          <w:szCs w:val="24"/>
          <w14:textFill>
            <w14:solidFill>
              <w14:schemeClr w14:val="tx1"/>
            </w14:solidFill>
          </w14:textFill>
        </w:rPr>
        <w:fldChar w:fldCharType="end"/>
      </w:r>
      <w:r>
        <w:rPr>
          <w:rFonts w:hint="eastAsia"/>
          <w:b/>
          <w:bCs/>
          <w:color w:val="000000" w:themeColor="text1"/>
          <w:sz w:val="24"/>
          <w:szCs w:val="24"/>
          <w:lang w:eastAsia="zh-CN"/>
          <w14:textFill>
            <w14:solidFill>
              <w14:schemeClr w14:val="tx1"/>
            </w14:solidFill>
          </w14:textFill>
        </w:rPr>
        <w:t>-</w:t>
      </w:r>
      <w:r>
        <w:rPr>
          <w:rFonts w:hint="eastAsia"/>
          <w:b/>
          <w:bCs/>
          <w:color w:val="000000" w:themeColor="text1"/>
          <w:sz w:val="24"/>
          <w:szCs w:val="24"/>
          <w:lang w:val="en-US" w:eastAsia="zh-CN"/>
          <w14:textFill>
            <w14:solidFill>
              <w14:schemeClr w14:val="tx1"/>
            </w14:solidFill>
          </w14:textFill>
        </w:rPr>
        <w:t>5.4项目安全设施投入</w:t>
      </w:r>
      <w:r>
        <w:rPr>
          <w:b/>
          <w:bCs/>
          <w:color w:val="000000" w:themeColor="text1"/>
          <w:sz w:val="24"/>
          <w:szCs w:val="24"/>
          <w14:textFill>
            <w14:solidFill>
              <w14:schemeClr w14:val="tx1"/>
            </w14:solidFill>
          </w14:textFill>
        </w:rPr>
        <w:t>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0"/>
        <w:gridCol w:w="4023"/>
        <w:gridCol w:w="1642"/>
        <w:gridCol w:w="2713"/>
      </w:tblGrid>
      <w:tr w14:paraId="1F25D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noWrap w:val="0"/>
            <w:vAlign w:val="center"/>
          </w:tcPr>
          <w:p w14:paraId="724D5E13">
            <w:pPr>
              <w:pStyle w:val="30"/>
              <w:keepNext w:val="0"/>
              <w:keepLines w:val="0"/>
              <w:pageBreakBefore w:val="0"/>
              <w:widowControl w:val="0"/>
              <w:kinsoku/>
              <w:bidi w:val="0"/>
              <w:ind w:left="0" w:leftChars="0" w:right="0" w:rightChars="0" w:firstLine="0" w:firstLineChars="0"/>
              <w:jc w:val="center"/>
              <w:rPr>
                <w:rFonts w:hint="eastAsia" w:eastAsia="宋体"/>
                <w:b/>
                <w:bCs/>
                <w:color w:val="000000" w:themeColor="text1"/>
                <w:lang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序号</w:t>
            </w:r>
          </w:p>
        </w:tc>
        <w:tc>
          <w:tcPr>
            <w:tcW w:w="2204" w:type="pct"/>
            <w:noWrap w:val="0"/>
            <w:vAlign w:val="center"/>
          </w:tcPr>
          <w:p w14:paraId="3A046414">
            <w:pPr>
              <w:pStyle w:val="30"/>
              <w:keepNext w:val="0"/>
              <w:keepLines w:val="0"/>
              <w:pageBreakBefore w:val="0"/>
              <w:widowControl w:val="0"/>
              <w:kinsoku/>
              <w:bidi w:val="0"/>
              <w:ind w:left="0" w:leftChars="0" w:right="0" w:rightChars="0" w:firstLine="0" w:firstLineChars="0"/>
              <w:jc w:val="center"/>
              <w:rPr>
                <w:rFonts w:hint="default"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安全设施和措施</w:t>
            </w:r>
          </w:p>
        </w:tc>
        <w:tc>
          <w:tcPr>
            <w:tcW w:w="900" w:type="pct"/>
            <w:noWrap w:val="0"/>
            <w:vAlign w:val="center"/>
          </w:tcPr>
          <w:p w14:paraId="7443243C">
            <w:pPr>
              <w:pStyle w:val="30"/>
              <w:keepNext w:val="0"/>
              <w:keepLines w:val="0"/>
              <w:pageBreakBefore w:val="0"/>
              <w:widowControl w:val="0"/>
              <w:kinsoku/>
              <w:bidi w:val="0"/>
              <w:ind w:left="0" w:leftChars="0" w:right="0" w:rightChars="0" w:firstLine="0" w:firstLineChars="0"/>
              <w:jc w:val="center"/>
              <w:rPr>
                <w:rFonts w:hint="default"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费用（万元）</w:t>
            </w:r>
          </w:p>
        </w:tc>
        <w:tc>
          <w:tcPr>
            <w:tcW w:w="1487" w:type="pct"/>
            <w:noWrap w:val="0"/>
            <w:vAlign w:val="center"/>
          </w:tcPr>
          <w:p w14:paraId="056943E3">
            <w:pPr>
              <w:pStyle w:val="30"/>
              <w:keepNext w:val="0"/>
              <w:keepLines w:val="0"/>
              <w:pageBreakBefore w:val="0"/>
              <w:widowControl w:val="0"/>
              <w:kinsoku/>
              <w:bidi w:val="0"/>
              <w:rPr>
                <w:rFonts w:hint="default" w:eastAsia="宋体"/>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占安全设施投资比例%</w:t>
            </w:r>
          </w:p>
        </w:tc>
      </w:tr>
      <w:tr w14:paraId="0EA78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noWrap w:val="0"/>
            <w:vAlign w:val="center"/>
          </w:tcPr>
          <w:p w14:paraId="4CA9CAE5">
            <w:pPr>
              <w:pStyle w:val="30"/>
              <w:keepNext w:val="0"/>
              <w:keepLines w:val="0"/>
              <w:pageBreakBefore w:val="0"/>
              <w:widowControl w:val="0"/>
              <w:kinsoku/>
              <w:bidi w:val="0"/>
              <w:ind w:left="0" w:leftChars="0" w:right="0" w:rightChars="0" w:firstLine="0" w:firstLineChars="0"/>
              <w:jc w:val="center"/>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1</w:t>
            </w:r>
          </w:p>
        </w:tc>
        <w:tc>
          <w:tcPr>
            <w:tcW w:w="2204" w:type="pct"/>
            <w:noWrap w:val="0"/>
            <w:vAlign w:val="center"/>
          </w:tcPr>
          <w:p w14:paraId="32AB8B47">
            <w:pPr>
              <w:keepNext w:val="0"/>
              <w:keepLines w:val="0"/>
              <w:widowControl/>
              <w:suppressLineNumbers w:val="0"/>
              <w:jc w:val="center"/>
              <w:rPr>
                <w:rFonts w:hint="eastAsia"/>
                <w:b w:val="0"/>
                <w:bCs w:val="0"/>
                <w:color w:val="000000" w:themeColor="text1"/>
                <w:lang w:val="en-US" w:eastAsia="zh-CN"/>
                <w14:textFill>
                  <w14:solidFill>
                    <w14:schemeClr w14:val="tx1"/>
                  </w14:solidFill>
                </w14:textFill>
              </w:rPr>
            </w:pPr>
            <w:r>
              <w:rPr>
                <w:rFonts w:hint="eastAsia" w:ascii="宋体" w:hAnsi="宋体" w:eastAsia="宋体" w:cs="宋体"/>
                <w:b w:val="0"/>
                <w:bCs w:val="0"/>
                <w:color w:val="000000"/>
                <w:kern w:val="0"/>
                <w:sz w:val="20"/>
                <w:szCs w:val="20"/>
                <w:lang w:val="en-US" w:eastAsia="zh-CN" w:bidi="ar"/>
              </w:rPr>
              <w:t>安全标志、安全防护围栏、安全防护罩设施</w:t>
            </w:r>
          </w:p>
        </w:tc>
        <w:tc>
          <w:tcPr>
            <w:tcW w:w="900" w:type="pct"/>
            <w:noWrap w:val="0"/>
            <w:vAlign w:val="center"/>
          </w:tcPr>
          <w:p w14:paraId="387655CD">
            <w:pPr>
              <w:pStyle w:val="30"/>
              <w:keepNext w:val="0"/>
              <w:keepLines w:val="0"/>
              <w:pageBreakBefore w:val="0"/>
              <w:widowControl w:val="0"/>
              <w:kinsoku/>
              <w:bidi w:val="0"/>
              <w:ind w:left="0" w:leftChars="0" w:right="0" w:rightChars="0" w:firstLine="0" w:firstLineChars="0"/>
              <w:jc w:val="center"/>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96</w:t>
            </w:r>
          </w:p>
        </w:tc>
        <w:tc>
          <w:tcPr>
            <w:tcW w:w="1487" w:type="pct"/>
            <w:noWrap w:val="0"/>
            <w:vAlign w:val="center"/>
          </w:tcPr>
          <w:p w14:paraId="0869D9C7">
            <w:pPr>
              <w:pStyle w:val="30"/>
              <w:keepNext w:val="0"/>
              <w:keepLines w:val="0"/>
              <w:pageBreakBefore w:val="0"/>
              <w:widowControl w:val="0"/>
              <w:kinsoku/>
              <w:bidi w:val="0"/>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12.96%</w:t>
            </w:r>
          </w:p>
        </w:tc>
      </w:tr>
      <w:tr w14:paraId="06FDC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noWrap w:val="0"/>
            <w:vAlign w:val="center"/>
          </w:tcPr>
          <w:p w14:paraId="65A613FB">
            <w:pPr>
              <w:pStyle w:val="30"/>
              <w:keepNext w:val="0"/>
              <w:keepLines w:val="0"/>
              <w:pageBreakBefore w:val="0"/>
              <w:widowControl w:val="0"/>
              <w:kinsoku/>
              <w:bidi w:val="0"/>
              <w:ind w:left="0" w:leftChars="0" w:right="0" w:rightChars="0" w:firstLine="0" w:firstLineChars="0"/>
              <w:jc w:val="center"/>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2</w:t>
            </w:r>
          </w:p>
        </w:tc>
        <w:tc>
          <w:tcPr>
            <w:tcW w:w="2204" w:type="pct"/>
            <w:noWrap w:val="0"/>
            <w:vAlign w:val="center"/>
          </w:tcPr>
          <w:p w14:paraId="49449931">
            <w:pPr>
              <w:keepNext w:val="0"/>
              <w:keepLines w:val="0"/>
              <w:widowControl/>
              <w:suppressLineNumbers w:val="0"/>
              <w:jc w:val="center"/>
              <w:rPr>
                <w:rFonts w:hint="eastAsia" w:ascii="宋体" w:hAnsi="宋体" w:eastAsia="宋体" w:cs="宋体"/>
                <w:b w:val="0"/>
                <w:bCs w:val="0"/>
                <w:color w:val="000000"/>
                <w:kern w:val="0"/>
                <w:sz w:val="20"/>
                <w:szCs w:val="20"/>
                <w:lang w:val="en-US" w:eastAsia="zh-CN" w:bidi="ar"/>
              </w:rPr>
            </w:pPr>
            <w:r>
              <w:rPr>
                <w:rFonts w:hint="eastAsia" w:ascii="宋体" w:hAnsi="宋体" w:eastAsia="宋体" w:cs="宋体"/>
                <w:b w:val="0"/>
                <w:bCs w:val="0"/>
                <w:color w:val="000000"/>
                <w:kern w:val="0"/>
                <w:sz w:val="20"/>
                <w:szCs w:val="20"/>
                <w:lang w:val="en-US" w:eastAsia="zh-CN" w:bidi="ar"/>
              </w:rPr>
              <w:t>劳动保护用品及防护器具</w:t>
            </w:r>
          </w:p>
        </w:tc>
        <w:tc>
          <w:tcPr>
            <w:tcW w:w="900" w:type="pct"/>
            <w:noWrap w:val="0"/>
            <w:vAlign w:val="center"/>
          </w:tcPr>
          <w:p w14:paraId="40A72CE0">
            <w:pPr>
              <w:pStyle w:val="30"/>
              <w:keepNext w:val="0"/>
              <w:keepLines w:val="0"/>
              <w:pageBreakBefore w:val="0"/>
              <w:widowControl w:val="0"/>
              <w:kinsoku/>
              <w:bidi w:val="0"/>
              <w:ind w:left="0" w:leftChars="0" w:right="0" w:rightChars="0" w:firstLine="0" w:firstLineChars="0"/>
              <w:jc w:val="center"/>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19.5</w:t>
            </w:r>
          </w:p>
        </w:tc>
        <w:tc>
          <w:tcPr>
            <w:tcW w:w="1487" w:type="pct"/>
            <w:noWrap w:val="0"/>
            <w:vAlign w:val="center"/>
          </w:tcPr>
          <w:p w14:paraId="11EFB8C1">
            <w:pPr>
              <w:pStyle w:val="30"/>
              <w:keepNext w:val="0"/>
              <w:keepLines w:val="0"/>
              <w:pageBreakBefore w:val="0"/>
              <w:widowControl w:val="0"/>
              <w:kinsoku/>
              <w:bidi w:val="0"/>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2.63%</w:t>
            </w:r>
          </w:p>
        </w:tc>
      </w:tr>
      <w:tr w14:paraId="4A3F8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noWrap w:val="0"/>
            <w:vAlign w:val="center"/>
          </w:tcPr>
          <w:p w14:paraId="4131628D">
            <w:pPr>
              <w:pStyle w:val="30"/>
              <w:keepNext w:val="0"/>
              <w:keepLines w:val="0"/>
              <w:pageBreakBefore w:val="0"/>
              <w:widowControl w:val="0"/>
              <w:kinsoku/>
              <w:bidi w:val="0"/>
              <w:ind w:left="0" w:leftChars="0" w:right="0" w:rightChars="0" w:firstLine="0" w:firstLineChars="0"/>
              <w:jc w:val="center"/>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3</w:t>
            </w:r>
          </w:p>
        </w:tc>
        <w:tc>
          <w:tcPr>
            <w:tcW w:w="2204" w:type="pct"/>
            <w:noWrap w:val="0"/>
            <w:vAlign w:val="center"/>
          </w:tcPr>
          <w:p w14:paraId="3EAC2306">
            <w:pPr>
              <w:keepNext w:val="0"/>
              <w:keepLines w:val="0"/>
              <w:widowControl/>
              <w:suppressLineNumbers w:val="0"/>
              <w:jc w:val="center"/>
              <w:rPr>
                <w:rFonts w:hint="eastAsia" w:ascii="宋体" w:hAnsi="宋体" w:eastAsia="宋体" w:cs="宋体"/>
                <w:b w:val="0"/>
                <w:bCs w:val="0"/>
                <w:color w:val="000000"/>
                <w:kern w:val="0"/>
                <w:sz w:val="20"/>
                <w:szCs w:val="20"/>
                <w:lang w:val="en-US" w:eastAsia="zh-CN" w:bidi="ar"/>
              </w:rPr>
            </w:pPr>
            <w:r>
              <w:rPr>
                <w:rFonts w:hint="eastAsia" w:ascii="宋体" w:hAnsi="宋体" w:eastAsia="宋体" w:cs="宋体"/>
                <w:b w:val="0"/>
                <w:bCs w:val="0"/>
                <w:color w:val="000000"/>
                <w:kern w:val="0"/>
                <w:sz w:val="20"/>
                <w:szCs w:val="20"/>
                <w:lang w:val="en-US" w:eastAsia="zh-CN" w:bidi="ar"/>
              </w:rPr>
              <w:t>电气绝缘工器具</w:t>
            </w:r>
          </w:p>
        </w:tc>
        <w:tc>
          <w:tcPr>
            <w:tcW w:w="900" w:type="pct"/>
            <w:noWrap w:val="0"/>
            <w:vAlign w:val="center"/>
          </w:tcPr>
          <w:p w14:paraId="0FABC89A">
            <w:pPr>
              <w:pStyle w:val="30"/>
              <w:keepNext w:val="0"/>
              <w:keepLines w:val="0"/>
              <w:pageBreakBefore w:val="0"/>
              <w:widowControl w:val="0"/>
              <w:kinsoku/>
              <w:bidi w:val="0"/>
              <w:ind w:left="0" w:leftChars="0" w:right="0" w:rightChars="0" w:firstLine="0" w:firstLineChars="0"/>
              <w:jc w:val="center"/>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33</w:t>
            </w:r>
          </w:p>
        </w:tc>
        <w:tc>
          <w:tcPr>
            <w:tcW w:w="1487" w:type="pct"/>
            <w:noWrap w:val="0"/>
            <w:vAlign w:val="center"/>
          </w:tcPr>
          <w:p w14:paraId="42059B21">
            <w:pPr>
              <w:pStyle w:val="30"/>
              <w:keepNext w:val="0"/>
              <w:keepLines w:val="0"/>
              <w:pageBreakBefore w:val="0"/>
              <w:widowControl w:val="0"/>
              <w:kinsoku/>
              <w:bidi w:val="0"/>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4.45%</w:t>
            </w:r>
          </w:p>
        </w:tc>
      </w:tr>
      <w:tr w14:paraId="1AF65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noWrap w:val="0"/>
            <w:vAlign w:val="center"/>
          </w:tcPr>
          <w:p w14:paraId="25375792">
            <w:pPr>
              <w:pStyle w:val="30"/>
              <w:keepNext w:val="0"/>
              <w:keepLines w:val="0"/>
              <w:pageBreakBefore w:val="0"/>
              <w:widowControl w:val="0"/>
              <w:kinsoku/>
              <w:bidi w:val="0"/>
              <w:ind w:left="0" w:leftChars="0" w:right="0" w:rightChars="0" w:firstLine="0" w:firstLineChars="0"/>
              <w:jc w:val="center"/>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4</w:t>
            </w:r>
          </w:p>
        </w:tc>
        <w:tc>
          <w:tcPr>
            <w:tcW w:w="2204" w:type="pct"/>
            <w:noWrap w:val="0"/>
            <w:vAlign w:val="center"/>
          </w:tcPr>
          <w:p w14:paraId="62A657B3">
            <w:pPr>
              <w:keepNext w:val="0"/>
              <w:keepLines w:val="0"/>
              <w:widowControl/>
              <w:suppressLineNumbers w:val="0"/>
              <w:jc w:val="center"/>
              <w:rPr>
                <w:rFonts w:hint="eastAsia" w:ascii="宋体" w:hAnsi="宋体" w:eastAsia="宋体" w:cs="宋体"/>
                <w:b w:val="0"/>
                <w:bCs w:val="0"/>
                <w:color w:val="000000"/>
                <w:kern w:val="0"/>
                <w:sz w:val="20"/>
                <w:szCs w:val="20"/>
                <w:lang w:val="en-US" w:eastAsia="zh-CN" w:bidi="ar"/>
              </w:rPr>
            </w:pPr>
            <w:r>
              <w:rPr>
                <w:rFonts w:hint="eastAsia" w:ascii="宋体" w:hAnsi="宋体" w:eastAsia="宋体" w:cs="宋体"/>
                <w:b w:val="0"/>
                <w:bCs w:val="0"/>
                <w:color w:val="000000"/>
                <w:kern w:val="0"/>
                <w:sz w:val="20"/>
                <w:szCs w:val="20"/>
                <w:lang w:val="en-US" w:eastAsia="zh-CN" w:bidi="ar"/>
              </w:rPr>
              <w:t>登高工器具</w:t>
            </w:r>
          </w:p>
        </w:tc>
        <w:tc>
          <w:tcPr>
            <w:tcW w:w="900" w:type="pct"/>
            <w:noWrap w:val="0"/>
            <w:vAlign w:val="center"/>
          </w:tcPr>
          <w:p w14:paraId="7EE51663">
            <w:pPr>
              <w:pStyle w:val="30"/>
              <w:keepNext w:val="0"/>
              <w:keepLines w:val="0"/>
              <w:pageBreakBefore w:val="0"/>
              <w:widowControl w:val="0"/>
              <w:kinsoku/>
              <w:bidi w:val="0"/>
              <w:ind w:left="0" w:leftChars="0" w:right="0" w:rightChars="0" w:firstLine="0" w:firstLineChars="0"/>
              <w:jc w:val="center"/>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3</w:t>
            </w:r>
          </w:p>
        </w:tc>
        <w:tc>
          <w:tcPr>
            <w:tcW w:w="1487" w:type="pct"/>
            <w:noWrap w:val="0"/>
            <w:vAlign w:val="center"/>
          </w:tcPr>
          <w:p w14:paraId="39518BF2">
            <w:pPr>
              <w:pStyle w:val="30"/>
              <w:keepNext w:val="0"/>
              <w:keepLines w:val="0"/>
              <w:pageBreakBefore w:val="0"/>
              <w:widowControl w:val="0"/>
              <w:kinsoku/>
              <w:bidi w:val="0"/>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0.40%</w:t>
            </w:r>
          </w:p>
        </w:tc>
      </w:tr>
      <w:tr w14:paraId="6B671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noWrap w:val="0"/>
            <w:vAlign w:val="center"/>
          </w:tcPr>
          <w:p w14:paraId="47908019">
            <w:pPr>
              <w:pStyle w:val="30"/>
              <w:keepNext w:val="0"/>
              <w:keepLines w:val="0"/>
              <w:pageBreakBefore w:val="0"/>
              <w:widowControl w:val="0"/>
              <w:kinsoku/>
              <w:bidi w:val="0"/>
              <w:ind w:left="0" w:leftChars="0" w:right="0" w:rightChars="0" w:firstLine="0" w:firstLineChars="0"/>
              <w:jc w:val="center"/>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5</w:t>
            </w:r>
          </w:p>
        </w:tc>
        <w:tc>
          <w:tcPr>
            <w:tcW w:w="2204" w:type="pct"/>
            <w:noWrap w:val="0"/>
            <w:vAlign w:val="center"/>
          </w:tcPr>
          <w:p w14:paraId="07614BD0">
            <w:pPr>
              <w:keepNext w:val="0"/>
              <w:keepLines w:val="0"/>
              <w:widowControl/>
              <w:suppressLineNumbers w:val="0"/>
              <w:jc w:val="center"/>
              <w:rPr>
                <w:rFonts w:hint="eastAsia" w:ascii="宋体" w:hAnsi="宋体" w:eastAsia="宋体" w:cs="宋体"/>
                <w:b w:val="0"/>
                <w:bCs w:val="0"/>
                <w:color w:val="000000"/>
                <w:kern w:val="0"/>
                <w:sz w:val="20"/>
                <w:szCs w:val="20"/>
                <w:lang w:val="en-US" w:eastAsia="zh-CN" w:bidi="ar"/>
              </w:rPr>
            </w:pPr>
            <w:r>
              <w:rPr>
                <w:rFonts w:hint="eastAsia" w:ascii="宋体" w:hAnsi="宋体" w:eastAsia="宋体" w:cs="宋体"/>
                <w:b w:val="0"/>
                <w:bCs w:val="0"/>
                <w:color w:val="000000"/>
                <w:kern w:val="0"/>
                <w:sz w:val="20"/>
                <w:szCs w:val="20"/>
                <w:lang w:val="en-US" w:eastAsia="zh-CN" w:bidi="ar"/>
              </w:rPr>
              <w:t>作业环境安全测试仪器</w:t>
            </w:r>
          </w:p>
        </w:tc>
        <w:tc>
          <w:tcPr>
            <w:tcW w:w="900" w:type="pct"/>
            <w:noWrap w:val="0"/>
            <w:vAlign w:val="center"/>
          </w:tcPr>
          <w:p w14:paraId="26CB0DED">
            <w:pPr>
              <w:pStyle w:val="30"/>
              <w:keepNext w:val="0"/>
              <w:keepLines w:val="0"/>
              <w:pageBreakBefore w:val="0"/>
              <w:widowControl w:val="0"/>
              <w:kinsoku/>
              <w:bidi w:val="0"/>
              <w:ind w:left="0" w:leftChars="0" w:right="0" w:rightChars="0" w:firstLine="0" w:firstLineChars="0"/>
              <w:jc w:val="center"/>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31</w:t>
            </w:r>
          </w:p>
        </w:tc>
        <w:tc>
          <w:tcPr>
            <w:tcW w:w="1487" w:type="pct"/>
            <w:noWrap w:val="0"/>
            <w:vAlign w:val="center"/>
          </w:tcPr>
          <w:p w14:paraId="1C41BBA5">
            <w:pPr>
              <w:pStyle w:val="30"/>
              <w:keepNext w:val="0"/>
              <w:keepLines w:val="0"/>
              <w:pageBreakBefore w:val="0"/>
              <w:widowControl w:val="0"/>
              <w:kinsoku/>
              <w:bidi w:val="0"/>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4.18%</w:t>
            </w:r>
          </w:p>
        </w:tc>
      </w:tr>
      <w:tr w14:paraId="4D1E0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noWrap w:val="0"/>
            <w:vAlign w:val="center"/>
          </w:tcPr>
          <w:p w14:paraId="313A7AFC">
            <w:pPr>
              <w:pStyle w:val="30"/>
              <w:keepNext w:val="0"/>
              <w:keepLines w:val="0"/>
              <w:pageBreakBefore w:val="0"/>
              <w:widowControl w:val="0"/>
              <w:kinsoku/>
              <w:bidi w:val="0"/>
              <w:ind w:left="0" w:leftChars="0" w:right="0" w:rightChars="0" w:firstLine="0" w:firstLineChars="0"/>
              <w:jc w:val="center"/>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6</w:t>
            </w:r>
          </w:p>
        </w:tc>
        <w:tc>
          <w:tcPr>
            <w:tcW w:w="2204" w:type="pct"/>
            <w:noWrap w:val="0"/>
            <w:vAlign w:val="center"/>
          </w:tcPr>
          <w:p w14:paraId="69992F77">
            <w:pPr>
              <w:keepNext w:val="0"/>
              <w:keepLines w:val="0"/>
              <w:widowControl/>
              <w:suppressLineNumbers w:val="0"/>
              <w:jc w:val="center"/>
              <w:rPr>
                <w:rFonts w:hint="eastAsia" w:ascii="宋体" w:hAnsi="宋体" w:eastAsia="宋体" w:cs="宋体"/>
                <w:b w:val="0"/>
                <w:bCs w:val="0"/>
                <w:color w:val="000000"/>
                <w:kern w:val="0"/>
                <w:sz w:val="20"/>
                <w:szCs w:val="20"/>
                <w:lang w:val="en-US" w:eastAsia="zh-CN" w:bidi="ar"/>
              </w:rPr>
            </w:pPr>
            <w:r>
              <w:rPr>
                <w:rFonts w:hint="eastAsia" w:ascii="宋体" w:hAnsi="宋体" w:eastAsia="宋体" w:cs="宋体"/>
                <w:b w:val="0"/>
                <w:bCs w:val="0"/>
                <w:color w:val="000000"/>
                <w:kern w:val="0"/>
                <w:sz w:val="20"/>
                <w:szCs w:val="20"/>
                <w:lang w:val="en-US" w:eastAsia="zh-CN" w:bidi="ar"/>
              </w:rPr>
              <w:t>应急救援设施及应急物资储备</w:t>
            </w:r>
          </w:p>
        </w:tc>
        <w:tc>
          <w:tcPr>
            <w:tcW w:w="900" w:type="pct"/>
            <w:noWrap w:val="0"/>
            <w:vAlign w:val="center"/>
          </w:tcPr>
          <w:p w14:paraId="65268D5A">
            <w:pPr>
              <w:pStyle w:val="30"/>
              <w:keepNext w:val="0"/>
              <w:keepLines w:val="0"/>
              <w:pageBreakBefore w:val="0"/>
              <w:widowControl w:val="0"/>
              <w:kinsoku/>
              <w:bidi w:val="0"/>
              <w:ind w:left="0" w:leftChars="0" w:right="0" w:rightChars="0" w:firstLine="0" w:firstLineChars="0"/>
              <w:jc w:val="center"/>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94.5</w:t>
            </w:r>
          </w:p>
        </w:tc>
        <w:tc>
          <w:tcPr>
            <w:tcW w:w="1487" w:type="pct"/>
            <w:noWrap w:val="0"/>
            <w:vAlign w:val="center"/>
          </w:tcPr>
          <w:p w14:paraId="77907A1C">
            <w:pPr>
              <w:pStyle w:val="30"/>
              <w:keepNext w:val="0"/>
              <w:keepLines w:val="0"/>
              <w:pageBreakBefore w:val="0"/>
              <w:widowControl w:val="0"/>
              <w:kinsoku/>
              <w:bidi w:val="0"/>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12.75%</w:t>
            </w:r>
          </w:p>
        </w:tc>
      </w:tr>
      <w:tr w14:paraId="6C15B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noWrap w:val="0"/>
            <w:vAlign w:val="center"/>
          </w:tcPr>
          <w:p w14:paraId="4313C9B0">
            <w:pPr>
              <w:pStyle w:val="30"/>
              <w:keepNext w:val="0"/>
              <w:keepLines w:val="0"/>
              <w:pageBreakBefore w:val="0"/>
              <w:widowControl w:val="0"/>
              <w:kinsoku/>
              <w:bidi w:val="0"/>
              <w:ind w:left="0" w:leftChars="0" w:right="0" w:rightChars="0" w:firstLine="0" w:firstLineChars="0"/>
              <w:jc w:val="center"/>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7</w:t>
            </w:r>
          </w:p>
        </w:tc>
        <w:tc>
          <w:tcPr>
            <w:tcW w:w="2204" w:type="pct"/>
            <w:noWrap w:val="0"/>
            <w:vAlign w:val="center"/>
          </w:tcPr>
          <w:p w14:paraId="1EB77B37">
            <w:pPr>
              <w:keepNext w:val="0"/>
              <w:keepLines w:val="0"/>
              <w:widowControl/>
              <w:suppressLineNumbers w:val="0"/>
              <w:jc w:val="center"/>
              <w:rPr>
                <w:rFonts w:hint="eastAsia" w:ascii="宋体" w:hAnsi="宋体" w:eastAsia="宋体" w:cs="宋体"/>
                <w:b w:val="0"/>
                <w:bCs w:val="0"/>
                <w:color w:val="000000"/>
                <w:kern w:val="0"/>
                <w:sz w:val="20"/>
                <w:szCs w:val="20"/>
                <w:lang w:val="en-US" w:eastAsia="zh-CN" w:bidi="ar"/>
              </w:rPr>
            </w:pPr>
            <w:r>
              <w:rPr>
                <w:rFonts w:hint="eastAsia" w:ascii="宋体" w:hAnsi="宋体" w:eastAsia="宋体" w:cs="宋体"/>
                <w:b w:val="0"/>
                <w:bCs w:val="0"/>
                <w:color w:val="000000"/>
                <w:kern w:val="0"/>
                <w:sz w:val="20"/>
                <w:szCs w:val="20"/>
                <w:lang w:val="en-US" w:eastAsia="zh-CN" w:bidi="ar"/>
              </w:rPr>
              <w:t>安全生产教育和培训设备、设施</w:t>
            </w:r>
          </w:p>
        </w:tc>
        <w:tc>
          <w:tcPr>
            <w:tcW w:w="900" w:type="pct"/>
            <w:noWrap w:val="0"/>
            <w:vAlign w:val="center"/>
          </w:tcPr>
          <w:p w14:paraId="4E3F8BC5">
            <w:pPr>
              <w:pStyle w:val="30"/>
              <w:keepNext w:val="0"/>
              <w:keepLines w:val="0"/>
              <w:pageBreakBefore w:val="0"/>
              <w:widowControl w:val="0"/>
              <w:kinsoku/>
              <w:bidi w:val="0"/>
              <w:ind w:left="0" w:leftChars="0" w:right="0" w:rightChars="0" w:firstLine="0" w:firstLineChars="0"/>
              <w:jc w:val="center"/>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331</w:t>
            </w:r>
          </w:p>
        </w:tc>
        <w:tc>
          <w:tcPr>
            <w:tcW w:w="1487" w:type="pct"/>
            <w:noWrap w:val="0"/>
            <w:vAlign w:val="center"/>
          </w:tcPr>
          <w:p w14:paraId="411EC6C1">
            <w:pPr>
              <w:pStyle w:val="30"/>
              <w:keepNext w:val="0"/>
              <w:keepLines w:val="0"/>
              <w:pageBreakBefore w:val="0"/>
              <w:widowControl w:val="0"/>
              <w:kinsoku/>
              <w:bidi w:val="0"/>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44.67%</w:t>
            </w:r>
          </w:p>
        </w:tc>
      </w:tr>
      <w:tr w14:paraId="3DCFF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noWrap w:val="0"/>
            <w:vAlign w:val="center"/>
          </w:tcPr>
          <w:p w14:paraId="0A2A28C9">
            <w:pPr>
              <w:pStyle w:val="30"/>
              <w:keepNext w:val="0"/>
              <w:keepLines w:val="0"/>
              <w:pageBreakBefore w:val="0"/>
              <w:widowControl w:val="0"/>
              <w:kinsoku/>
              <w:bidi w:val="0"/>
              <w:ind w:left="0" w:leftChars="0" w:right="0" w:rightChars="0" w:firstLine="0" w:firstLineChars="0"/>
              <w:jc w:val="center"/>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8</w:t>
            </w:r>
          </w:p>
        </w:tc>
        <w:tc>
          <w:tcPr>
            <w:tcW w:w="2204" w:type="pct"/>
            <w:noWrap w:val="0"/>
            <w:vAlign w:val="center"/>
          </w:tcPr>
          <w:p w14:paraId="7DE7F5B6">
            <w:pPr>
              <w:keepNext w:val="0"/>
              <w:keepLines w:val="0"/>
              <w:widowControl/>
              <w:suppressLineNumbers w:val="0"/>
              <w:jc w:val="center"/>
              <w:rPr>
                <w:rFonts w:hint="eastAsia" w:ascii="宋体" w:hAnsi="宋体" w:eastAsia="宋体" w:cs="宋体"/>
                <w:b w:val="0"/>
                <w:bCs w:val="0"/>
                <w:color w:val="000000"/>
                <w:kern w:val="0"/>
                <w:sz w:val="20"/>
                <w:szCs w:val="20"/>
                <w:lang w:val="en-US" w:eastAsia="zh-CN" w:bidi="ar"/>
              </w:rPr>
            </w:pPr>
            <w:r>
              <w:rPr>
                <w:rFonts w:hint="eastAsia" w:ascii="宋体" w:hAnsi="宋体" w:eastAsia="宋体" w:cs="宋体"/>
                <w:b w:val="0"/>
                <w:bCs w:val="0"/>
                <w:color w:val="000000"/>
                <w:kern w:val="0"/>
                <w:sz w:val="20"/>
                <w:szCs w:val="20"/>
                <w:lang w:val="en-US" w:eastAsia="zh-CN" w:bidi="ar"/>
              </w:rPr>
              <w:t>消防设施</w:t>
            </w:r>
          </w:p>
        </w:tc>
        <w:tc>
          <w:tcPr>
            <w:tcW w:w="900" w:type="pct"/>
            <w:noWrap w:val="0"/>
            <w:vAlign w:val="center"/>
          </w:tcPr>
          <w:p w14:paraId="182D0008">
            <w:pPr>
              <w:pStyle w:val="30"/>
              <w:keepNext w:val="0"/>
              <w:keepLines w:val="0"/>
              <w:pageBreakBefore w:val="0"/>
              <w:widowControl w:val="0"/>
              <w:kinsoku/>
              <w:bidi w:val="0"/>
              <w:ind w:left="0" w:leftChars="0" w:right="0" w:rightChars="0" w:firstLine="0" w:firstLineChars="0"/>
              <w:jc w:val="center"/>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86</w:t>
            </w:r>
          </w:p>
        </w:tc>
        <w:tc>
          <w:tcPr>
            <w:tcW w:w="1487" w:type="pct"/>
            <w:noWrap w:val="0"/>
            <w:vAlign w:val="center"/>
          </w:tcPr>
          <w:p w14:paraId="321B47AF">
            <w:pPr>
              <w:pStyle w:val="30"/>
              <w:keepNext w:val="0"/>
              <w:keepLines w:val="0"/>
              <w:pageBreakBefore w:val="0"/>
              <w:widowControl w:val="0"/>
              <w:kinsoku/>
              <w:bidi w:val="0"/>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11.61%</w:t>
            </w:r>
          </w:p>
        </w:tc>
      </w:tr>
      <w:tr w14:paraId="7ADB4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noWrap w:val="0"/>
            <w:vAlign w:val="center"/>
          </w:tcPr>
          <w:p w14:paraId="6376E867">
            <w:pPr>
              <w:pStyle w:val="30"/>
              <w:keepNext w:val="0"/>
              <w:keepLines w:val="0"/>
              <w:pageBreakBefore w:val="0"/>
              <w:widowControl w:val="0"/>
              <w:kinsoku/>
              <w:bidi w:val="0"/>
              <w:ind w:left="0" w:leftChars="0" w:right="0" w:rightChars="0" w:firstLine="0" w:firstLineChars="0"/>
              <w:jc w:val="center"/>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9</w:t>
            </w:r>
          </w:p>
        </w:tc>
        <w:tc>
          <w:tcPr>
            <w:tcW w:w="2204" w:type="pct"/>
            <w:noWrap w:val="0"/>
            <w:vAlign w:val="center"/>
          </w:tcPr>
          <w:p w14:paraId="70E3390A">
            <w:pPr>
              <w:keepNext w:val="0"/>
              <w:keepLines w:val="0"/>
              <w:widowControl/>
              <w:suppressLineNumbers w:val="0"/>
              <w:jc w:val="center"/>
              <w:rPr>
                <w:rFonts w:hint="default" w:ascii="宋体" w:hAnsi="宋体" w:eastAsia="宋体" w:cs="宋体"/>
                <w:b w:val="0"/>
                <w:bCs w:val="0"/>
                <w:color w:val="000000"/>
                <w:kern w:val="0"/>
                <w:sz w:val="20"/>
                <w:szCs w:val="20"/>
                <w:lang w:val="en-US" w:eastAsia="zh-CN" w:bidi="ar"/>
              </w:rPr>
            </w:pPr>
            <w:r>
              <w:rPr>
                <w:rFonts w:hint="eastAsia" w:ascii="宋体" w:hAnsi="宋体" w:eastAsia="宋体" w:cs="宋体"/>
                <w:b w:val="0"/>
                <w:bCs w:val="0"/>
                <w:color w:val="000000"/>
                <w:kern w:val="0"/>
                <w:sz w:val="20"/>
                <w:szCs w:val="20"/>
                <w:lang w:val="en-US" w:eastAsia="zh-CN" w:bidi="ar"/>
              </w:rPr>
              <w:t>其余</w:t>
            </w:r>
          </w:p>
        </w:tc>
        <w:tc>
          <w:tcPr>
            <w:tcW w:w="900" w:type="pct"/>
            <w:noWrap w:val="0"/>
            <w:vAlign w:val="center"/>
          </w:tcPr>
          <w:p w14:paraId="52B5691F">
            <w:pPr>
              <w:pStyle w:val="30"/>
              <w:keepNext w:val="0"/>
              <w:keepLines w:val="0"/>
              <w:pageBreakBefore w:val="0"/>
              <w:widowControl w:val="0"/>
              <w:kinsoku/>
              <w:bidi w:val="0"/>
              <w:ind w:left="0" w:leftChars="0" w:right="0" w:rightChars="0" w:firstLine="0" w:firstLineChars="0"/>
              <w:jc w:val="center"/>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47</w:t>
            </w:r>
          </w:p>
        </w:tc>
        <w:tc>
          <w:tcPr>
            <w:tcW w:w="1487" w:type="pct"/>
            <w:noWrap w:val="0"/>
            <w:vAlign w:val="center"/>
          </w:tcPr>
          <w:p w14:paraId="0B656E06">
            <w:pPr>
              <w:pStyle w:val="30"/>
              <w:keepNext w:val="0"/>
              <w:keepLines w:val="0"/>
              <w:pageBreakBefore w:val="0"/>
              <w:widowControl w:val="0"/>
              <w:kinsoku/>
              <w:bidi w:val="0"/>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6.34%</w:t>
            </w:r>
          </w:p>
        </w:tc>
      </w:tr>
      <w:tr w14:paraId="18983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11" w:type="pct"/>
            <w:gridSpan w:val="2"/>
            <w:noWrap w:val="0"/>
            <w:vAlign w:val="center"/>
          </w:tcPr>
          <w:p w14:paraId="4171DE6A">
            <w:pPr>
              <w:keepNext w:val="0"/>
              <w:keepLines w:val="0"/>
              <w:widowControl/>
              <w:suppressLineNumbers w:val="0"/>
              <w:jc w:val="center"/>
              <w:rPr>
                <w:rFonts w:hint="default"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合计</w:t>
            </w:r>
          </w:p>
        </w:tc>
        <w:tc>
          <w:tcPr>
            <w:tcW w:w="900" w:type="pct"/>
            <w:noWrap w:val="0"/>
            <w:vAlign w:val="center"/>
          </w:tcPr>
          <w:p w14:paraId="6658226F">
            <w:pPr>
              <w:pStyle w:val="30"/>
              <w:keepNext w:val="0"/>
              <w:keepLines w:val="0"/>
              <w:pageBreakBefore w:val="0"/>
              <w:widowControl w:val="0"/>
              <w:kinsoku/>
              <w:bidi w:val="0"/>
              <w:ind w:left="0" w:leftChars="0" w:right="0" w:rightChars="0" w:firstLine="0" w:firstLineChars="0"/>
              <w:jc w:val="cente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741</w:t>
            </w:r>
          </w:p>
        </w:tc>
        <w:tc>
          <w:tcPr>
            <w:tcW w:w="1487" w:type="pct"/>
            <w:noWrap w:val="0"/>
            <w:vAlign w:val="center"/>
          </w:tcPr>
          <w:p w14:paraId="2C116960">
            <w:pPr>
              <w:pStyle w:val="30"/>
              <w:keepNext w:val="0"/>
              <w:keepLines w:val="0"/>
              <w:pageBreakBefore w:val="0"/>
              <w:widowControl w:val="0"/>
              <w:kinsoku/>
              <w:bidi w:val="0"/>
              <w:jc w:val="cente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100%</w:t>
            </w:r>
          </w:p>
        </w:tc>
      </w:tr>
    </w:tbl>
    <w:p w14:paraId="5CD9F127">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电站后期</w:t>
      </w:r>
      <w:r>
        <w:rPr>
          <w:rFonts w:hint="eastAsia" w:ascii="宋体" w:hAnsi="宋体" w:eastAsia="宋体" w:cs="宋体"/>
          <w:color w:val="000000" w:themeColor="text1"/>
          <w:sz w:val="28"/>
          <w:szCs w:val="28"/>
          <w:lang w:val="zh-CN" w:eastAsia="zh-CN"/>
          <w14:textFill>
            <w14:solidFill>
              <w14:schemeClr w14:val="tx1"/>
            </w14:solidFill>
          </w14:textFill>
        </w:rPr>
        <w:t>生产</w:t>
      </w:r>
      <w:r>
        <w:rPr>
          <w:rFonts w:hint="eastAsia" w:ascii="宋体" w:hAnsi="宋体" w:eastAsia="宋体" w:cs="宋体"/>
          <w:color w:val="000000" w:themeColor="text1"/>
          <w:sz w:val="28"/>
          <w:szCs w:val="28"/>
          <w:lang w:val="en-US" w:eastAsia="zh-CN"/>
          <w14:textFill>
            <w14:solidFill>
              <w14:schemeClr w14:val="tx1"/>
            </w14:solidFill>
          </w14:textFill>
        </w:rPr>
        <w:t>运行</w:t>
      </w:r>
      <w:r>
        <w:rPr>
          <w:rFonts w:hint="eastAsia" w:ascii="宋体" w:hAnsi="宋体" w:eastAsia="宋体" w:cs="宋体"/>
          <w:color w:val="000000" w:themeColor="text1"/>
          <w:sz w:val="28"/>
          <w:szCs w:val="28"/>
          <w:lang w:val="zh-CN" w:eastAsia="zh-CN"/>
          <w14:textFill>
            <w14:solidFill>
              <w14:schemeClr w14:val="tx1"/>
            </w14:solidFill>
          </w14:textFill>
        </w:rPr>
        <w:t>过程中应</w:t>
      </w:r>
      <w:r>
        <w:rPr>
          <w:rFonts w:hint="eastAsia" w:ascii="宋体" w:hAnsi="宋体" w:eastAsia="宋体" w:cs="宋体"/>
          <w:color w:val="000000" w:themeColor="text1"/>
          <w:sz w:val="28"/>
          <w:szCs w:val="28"/>
          <w:lang w:val="en-US" w:eastAsia="zh-CN"/>
          <w14:textFill>
            <w14:solidFill>
              <w14:schemeClr w14:val="tx1"/>
            </w14:solidFill>
          </w14:textFill>
        </w:rPr>
        <w:t>按《企业安全生产费用提取和使用管理办法》（财资〔2022〕136号）第四十三条的要求，以上一年度营业收入为依据，采取超额累退方式确定本年度应计提安全生产费用，并逐月平均提取。</w:t>
      </w:r>
    </w:p>
    <w:p w14:paraId="6539189F">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auto"/>
        <w:outlineLvl w:val="1"/>
        <w:rPr>
          <w:rFonts w:hint="default" w:ascii="宋体" w:hAnsi="宋体" w:cs="宋体"/>
          <w:b/>
          <w:bCs/>
          <w:color w:val="000000"/>
          <w:kern w:val="0"/>
          <w:sz w:val="32"/>
          <w:szCs w:val="32"/>
          <w:lang w:val="en-US" w:eastAsia="zh-CN" w:bidi="ar"/>
        </w:rPr>
      </w:pPr>
      <w:bookmarkStart w:id="222" w:name="_Toc28517"/>
      <w:r>
        <w:rPr>
          <w:rFonts w:hint="eastAsia" w:ascii="宋体" w:hAnsi="宋体" w:cs="宋体"/>
          <w:b/>
          <w:bCs/>
          <w:color w:val="000000"/>
          <w:kern w:val="0"/>
          <w:sz w:val="32"/>
          <w:szCs w:val="32"/>
          <w:lang w:val="en-US" w:eastAsia="zh-CN" w:bidi="ar"/>
        </w:rPr>
        <w:t>2.6施工及监理概况</w:t>
      </w:r>
      <w:bookmarkEnd w:id="222"/>
    </w:p>
    <w:p w14:paraId="495AFE94">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both"/>
        <w:textAlignment w:val="auto"/>
        <w:rPr>
          <w:rFonts w:hint="default" w:ascii="宋体" w:hAnsi="宋体" w:cs="宋体"/>
          <w:b/>
          <w:bCs/>
          <w:color w:val="000000"/>
          <w:kern w:val="0"/>
          <w:sz w:val="28"/>
          <w:szCs w:val="28"/>
          <w:lang w:val="en-US" w:eastAsia="zh-CN" w:bidi="ar"/>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该电站光伏场区的光伏方阵、土建工程、电气系统由中国水利水电第九工程局有限公司负责施工，施工单位资质情况如下：</w:t>
      </w:r>
    </w:p>
    <w:p w14:paraId="4E6FBFF3">
      <w:pPr>
        <w:pStyle w:val="8"/>
        <w:keepNext w:val="0"/>
        <w:keepLines w:val="0"/>
        <w:pageBreakBefore w:val="0"/>
        <w:kinsoku/>
        <w:wordWrap/>
        <w:overflowPunct/>
        <w:topLinePunct w:val="0"/>
        <w:autoSpaceDE/>
        <w:autoSpaceDN/>
        <w:bidi w:val="0"/>
        <w:adjustRightInd/>
        <w:snapToGrid/>
        <w:spacing w:line="420" w:lineRule="exact"/>
        <w:textAlignment w:val="auto"/>
        <w:rPr>
          <w:color w:val="000000" w:themeColor="text1"/>
          <w14:textFill>
            <w14:solidFill>
              <w14:schemeClr w14:val="tx1"/>
            </w14:solidFill>
          </w14:textFill>
        </w:rPr>
      </w:pPr>
      <w:r>
        <w:rPr>
          <w:color w:val="000000" w:themeColor="text1"/>
          <w14:textFill>
            <w14:solidFill>
              <w14:schemeClr w14:val="tx1"/>
            </w14:solidFill>
          </w14:textFill>
        </w:rPr>
        <w:t>表</w:t>
      </w:r>
      <w:r>
        <w:rPr>
          <w:rFonts w:hint="eastAsia"/>
          <w:color w:val="000000" w:themeColor="text1"/>
          <w:lang w:val="en-US" w:eastAsia="zh-CN"/>
          <w14:textFill>
            <w14:solidFill>
              <w14:schemeClr w14:val="tx1"/>
            </w14:solidFill>
          </w14:textFill>
        </w:rPr>
        <w:t>2-6.1</w:t>
      </w:r>
      <w:r>
        <w:rPr>
          <w:color w:val="000000" w:themeColor="text1"/>
          <w14:textFill>
            <w14:solidFill>
              <w14:schemeClr w14:val="tx1"/>
            </w14:solidFill>
          </w14:textFill>
        </w:rPr>
        <w:t xml:space="preserve"> 施工单位资质情况</w:t>
      </w:r>
    </w:p>
    <w:tbl>
      <w:tblPr>
        <w:tblStyle w:val="25"/>
        <w:tblW w:w="8948"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5"/>
        <w:gridCol w:w="1703"/>
        <w:gridCol w:w="25"/>
        <w:gridCol w:w="2394"/>
        <w:gridCol w:w="2395"/>
        <w:gridCol w:w="2381"/>
        <w:gridCol w:w="25"/>
      </w:tblGrid>
      <w:tr w14:paraId="0E4F4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25" w:type="dxa"/>
          <w:trHeight w:val="449" w:hRule="atLeast"/>
        </w:trPr>
        <w:tc>
          <w:tcPr>
            <w:tcW w:w="1728" w:type="dxa"/>
            <w:gridSpan w:val="2"/>
            <w:noWrap w:val="0"/>
            <w:vAlign w:val="top"/>
          </w:tcPr>
          <w:p w14:paraId="453B211D">
            <w:pPr>
              <w:pStyle w:val="26"/>
              <w:spacing w:before="185" w:line="229" w:lineRule="auto"/>
              <w:ind w:left="486"/>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单位名称</w:t>
            </w:r>
          </w:p>
        </w:tc>
        <w:tc>
          <w:tcPr>
            <w:tcW w:w="7195" w:type="dxa"/>
            <w:gridSpan w:val="4"/>
            <w:noWrap w:val="0"/>
            <w:vAlign w:val="top"/>
          </w:tcPr>
          <w:p w14:paraId="400D7062">
            <w:pPr>
              <w:pStyle w:val="26"/>
              <w:spacing w:before="183" w:line="228" w:lineRule="auto"/>
              <w:ind w:left="193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中国水利水电第</w:t>
            </w:r>
            <w:r>
              <w:rPr>
                <w:rFonts w:hint="eastAsia" w:ascii="宋体" w:hAnsi="宋体" w:eastAsia="宋体" w:cs="宋体"/>
                <w:color w:val="000000" w:themeColor="text1"/>
                <w:spacing w:val="8"/>
                <w:sz w:val="21"/>
                <w:szCs w:val="21"/>
                <w:lang w:val="en-US" w:eastAsia="zh-CN"/>
                <w14:textFill>
                  <w14:solidFill>
                    <w14:schemeClr w14:val="tx1"/>
                  </w14:solidFill>
                </w14:textFill>
              </w:rPr>
              <w:t>九</w:t>
            </w:r>
            <w:r>
              <w:rPr>
                <w:rFonts w:hint="eastAsia" w:ascii="宋体" w:hAnsi="宋体" w:eastAsia="宋体" w:cs="宋体"/>
                <w:color w:val="000000" w:themeColor="text1"/>
                <w:spacing w:val="8"/>
                <w:sz w:val="21"/>
                <w:szCs w:val="21"/>
                <w14:textFill>
                  <w14:solidFill>
                    <w14:schemeClr w14:val="tx1"/>
                  </w14:solidFill>
                </w14:textFill>
              </w:rPr>
              <w:t>工程局有限公司</w:t>
            </w:r>
          </w:p>
        </w:tc>
      </w:tr>
      <w:tr w14:paraId="1FDE7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25" w:type="dxa"/>
          <w:trHeight w:val="564" w:hRule="atLeast"/>
        </w:trPr>
        <w:tc>
          <w:tcPr>
            <w:tcW w:w="1728" w:type="dxa"/>
            <w:gridSpan w:val="2"/>
            <w:noWrap w:val="0"/>
            <w:vAlign w:val="top"/>
          </w:tcPr>
          <w:p w14:paraId="6F0E611F">
            <w:pPr>
              <w:pStyle w:val="26"/>
              <w:spacing w:before="176" w:line="227" w:lineRule="auto"/>
              <w:ind w:left="448"/>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证书名称</w:t>
            </w:r>
          </w:p>
        </w:tc>
        <w:tc>
          <w:tcPr>
            <w:tcW w:w="2394" w:type="dxa"/>
            <w:noWrap w:val="0"/>
            <w:vAlign w:val="top"/>
          </w:tcPr>
          <w:p w14:paraId="13AED8E9">
            <w:pPr>
              <w:pStyle w:val="26"/>
              <w:spacing w:before="176" w:line="227" w:lineRule="auto"/>
              <w:ind w:left="25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建筑业企业资质证书</w:t>
            </w:r>
          </w:p>
        </w:tc>
        <w:tc>
          <w:tcPr>
            <w:tcW w:w="2395" w:type="dxa"/>
            <w:noWrap w:val="0"/>
            <w:vAlign w:val="top"/>
          </w:tcPr>
          <w:p w14:paraId="68051FF3">
            <w:pPr>
              <w:pStyle w:val="26"/>
              <w:spacing w:before="176" w:line="227" w:lineRule="auto"/>
              <w:ind w:left="781"/>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证书编号</w:t>
            </w:r>
          </w:p>
        </w:tc>
        <w:tc>
          <w:tcPr>
            <w:tcW w:w="2406" w:type="dxa"/>
            <w:gridSpan w:val="2"/>
            <w:noWrap w:val="0"/>
            <w:vAlign w:val="top"/>
          </w:tcPr>
          <w:p w14:paraId="01C5F672">
            <w:pPr>
              <w:spacing w:before="212" w:line="195" w:lineRule="auto"/>
              <w:ind w:left="654"/>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D15</w:t>
            </w:r>
            <w:r>
              <w:rPr>
                <w:rFonts w:hint="eastAsia" w:ascii="宋体" w:hAnsi="宋体" w:cs="宋体"/>
                <w:color w:val="000000" w:themeColor="text1"/>
                <w:spacing w:val="4"/>
                <w:sz w:val="21"/>
                <w:szCs w:val="21"/>
                <w:lang w:val="en-US" w:eastAsia="zh-CN"/>
                <w14:textFill>
                  <w14:solidFill>
                    <w14:schemeClr w14:val="tx1"/>
                  </w14:solidFill>
                </w14:textFill>
              </w:rPr>
              <w:t>2006684</w:t>
            </w:r>
          </w:p>
        </w:tc>
      </w:tr>
      <w:tr w14:paraId="099D0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25" w:type="dxa"/>
          <w:trHeight w:val="567" w:hRule="atLeast"/>
        </w:trPr>
        <w:tc>
          <w:tcPr>
            <w:tcW w:w="1728" w:type="dxa"/>
            <w:gridSpan w:val="2"/>
            <w:noWrap w:val="0"/>
            <w:vAlign w:val="top"/>
          </w:tcPr>
          <w:p w14:paraId="323DA955">
            <w:pPr>
              <w:pStyle w:val="26"/>
              <w:spacing w:before="180" w:line="228" w:lineRule="auto"/>
              <w:ind w:left="44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有效日期</w:t>
            </w:r>
          </w:p>
        </w:tc>
        <w:tc>
          <w:tcPr>
            <w:tcW w:w="2394" w:type="dxa"/>
            <w:noWrap w:val="0"/>
            <w:vAlign w:val="top"/>
          </w:tcPr>
          <w:p w14:paraId="6A41AAC8">
            <w:pPr>
              <w:spacing w:before="216" w:line="195" w:lineRule="auto"/>
              <w:ind w:left="70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2028-12-22</w:t>
            </w:r>
          </w:p>
        </w:tc>
        <w:tc>
          <w:tcPr>
            <w:tcW w:w="2395" w:type="dxa"/>
            <w:noWrap w:val="0"/>
            <w:vAlign w:val="top"/>
          </w:tcPr>
          <w:p w14:paraId="6809653B">
            <w:pPr>
              <w:pStyle w:val="26"/>
              <w:spacing w:before="180" w:line="227" w:lineRule="auto"/>
              <w:ind w:left="784"/>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5"/>
                <w:sz w:val="21"/>
                <w:szCs w:val="21"/>
                <w14:textFill>
                  <w14:solidFill>
                    <w14:schemeClr w14:val="tx1"/>
                  </w14:solidFill>
                </w14:textFill>
              </w:rPr>
              <w:t>发证机关</w:t>
            </w:r>
          </w:p>
        </w:tc>
        <w:tc>
          <w:tcPr>
            <w:tcW w:w="2406" w:type="dxa"/>
            <w:gridSpan w:val="2"/>
            <w:noWrap w:val="0"/>
            <w:vAlign w:val="top"/>
          </w:tcPr>
          <w:p w14:paraId="6B074C45">
            <w:pPr>
              <w:pStyle w:val="26"/>
              <w:spacing w:before="43" w:line="237" w:lineRule="auto"/>
              <w:ind w:left="797" w:right="48" w:hanging="726"/>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中华人民共和国住房和城</w:t>
            </w:r>
            <w:r>
              <w:rPr>
                <w:rFonts w:hint="eastAsia" w:ascii="宋体" w:hAnsi="宋体" w:eastAsia="宋体" w:cs="宋体"/>
                <w:color w:val="000000" w:themeColor="text1"/>
                <w:spacing w:val="5"/>
                <w:sz w:val="21"/>
                <w:szCs w:val="21"/>
                <w14:textFill>
                  <w14:solidFill>
                    <w14:schemeClr w14:val="tx1"/>
                  </w14:solidFill>
                </w14:textFill>
              </w:rPr>
              <w:t>乡建设部</w:t>
            </w:r>
          </w:p>
        </w:tc>
      </w:tr>
      <w:tr w14:paraId="3B487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25" w:type="dxa"/>
          <w:trHeight w:val="552" w:hRule="atLeast"/>
        </w:trPr>
        <w:tc>
          <w:tcPr>
            <w:tcW w:w="1728" w:type="dxa"/>
            <w:gridSpan w:val="2"/>
            <w:noWrap w:val="0"/>
            <w:vAlign w:val="top"/>
          </w:tcPr>
          <w:p w14:paraId="419CBF5A">
            <w:pPr>
              <w:pStyle w:val="26"/>
              <w:spacing w:before="170" w:line="228" w:lineRule="auto"/>
              <w:ind w:left="457"/>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3"/>
                <w:sz w:val="21"/>
                <w:szCs w:val="21"/>
                <w14:textFill>
                  <w14:solidFill>
                    <w14:schemeClr w14:val="tx1"/>
                  </w14:solidFill>
                </w14:textFill>
              </w:rPr>
              <w:t>资质范围</w:t>
            </w:r>
          </w:p>
        </w:tc>
        <w:tc>
          <w:tcPr>
            <w:tcW w:w="7195" w:type="dxa"/>
            <w:gridSpan w:val="4"/>
            <w:noWrap w:val="0"/>
            <w:vAlign w:val="top"/>
          </w:tcPr>
          <w:p w14:paraId="01396745">
            <w:pPr>
              <w:pStyle w:val="26"/>
              <w:spacing w:before="34" w:line="234" w:lineRule="auto"/>
              <w:ind w:left="9" w:right="5" w:firstLine="2"/>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1"/>
                <w:sz w:val="21"/>
                <w:szCs w:val="21"/>
                <w14:textFill>
                  <w14:solidFill>
                    <w14:schemeClr w14:val="tx1"/>
                  </w14:solidFill>
                </w14:textFill>
              </w:rPr>
              <w:t>水利水电工程施工总承包特级；建筑工程施工总承</w:t>
            </w:r>
            <w:r>
              <w:rPr>
                <w:rFonts w:hint="eastAsia" w:cs="宋体"/>
                <w:color w:val="000000" w:themeColor="text1"/>
                <w:spacing w:val="11"/>
                <w:sz w:val="21"/>
                <w:szCs w:val="21"/>
                <w:lang w:val="en-US" w:eastAsia="zh-CN"/>
                <w14:textFill>
                  <w14:solidFill>
                    <w14:schemeClr w14:val="tx1"/>
                  </w14:solidFill>
                </w14:textFill>
              </w:rPr>
              <w:t>特</w:t>
            </w:r>
            <w:r>
              <w:rPr>
                <w:rFonts w:hint="eastAsia" w:ascii="宋体" w:hAnsi="宋体" w:eastAsia="宋体" w:cs="宋体"/>
                <w:color w:val="000000" w:themeColor="text1"/>
                <w:spacing w:val="11"/>
                <w:sz w:val="21"/>
                <w:szCs w:val="21"/>
                <w14:textFill>
                  <w14:solidFill>
                    <w14:schemeClr w14:val="tx1"/>
                  </w14:solidFill>
                </w14:textFill>
              </w:rPr>
              <w:t>级</w:t>
            </w:r>
            <w:r>
              <w:rPr>
                <w:rFonts w:hint="eastAsia" w:cs="宋体"/>
                <w:color w:val="000000" w:themeColor="text1"/>
                <w:spacing w:val="11"/>
                <w:sz w:val="21"/>
                <w:szCs w:val="21"/>
                <w:lang w:eastAsia="zh-CN"/>
                <w14:textFill>
                  <w14:solidFill>
                    <w14:schemeClr w14:val="tx1"/>
                  </w14:solidFill>
                </w14:textFill>
              </w:rPr>
              <w:t>；</w:t>
            </w:r>
            <w:r>
              <w:rPr>
                <w:rFonts w:hint="eastAsia" w:ascii="宋体" w:hAnsi="宋体" w:eastAsia="宋体" w:cs="宋体"/>
                <w:color w:val="000000" w:themeColor="text1"/>
                <w:spacing w:val="11"/>
                <w:sz w:val="21"/>
                <w:szCs w:val="21"/>
                <w14:textFill>
                  <w14:solidFill>
                    <w14:schemeClr w14:val="tx1"/>
                  </w14:solidFill>
                </w14:textFill>
              </w:rPr>
              <w:t>市政公用工程</w:t>
            </w:r>
            <w:r>
              <w:rPr>
                <w:rFonts w:hint="eastAsia" w:ascii="宋体" w:hAnsi="宋体" w:eastAsia="宋体" w:cs="宋体"/>
                <w:color w:val="000000" w:themeColor="text1"/>
                <w:spacing w:val="10"/>
                <w:sz w:val="21"/>
                <w:szCs w:val="21"/>
                <w14:textFill>
                  <w14:solidFill>
                    <w14:schemeClr w14:val="tx1"/>
                  </w14:solidFill>
                </w14:textFill>
              </w:rPr>
              <w:t>施工总</w:t>
            </w:r>
            <w:r>
              <w:rPr>
                <w:rFonts w:hint="eastAsia" w:ascii="宋体" w:hAnsi="宋体" w:eastAsia="宋体" w:cs="宋体"/>
                <w:color w:val="000000" w:themeColor="text1"/>
                <w:spacing w:val="9"/>
                <w:sz w:val="21"/>
                <w:szCs w:val="21"/>
                <w14:textFill>
                  <w14:solidFill>
                    <w14:schemeClr w14:val="tx1"/>
                  </w14:solidFill>
                </w14:textFill>
              </w:rPr>
              <w:t>承包壹级</w:t>
            </w:r>
            <w:r>
              <w:rPr>
                <w:rFonts w:hint="eastAsia" w:cs="宋体"/>
                <w:color w:val="000000" w:themeColor="text1"/>
                <w:spacing w:val="9"/>
                <w:sz w:val="21"/>
                <w:szCs w:val="21"/>
                <w:lang w:eastAsia="zh-CN"/>
                <w14:textFill>
                  <w14:solidFill>
                    <w14:schemeClr w14:val="tx1"/>
                  </w14:solidFill>
                </w14:textFill>
              </w:rPr>
              <w:t>；</w:t>
            </w:r>
            <w:r>
              <w:rPr>
                <w:rFonts w:hint="eastAsia" w:cs="宋体"/>
                <w:color w:val="000000" w:themeColor="text1"/>
                <w:spacing w:val="9"/>
                <w:sz w:val="21"/>
                <w:szCs w:val="21"/>
                <w:lang w:val="en-US" w:eastAsia="zh-CN"/>
                <w14:textFill>
                  <w14:solidFill>
                    <w14:schemeClr w14:val="tx1"/>
                  </w14:solidFill>
                </w14:textFill>
              </w:rPr>
              <w:t>电力</w:t>
            </w:r>
            <w:r>
              <w:rPr>
                <w:rFonts w:hint="eastAsia" w:ascii="宋体" w:hAnsi="宋体" w:eastAsia="宋体" w:cs="宋体"/>
                <w:color w:val="000000" w:themeColor="text1"/>
                <w:spacing w:val="9"/>
                <w:sz w:val="21"/>
                <w:szCs w:val="21"/>
                <w14:textFill>
                  <w14:solidFill>
                    <w14:schemeClr w14:val="tx1"/>
                  </w14:solidFill>
                </w14:textFill>
              </w:rPr>
              <w:t>工程施工总承包壹级；</w:t>
            </w:r>
            <w:r>
              <w:rPr>
                <w:rFonts w:hint="eastAsia" w:cs="宋体"/>
                <w:color w:val="000000" w:themeColor="text1"/>
                <w:spacing w:val="9"/>
                <w:sz w:val="21"/>
                <w:szCs w:val="21"/>
                <w:lang w:val="en-US" w:eastAsia="zh-CN"/>
                <w14:textFill>
                  <w14:solidFill>
                    <w14:schemeClr w14:val="tx1"/>
                  </w14:solidFill>
                </w14:textFill>
              </w:rPr>
              <w:t>矿山</w:t>
            </w:r>
            <w:r>
              <w:rPr>
                <w:rFonts w:hint="eastAsia" w:ascii="宋体" w:hAnsi="宋体" w:eastAsia="宋体" w:cs="宋体"/>
                <w:color w:val="000000" w:themeColor="text1"/>
                <w:spacing w:val="9"/>
                <w:sz w:val="21"/>
                <w:szCs w:val="21"/>
                <w14:textFill>
                  <w14:solidFill>
                    <w14:schemeClr w14:val="tx1"/>
                  </w14:solidFill>
                </w14:textFill>
              </w:rPr>
              <w:t>工程</w:t>
            </w:r>
            <w:r>
              <w:rPr>
                <w:rFonts w:hint="eastAsia" w:cs="宋体"/>
                <w:color w:val="000000" w:themeColor="text1"/>
                <w:spacing w:val="9"/>
                <w:sz w:val="21"/>
                <w:szCs w:val="21"/>
                <w:lang w:val="en-US" w:eastAsia="zh-CN"/>
                <w14:textFill>
                  <w14:solidFill>
                    <w14:schemeClr w14:val="tx1"/>
                  </w14:solidFill>
                </w14:textFill>
              </w:rPr>
              <w:t>施工总</w:t>
            </w:r>
            <w:r>
              <w:rPr>
                <w:rFonts w:hint="eastAsia" w:ascii="宋体" w:hAnsi="宋体" w:eastAsia="宋体" w:cs="宋体"/>
                <w:color w:val="000000" w:themeColor="text1"/>
                <w:spacing w:val="9"/>
                <w:sz w:val="21"/>
                <w:szCs w:val="21"/>
                <w14:textFill>
                  <w14:solidFill>
                    <w14:schemeClr w14:val="tx1"/>
                  </w14:solidFill>
                </w14:textFill>
              </w:rPr>
              <w:t>承包壹级。</w:t>
            </w:r>
          </w:p>
        </w:tc>
      </w:tr>
    </w:tbl>
    <w:p w14:paraId="48675F94">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themeColor="text1"/>
          <w:kern w:val="2"/>
          <w:sz w:val="28"/>
          <w:szCs w:val="24"/>
          <w:lang w:val="en-US" w:eastAsia="zh-CN" w:bidi="ar-SA"/>
          <w14:textFill>
            <w14:solidFill>
              <w14:schemeClr w14:val="tx1"/>
            </w14:solidFill>
          </w14:textFill>
        </w:rPr>
        <w:t>该光伏发电站的监理是由江西同济建设项目管理股份有限公司负责， 监理单位资质情况如下：</w:t>
      </w:r>
    </w:p>
    <w:p w14:paraId="4216A191">
      <w:pPr>
        <w:pStyle w:val="8"/>
        <w:keepNext w:val="0"/>
        <w:keepLines w:val="0"/>
        <w:pageBreakBefore w:val="0"/>
        <w:kinsoku/>
        <w:wordWrap/>
        <w:overflowPunct/>
        <w:topLinePunct w:val="0"/>
        <w:autoSpaceDE/>
        <w:autoSpaceDN/>
        <w:bidi w:val="0"/>
        <w:adjustRightInd/>
        <w:snapToGrid/>
        <w:spacing w:line="420" w:lineRule="exact"/>
        <w:textAlignment w:val="auto"/>
        <w:rPr>
          <w:color w:val="000000" w:themeColor="text1"/>
          <w14:textFill>
            <w14:solidFill>
              <w14:schemeClr w14:val="tx1"/>
            </w14:solidFill>
          </w14:textFill>
        </w:rPr>
      </w:pPr>
      <w:r>
        <w:rPr>
          <w:color w:val="000000" w:themeColor="text1"/>
          <w14:textFill>
            <w14:solidFill>
              <w14:schemeClr w14:val="tx1"/>
            </w14:solidFill>
          </w14:textFill>
        </w:rPr>
        <w:t>表 2-</w:t>
      </w:r>
      <w:r>
        <w:rPr>
          <w:rFonts w:hint="eastAsia"/>
          <w:color w:val="000000" w:themeColor="text1"/>
          <w:lang w:val="en-US" w:eastAsia="zh-CN"/>
          <w14:textFill>
            <w14:solidFill>
              <w14:schemeClr w14:val="tx1"/>
            </w14:solidFill>
          </w14:textFill>
        </w:rPr>
        <w:t>6.2</w:t>
      </w:r>
      <w:r>
        <w:rPr>
          <w:color w:val="000000" w:themeColor="text1"/>
          <w14:textFill>
            <w14:solidFill>
              <w14:schemeClr w14:val="tx1"/>
            </w14:solidFill>
          </w14:textFill>
        </w:rPr>
        <w:t>监理单位资质情况</w:t>
      </w:r>
    </w:p>
    <w:tbl>
      <w:tblPr>
        <w:tblStyle w:val="25"/>
        <w:tblW w:w="893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28"/>
        <w:gridCol w:w="2287"/>
        <w:gridCol w:w="1579"/>
        <w:gridCol w:w="3338"/>
      </w:tblGrid>
      <w:tr w14:paraId="17CF47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8" w:hRule="atLeast"/>
        </w:trPr>
        <w:tc>
          <w:tcPr>
            <w:tcW w:w="1728" w:type="dxa"/>
            <w:noWrap w:val="0"/>
            <w:vAlign w:val="top"/>
          </w:tcPr>
          <w:p w14:paraId="4F3B0840">
            <w:pPr>
              <w:pStyle w:val="26"/>
              <w:spacing w:before="163" w:line="228" w:lineRule="auto"/>
              <w:ind w:left="45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单位名称</w:t>
            </w:r>
          </w:p>
        </w:tc>
        <w:tc>
          <w:tcPr>
            <w:tcW w:w="7204" w:type="dxa"/>
            <w:gridSpan w:val="3"/>
            <w:noWrap w:val="0"/>
            <w:vAlign w:val="top"/>
          </w:tcPr>
          <w:p w14:paraId="36F25D22">
            <w:pPr>
              <w:pStyle w:val="26"/>
              <w:spacing w:before="162" w:line="228" w:lineRule="auto"/>
              <w:ind w:left="1943"/>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lang w:val="en-US" w:eastAsia="zh-CN"/>
                <w14:textFill>
                  <w14:solidFill>
                    <w14:schemeClr w14:val="tx1"/>
                  </w14:solidFill>
                </w14:textFill>
              </w:rPr>
              <w:t>江西同济建设项目管理股份有限公司</w:t>
            </w:r>
          </w:p>
        </w:tc>
      </w:tr>
      <w:tr w14:paraId="7CEF68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7" w:hRule="atLeast"/>
        </w:trPr>
        <w:tc>
          <w:tcPr>
            <w:tcW w:w="1728" w:type="dxa"/>
            <w:noWrap w:val="0"/>
            <w:vAlign w:val="top"/>
          </w:tcPr>
          <w:p w14:paraId="5886425A">
            <w:pPr>
              <w:pStyle w:val="26"/>
              <w:spacing w:before="157" w:line="227" w:lineRule="auto"/>
              <w:ind w:left="448"/>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证书名称</w:t>
            </w:r>
          </w:p>
        </w:tc>
        <w:tc>
          <w:tcPr>
            <w:tcW w:w="2287" w:type="dxa"/>
            <w:noWrap w:val="0"/>
            <w:vAlign w:val="top"/>
          </w:tcPr>
          <w:p w14:paraId="05B83504">
            <w:pPr>
              <w:pStyle w:val="26"/>
              <w:spacing w:before="157" w:line="227" w:lineRule="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工程监理资质证书</w:t>
            </w:r>
          </w:p>
        </w:tc>
        <w:tc>
          <w:tcPr>
            <w:tcW w:w="1579" w:type="dxa"/>
            <w:noWrap w:val="0"/>
            <w:vAlign w:val="top"/>
          </w:tcPr>
          <w:p w14:paraId="65114128">
            <w:pPr>
              <w:pStyle w:val="26"/>
              <w:spacing w:before="157" w:line="227" w:lineRule="auto"/>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证书编号</w:t>
            </w:r>
          </w:p>
        </w:tc>
        <w:tc>
          <w:tcPr>
            <w:tcW w:w="3338" w:type="dxa"/>
            <w:noWrap w:val="0"/>
            <w:vAlign w:val="top"/>
          </w:tcPr>
          <w:p w14:paraId="0D736A3E">
            <w:pPr>
              <w:spacing w:before="193" w:line="195" w:lineRule="auto"/>
              <w:ind w:left="672"/>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E1</w:t>
            </w:r>
            <w:r>
              <w:rPr>
                <w:rFonts w:hint="eastAsia" w:ascii="宋体" w:hAnsi="宋体" w:cs="宋体"/>
                <w:color w:val="000000" w:themeColor="text1"/>
                <w:spacing w:val="3"/>
                <w:sz w:val="21"/>
                <w:szCs w:val="21"/>
                <w:lang w:val="en-US" w:eastAsia="zh-CN"/>
                <w14:textFill>
                  <w14:solidFill>
                    <w14:schemeClr w14:val="tx1"/>
                  </w14:solidFill>
                </w14:textFill>
              </w:rPr>
              <w:t>36000378</w:t>
            </w:r>
          </w:p>
        </w:tc>
      </w:tr>
      <w:tr w14:paraId="4846CE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 w:hRule="atLeast"/>
        </w:trPr>
        <w:tc>
          <w:tcPr>
            <w:tcW w:w="1728" w:type="dxa"/>
            <w:noWrap w:val="0"/>
            <w:vAlign w:val="top"/>
          </w:tcPr>
          <w:p w14:paraId="09620D33">
            <w:pPr>
              <w:pStyle w:val="26"/>
              <w:spacing w:before="153" w:line="228" w:lineRule="auto"/>
              <w:ind w:left="44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有效日期</w:t>
            </w:r>
          </w:p>
        </w:tc>
        <w:tc>
          <w:tcPr>
            <w:tcW w:w="2287" w:type="dxa"/>
            <w:noWrap w:val="0"/>
            <w:vAlign w:val="top"/>
          </w:tcPr>
          <w:p w14:paraId="7E103ABF">
            <w:pPr>
              <w:spacing w:before="189" w:line="195" w:lineRule="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202</w:t>
            </w:r>
            <w:r>
              <w:rPr>
                <w:rFonts w:hint="eastAsia" w:ascii="宋体" w:hAnsi="宋体" w:cs="宋体"/>
                <w:color w:val="000000" w:themeColor="text1"/>
                <w:spacing w:val="4"/>
                <w:sz w:val="21"/>
                <w:szCs w:val="21"/>
                <w:lang w:val="en-US" w:eastAsia="zh-CN"/>
                <w14:textFill>
                  <w14:solidFill>
                    <w14:schemeClr w14:val="tx1"/>
                  </w14:solidFill>
                </w14:textFill>
              </w:rPr>
              <w:t>8</w:t>
            </w:r>
            <w:r>
              <w:rPr>
                <w:rFonts w:hint="eastAsia" w:ascii="宋体" w:hAnsi="宋体" w:eastAsia="宋体" w:cs="宋体"/>
                <w:color w:val="000000" w:themeColor="text1"/>
                <w:spacing w:val="4"/>
                <w:sz w:val="21"/>
                <w:szCs w:val="21"/>
                <w14:textFill>
                  <w14:solidFill>
                    <w14:schemeClr w14:val="tx1"/>
                  </w14:solidFill>
                </w14:textFill>
              </w:rPr>
              <w:t>-</w:t>
            </w:r>
            <w:r>
              <w:rPr>
                <w:rFonts w:hint="eastAsia" w:ascii="宋体" w:hAnsi="宋体" w:cs="宋体"/>
                <w:color w:val="000000" w:themeColor="text1"/>
                <w:spacing w:val="4"/>
                <w:sz w:val="21"/>
                <w:szCs w:val="21"/>
                <w:lang w:val="en-US" w:eastAsia="zh-CN"/>
                <w14:textFill>
                  <w14:solidFill>
                    <w14:schemeClr w14:val="tx1"/>
                  </w14:solidFill>
                </w14:textFill>
              </w:rPr>
              <w:t>12</w:t>
            </w:r>
            <w:r>
              <w:rPr>
                <w:rFonts w:hint="eastAsia" w:ascii="宋体" w:hAnsi="宋体" w:eastAsia="宋体" w:cs="宋体"/>
                <w:color w:val="000000" w:themeColor="text1"/>
                <w:spacing w:val="4"/>
                <w:sz w:val="21"/>
                <w:szCs w:val="21"/>
                <w14:textFill>
                  <w14:solidFill>
                    <w14:schemeClr w14:val="tx1"/>
                  </w14:solidFill>
                </w14:textFill>
              </w:rPr>
              <w:t>-</w:t>
            </w:r>
            <w:r>
              <w:rPr>
                <w:rFonts w:hint="eastAsia" w:ascii="宋体" w:hAnsi="宋体" w:cs="宋体"/>
                <w:color w:val="000000" w:themeColor="text1"/>
                <w:spacing w:val="4"/>
                <w:sz w:val="21"/>
                <w:szCs w:val="21"/>
                <w:lang w:val="en-US" w:eastAsia="zh-CN"/>
                <w14:textFill>
                  <w14:solidFill>
                    <w14:schemeClr w14:val="tx1"/>
                  </w14:solidFill>
                </w14:textFill>
              </w:rPr>
              <w:t>22</w:t>
            </w:r>
          </w:p>
        </w:tc>
        <w:tc>
          <w:tcPr>
            <w:tcW w:w="1579" w:type="dxa"/>
            <w:noWrap w:val="0"/>
            <w:vAlign w:val="top"/>
          </w:tcPr>
          <w:p w14:paraId="341E7001">
            <w:pPr>
              <w:pStyle w:val="26"/>
              <w:spacing w:before="153" w:line="227" w:lineRule="auto"/>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5"/>
                <w:sz w:val="21"/>
                <w:szCs w:val="21"/>
                <w14:textFill>
                  <w14:solidFill>
                    <w14:schemeClr w14:val="tx1"/>
                  </w14:solidFill>
                </w14:textFill>
              </w:rPr>
              <w:t>发证机关</w:t>
            </w:r>
          </w:p>
        </w:tc>
        <w:tc>
          <w:tcPr>
            <w:tcW w:w="3338" w:type="dxa"/>
            <w:noWrap w:val="0"/>
            <w:vAlign w:val="top"/>
          </w:tcPr>
          <w:p w14:paraId="6C5356EC">
            <w:pPr>
              <w:pStyle w:val="26"/>
              <w:spacing w:before="152" w:line="228" w:lineRule="auto"/>
              <w:ind w:left="73"/>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中华人民共和国住房和城</w:t>
            </w:r>
            <w:r>
              <w:rPr>
                <w:rFonts w:hint="eastAsia" w:ascii="宋体" w:hAnsi="宋体" w:eastAsia="宋体" w:cs="宋体"/>
                <w:color w:val="000000" w:themeColor="text1"/>
                <w:spacing w:val="5"/>
                <w:sz w:val="21"/>
                <w:szCs w:val="21"/>
                <w14:textFill>
                  <w14:solidFill>
                    <w14:schemeClr w14:val="tx1"/>
                  </w14:solidFill>
                </w14:textFill>
              </w:rPr>
              <w:t>乡建设部</w:t>
            </w:r>
          </w:p>
        </w:tc>
      </w:tr>
      <w:tr w14:paraId="064D0D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7" w:hRule="atLeast"/>
        </w:trPr>
        <w:tc>
          <w:tcPr>
            <w:tcW w:w="1728" w:type="dxa"/>
            <w:noWrap w:val="0"/>
            <w:vAlign w:val="top"/>
          </w:tcPr>
          <w:p w14:paraId="68ECFE79">
            <w:pPr>
              <w:pStyle w:val="26"/>
              <w:spacing w:before="232" w:line="228" w:lineRule="auto"/>
              <w:ind w:left="457"/>
              <w:rPr>
                <w:rFonts w:hint="eastAsia" w:ascii="宋体" w:hAnsi="宋体" w:eastAsia="宋体" w:cs="宋体"/>
                <w:color w:val="000000" w:themeColor="text1"/>
                <w:sz w:val="21"/>
                <w:szCs w:val="21"/>
                <w14:textFill>
                  <w14:solidFill>
                    <w14:schemeClr w14:val="tx1"/>
                  </w14:solidFill>
                </w14:textFill>
              </w:rPr>
            </w:pPr>
            <w:r>
              <w:rPr>
                <w:rFonts w:hint="eastAsia" w:cs="宋体"/>
                <w:b/>
                <w:bCs/>
                <w:color w:val="000000" w:themeColor="text1"/>
                <w:spacing w:val="3"/>
                <w:sz w:val="21"/>
                <w:szCs w:val="21"/>
                <w:lang w:val="en-US" w:eastAsia="zh-CN"/>
                <w14:textFill>
                  <w14:solidFill>
                    <w14:schemeClr w14:val="tx1"/>
                  </w14:solidFill>
                </w14:textFill>
              </w:rPr>
              <w:t>业务</w:t>
            </w:r>
            <w:r>
              <w:rPr>
                <w:rFonts w:hint="eastAsia" w:ascii="宋体" w:hAnsi="宋体" w:eastAsia="宋体" w:cs="宋体"/>
                <w:b/>
                <w:bCs/>
                <w:color w:val="000000" w:themeColor="text1"/>
                <w:spacing w:val="3"/>
                <w:sz w:val="21"/>
                <w:szCs w:val="21"/>
                <w14:textFill>
                  <w14:solidFill>
                    <w14:schemeClr w14:val="tx1"/>
                  </w14:solidFill>
                </w14:textFill>
              </w:rPr>
              <w:t>范围</w:t>
            </w:r>
          </w:p>
        </w:tc>
        <w:tc>
          <w:tcPr>
            <w:tcW w:w="7204" w:type="dxa"/>
            <w:gridSpan w:val="3"/>
            <w:noWrap w:val="0"/>
            <w:vAlign w:val="top"/>
          </w:tcPr>
          <w:p w14:paraId="0C8DD457">
            <w:pPr>
              <w:pStyle w:val="26"/>
              <w:spacing w:before="34" w:line="234" w:lineRule="auto"/>
              <w:ind w:left="9" w:right="5" w:firstLine="2"/>
              <w:rPr>
                <w:rFonts w:hint="eastAsia" w:ascii="宋体" w:hAnsi="宋体" w:eastAsia="宋体" w:cs="宋体"/>
                <w:color w:val="000000" w:themeColor="text1"/>
                <w:spacing w:val="11"/>
                <w:sz w:val="21"/>
                <w:szCs w:val="21"/>
                <w:lang w:val="en-US" w:eastAsia="zh-CN"/>
                <w14:textFill>
                  <w14:solidFill>
                    <w14:schemeClr w14:val="tx1"/>
                  </w14:solidFill>
                </w14:textFill>
              </w:rPr>
            </w:pPr>
            <w:r>
              <w:rPr>
                <w:rFonts w:hint="eastAsia" w:ascii="宋体" w:hAnsi="宋体" w:eastAsia="宋体" w:cs="宋体"/>
                <w:color w:val="000000" w:themeColor="text1"/>
                <w:spacing w:val="11"/>
                <w:sz w:val="21"/>
                <w:szCs w:val="21"/>
                <w:lang w:val="en-US" w:eastAsia="zh-CN"/>
                <w14:textFill>
                  <w14:solidFill>
                    <w14:schemeClr w14:val="tx1"/>
                  </w14:solidFill>
                </w14:textFill>
              </w:rPr>
              <w:t>工程监理综合资质。</w:t>
            </w:r>
          </w:p>
          <w:p w14:paraId="17457649">
            <w:pPr>
              <w:pStyle w:val="26"/>
              <w:spacing w:before="34" w:line="234" w:lineRule="auto"/>
              <w:ind w:left="9" w:right="5" w:firstLine="2"/>
              <w:rPr>
                <w:rFonts w:hint="default"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pacing w:val="11"/>
                <w:sz w:val="21"/>
                <w:szCs w:val="21"/>
                <w:lang w:val="en-US" w:eastAsia="zh-CN"/>
                <w14:textFill>
                  <w14:solidFill>
                    <w14:schemeClr w14:val="tx1"/>
                  </w14:solidFill>
                </w14:textFill>
              </w:rPr>
              <w:t>可承担所有专业工程类别建设项目的工程监理业务。</w:t>
            </w:r>
          </w:p>
        </w:tc>
      </w:tr>
    </w:tbl>
    <w:p w14:paraId="17FCB7D8">
      <w:pPr>
        <w:pStyle w:val="10"/>
        <w:keepNext w:val="0"/>
        <w:keepLines w:val="0"/>
        <w:pageBreakBefore w:val="0"/>
        <w:widowControl w:val="0"/>
        <w:kinsoku/>
        <w:wordWrap/>
        <w:overflowPunct/>
        <w:topLinePunct w:val="0"/>
        <w:autoSpaceDE/>
        <w:autoSpaceDN/>
        <w:bidi w:val="0"/>
        <w:adjustRightInd/>
        <w:snapToGrid/>
        <w:spacing w:after="0" w:line="420" w:lineRule="exact"/>
        <w:ind w:left="0" w:right="0" w:firstLine="539"/>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施工、监理情况详见附件</w:t>
      </w:r>
      <w:r>
        <w:rPr>
          <w:rFonts w:hint="eastAsia" w:ascii="宋体" w:hAnsi="宋体" w:cs="宋体"/>
          <w:color w:val="000000" w:themeColor="text1"/>
          <w:kern w:val="2"/>
          <w:sz w:val="28"/>
          <w:szCs w:val="24"/>
          <w:lang w:val="en-US" w:eastAsia="zh-CN" w:bidi="ar-SA"/>
          <w14:textFill>
            <w14:solidFill>
              <w14:schemeClr w14:val="tx1"/>
            </w14:solidFill>
          </w14:textFill>
        </w:rPr>
        <w:t>7</w:t>
      </w:r>
      <w:r>
        <w:rPr>
          <w:rFonts w:hint="eastAsia" w:ascii="宋体" w:hAnsi="宋体" w:eastAsia="宋体" w:cs="宋体"/>
          <w:color w:val="000000" w:themeColor="text1"/>
          <w:kern w:val="2"/>
          <w:sz w:val="28"/>
          <w:szCs w:val="24"/>
          <w:lang w:val="en-US" w:eastAsia="zh-CN" w:bidi="ar-SA"/>
          <w14:textFill>
            <w14:solidFill>
              <w14:schemeClr w14:val="tx1"/>
            </w14:solidFill>
          </w14:textFill>
        </w:rPr>
        <w:t>施工单位资质及工程施工总结报告，附件</w:t>
      </w:r>
      <w:r>
        <w:rPr>
          <w:rFonts w:hint="eastAsia" w:ascii="宋体" w:hAnsi="宋体" w:cs="宋体"/>
          <w:color w:val="000000" w:themeColor="text1"/>
          <w:kern w:val="2"/>
          <w:sz w:val="28"/>
          <w:szCs w:val="24"/>
          <w:lang w:val="en-US" w:eastAsia="zh-CN" w:bidi="ar-SA"/>
          <w14:textFill>
            <w14:solidFill>
              <w14:schemeClr w14:val="tx1"/>
            </w14:solidFill>
          </w14:textFill>
        </w:rPr>
        <w:t>8</w:t>
      </w:r>
      <w:r>
        <w:rPr>
          <w:rFonts w:hint="eastAsia" w:ascii="宋体" w:hAnsi="宋体" w:eastAsia="宋体" w:cs="宋体"/>
          <w:color w:val="000000" w:themeColor="text1"/>
          <w:kern w:val="2"/>
          <w:sz w:val="28"/>
          <w:szCs w:val="24"/>
          <w:lang w:val="en-US" w:eastAsia="zh-CN" w:bidi="ar-SA"/>
          <w14:textFill>
            <w14:solidFill>
              <w14:schemeClr w14:val="tx1"/>
            </w14:solidFill>
          </w14:textFill>
        </w:rPr>
        <w:t>监理单位资质及监理总结报告。</w:t>
      </w:r>
    </w:p>
    <w:p w14:paraId="46477DD3">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auto"/>
        <w:outlineLvl w:val="1"/>
        <w:rPr>
          <w:rFonts w:hint="default"/>
          <w:b/>
          <w:bCs/>
          <w:color w:val="000000" w:themeColor="text1"/>
          <w:sz w:val="24"/>
          <w:szCs w:val="24"/>
          <w:lang w:val="en-US" w:eastAsia="zh-CN"/>
          <w14:textFill>
            <w14:solidFill>
              <w14:schemeClr w14:val="tx1"/>
            </w14:solidFill>
          </w14:textFill>
        </w:rPr>
      </w:pPr>
      <w:bookmarkStart w:id="223" w:name="_Toc15462"/>
      <w:r>
        <w:rPr>
          <w:rFonts w:hint="eastAsia" w:ascii="宋体" w:hAnsi="宋体" w:cs="宋体"/>
          <w:b/>
          <w:bCs/>
          <w:color w:val="000000"/>
          <w:kern w:val="0"/>
          <w:sz w:val="32"/>
          <w:szCs w:val="32"/>
          <w:lang w:val="en-US" w:eastAsia="zh-CN" w:bidi="ar"/>
        </w:rPr>
        <w:t>2.7试运行概况</w:t>
      </w:r>
      <w:bookmarkEnd w:id="223"/>
    </w:p>
    <w:p w14:paraId="11C0BA43">
      <w:pPr>
        <w:keepNext w:val="0"/>
        <w:keepLines w:val="0"/>
        <w:pageBreakBefore w:val="0"/>
        <w:widowControl w:val="0"/>
        <w:kinsoku/>
        <w:wordWrap/>
        <w:overflowPunct/>
        <w:topLinePunct w:val="0"/>
        <w:bidi w:val="0"/>
        <w:snapToGrid/>
        <w:spacing w:line="420" w:lineRule="exact"/>
        <w:ind w:firstLine="560" w:firstLineChars="200"/>
        <w:textAlignment w:val="auto"/>
        <w:rPr>
          <w:rFonts w:hint="eastAsia" w:ascii="宋体" w:hAnsi="宋体" w:cs="Times New Roman"/>
          <w:kern w:val="2"/>
          <w:sz w:val="28"/>
          <w:szCs w:val="28"/>
          <w:highlight w:val="none"/>
          <w:lang w:val="en-US" w:eastAsia="zh-CN" w:bidi="ar-SA"/>
        </w:rPr>
      </w:pPr>
      <w:r>
        <w:rPr>
          <w:rFonts w:hint="eastAsia" w:ascii="宋体" w:hAnsi="宋体" w:cs="宋体"/>
          <w:color w:val="000000" w:themeColor="text1"/>
          <w:sz w:val="28"/>
          <w:szCs w:val="28"/>
          <w:highlight w:val="none"/>
          <w:lang w:val="en-US" w:eastAsia="zh-CN"/>
          <w14:textFill>
            <w14:solidFill>
              <w14:schemeClr w14:val="tx1"/>
            </w14:solidFill>
          </w14:textFill>
        </w:rPr>
        <w:t>该光伏发电项目于2025年1月17日开始进入试运行，</w:t>
      </w:r>
      <w:r>
        <w:rPr>
          <w:rFonts w:hint="eastAsia" w:ascii="宋体" w:hAnsi="宋体" w:eastAsia="宋体" w:cs="宋体"/>
          <w:color w:val="000000" w:themeColor="text1"/>
          <w:kern w:val="0"/>
          <w:sz w:val="28"/>
          <w:szCs w:val="28"/>
          <w:lang w:val="en-US" w:eastAsia="zh-CN" w:bidi="ar"/>
          <w14:textFill>
            <w14:solidFill>
              <w14:schemeClr w14:val="tx1"/>
            </w14:solidFill>
          </w14:textFill>
        </w:rPr>
        <w:t>2025年</w:t>
      </w:r>
      <w:r>
        <w:rPr>
          <w:rFonts w:hint="eastAsia" w:ascii="宋体" w:hAnsi="宋体" w:cs="宋体"/>
          <w:color w:val="000000" w:themeColor="text1"/>
          <w:kern w:val="0"/>
          <w:sz w:val="28"/>
          <w:szCs w:val="28"/>
          <w:lang w:val="en-US" w:eastAsia="zh-CN" w:bidi="ar"/>
          <w14:textFill>
            <w14:solidFill>
              <w14:schemeClr w14:val="tx1"/>
            </w14:solidFill>
          </w14:textFill>
        </w:rPr>
        <w:t>2</w:t>
      </w:r>
      <w:r>
        <w:rPr>
          <w:rFonts w:hint="eastAsia" w:ascii="宋体" w:hAnsi="宋体" w:eastAsia="宋体" w:cs="宋体"/>
          <w:color w:val="000000" w:themeColor="text1"/>
          <w:kern w:val="0"/>
          <w:sz w:val="28"/>
          <w:szCs w:val="28"/>
          <w:lang w:val="en-US" w:eastAsia="zh-CN" w:bidi="ar"/>
          <w14:textFill>
            <w14:solidFill>
              <w14:schemeClr w14:val="tx1"/>
            </w14:solidFill>
          </w14:textFill>
        </w:rPr>
        <w:t>月</w:t>
      </w:r>
      <w:r>
        <w:rPr>
          <w:rFonts w:hint="eastAsia" w:ascii="宋体" w:hAnsi="宋体" w:cs="宋体"/>
          <w:color w:val="000000" w:themeColor="text1"/>
          <w:kern w:val="0"/>
          <w:sz w:val="28"/>
          <w:szCs w:val="28"/>
          <w:lang w:val="en-US" w:eastAsia="zh-CN" w:bidi="ar"/>
          <w14:textFill>
            <w14:solidFill>
              <w14:schemeClr w14:val="tx1"/>
            </w14:solidFill>
          </w14:textFill>
        </w:rPr>
        <w:t>9</w:t>
      </w:r>
      <w:r>
        <w:rPr>
          <w:rFonts w:hint="eastAsia" w:ascii="宋体" w:hAnsi="宋体" w:eastAsia="宋体" w:cs="宋体"/>
          <w:color w:val="000000" w:themeColor="text1"/>
          <w:kern w:val="0"/>
          <w:sz w:val="28"/>
          <w:szCs w:val="28"/>
          <w:lang w:val="en-US" w:eastAsia="zh-CN" w:bidi="ar"/>
          <w14:textFill>
            <w14:solidFill>
              <w14:schemeClr w14:val="tx1"/>
            </w14:solidFill>
          </w14:textFill>
        </w:rPr>
        <w:t>日</w:t>
      </w:r>
      <w:r>
        <w:rPr>
          <w:rFonts w:hint="eastAsia" w:ascii="宋体" w:hAnsi="宋体" w:cs="宋体"/>
          <w:color w:val="000000" w:themeColor="text1"/>
          <w:kern w:val="0"/>
          <w:sz w:val="28"/>
          <w:szCs w:val="28"/>
          <w:lang w:val="en-US" w:eastAsia="zh-CN" w:bidi="ar"/>
          <w14:textFill>
            <w14:solidFill>
              <w14:schemeClr w14:val="tx1"/>
            </w14:solidFill>
          </w14:textFill>
        </w:rPr>
        <w:t>结束试运行</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r>
        <w:rPr>
          <w:rFonts w:hint="eastAsia" w:ascii="宋体" w:hAnsi="宋体" w:cs="宋体"/>
          <w:color w:val="000000" w:themeColor="text1"/>
          <w:sz w:val="28"/>
          <w:szCs w:val="28"/>
          <w:highlight w:val="none"/>
          <w:lang w:val="en-US" w:eastAsia="zh-CN"/>
          <w14:textFill>
            <w14:solidFill>
              <w14:schemeClr w14:val="tx1"/>
            </w14:solidFill>
          </w14:textFill>
        </w:rPr>
        <w:t>试运行期间为发生一般及以上安全事故，光伏发电正常运行，各项安全防护设施同时设计，同时施工，同时投入生产和使用。</w:t>
      </w:r>
      <w:r>
        <w:rPr>
          <w:rFonts w:hint="eastAsia" w:ascii="宋体" w:hAnsi="宋体" w:cs="Times New Roman"/>
          <w:kern w:val="2"/>
          <w:sz w:val="28"/>
          <w:szCs w:val="28"/>
          <w:highlight w:val="none"/>
          <w:lang w:val="en-US" w:eastAsia="zh-CN" w:bidi="ar-SA"/>
        </w:rPr>
        <w:t>试运行以来各项安全防护设施运行良好，并且根据实际需要增加安全防护设施。电站各机械设备试运行以来，各投入设备运行良好，各设备除了常规检修维护外，没有出现因设备事故而影响生产的情况，更没因设备故障引发安全事故。</w:t>
      </w:r>
    </w:p>
    <w:p w14:paraId="1DD177E9">
      <w:pPr>
        <w:keepNext w:val="0"/>
        <w:keepLines w:val="0"/>
        <w:pageBreakBefore w:val="0"/>
        <w:widowControl w:val="0"/>
        <w:kinsoku/>
        <w:wordWrap/>
        <w:overflowPunct/>
        <w:topLinePunct w:val="0"/>
        <w:bidi w:val="0"/>
        <w:snapToGrid/>
        <w:spacing w:line="420" w:lineRule="exact"/>
        <w:ind w:firstLine="560" w:firstLineChars="200"/>
        <w:textAlignment w:val="auto"/>
        <w:rPr>
          <w:rFonts w:hint="eastAsia" w:ascii="宋体" w:hAnsi="宋体" w:cs="Times New Roman"/>
          <w:kern w:val="2"/>
          <w:sz w:val="28"/>
          <w:szCs w:val="28"/>
          <w:highlight w:val="none"/>
          <w:lang w:val="en-US" w:eastAsia="zh-CN" w:bidi="ar-SA"/>
        </w:rPr>
      </w:pPr>
      <w:r>
        <w:rPr>
          <w:rFonts w:hint="eastAsia" w:ascii="宋体" w:hAnsi="宋体" w:cs="Times New Roman"/>
          <w:kern w:val="2"/>
          <w:sz w:val="28"/>
          <w:szCs w:val="28"/>
          <w:highlight w:val="none"/>
          <w:lang w:val="en-US" w:eastAsia="zh-CN" w:bidi="ar-SA"/>
        </w:rPr>
        <w:t>在安全管理方面，该电站成立了以主要负责人为主的安全生产管理组织机构，建立了安全生产责任制、安全管理制度、安全操作规程，制定了生产安全事故应急救援预案等；电站也按照制度给作业人员配备了部分劳动用品：安全帽、口罩、手套等，并在工作中要求按规范佩戴齐全个人劳动保护用品，切实做好个人安全保护。</w:t>
      </w:r>
    </w:p>
    <w:p w14:paraId="01B1FAD2">
      <w:pPr>
        <w:pStyle w:val="39"/>
        <w:keepNext w:val="0"/>
        <w:keepLines w:val="0"/>
        <w:pageBreakBefore w:val="0"/>
        <w:widowControl w:val="0"/>
        <w:kinsoku/>
        <w:wordWrap/>
        <w:overflowPunct/>
        <w:topLinePunct w:val="0"/>
        <w:bidi w:val="0"/>
        <w:snapToGrid/>
        <w:spacing w:line="420" w:lineRule="exact"/>
        <w:ind w:firstLine="560" w:firstLineChars="200"/>
        <w:textAlignment w:val="auto"/>
        <w:rPr>
          <w:rFonts w:hint="eastAsia" w:eastAsia="宋体"/>
          <w:color w:val="000000"/>
          <w:highlight w:val="none"/>
          <w:lang w:val="en-US" w:eastAsia="zh-CN"/>
        </w:rPr>
      </w:pPr>
      <w:r>
        <w:rPr>
          <w:rFonts w:hint="eastAsia" w:ascii="宋体" w:hAnsi="宋体" w:cs="Times New Roman"/>
          <w:kern w:val="2"/>
          <w:sz w:val="28"/>
          <w:szCs w:val="28"/>
          <w:highlight w:val="none"/>
          <w:lang w:val="en-US" w:eastAsia="zh-CN" w:bidi="ar-SA"/>
        </w:rPr>
        <w:t>通过试生产这一阶段的工作，该电站生产已基本正常，安全管理到位，安全技术措施已得到落实。</w:t>
      </w:r>
      <w:bookmarkStart w:id="224" w:name="_Toc10705"/>
    </w:p>
    <w:bookmarkEnd w:id="224"/>
    <w:p w14:paraId="6EF05307">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auto"/>
        <w:outlineLvl w:val="1"/>
        <w:rPr>
          <w:rFonts w:hint="default"/>
          <w:lang w:val="en-US" w:eastAsia="zh-CN"/>
        </w:rPr>
      </w:pPr>
      <w:bookmarkStart w:id="225" w:name="_Toc31363"/>
      <w:r>
        <w:rPr>
          <w:rFonts w:hint="eastAsia" w:ascii="宋体" w:hAnsi="宋体" w:cs="宋体"/>
          <w:b/>
          <w:bCs/>
          <w:color w:val="000000"/>
          <w:kern w:val="0"/>
          <w:sz w:val="32"/>
          <w:szCs w:val="32"/>
          <w:lang w:val="en-US" w:eastAsia="zh-CN" w:bidi="ar"/>
        </w:rPr>
        <w:t>2.8设计变更情况</w:t>
      </w:r>
      <w:bookmarkEnd w:id="225"/>
    </w:p>
    <w:p w14:paraId="1B093873">
      <w:pPr>
        <w:keepNext w:val="0"/>
        <w:keepLines w:val="0"/>
        <w:pageBreakBefore w:val="0"/>
        <w:widowControl w:val="0"/>
        <w:kinsoku/>
        <w:wordWrap/>
        <w:overflowPunct/>
        <w:topLinePunct w:val="0"/>
        <w:autoSpaceDE/>
        <w:autoSpaceDN/>
        <w:bidi w:val="0"/>
        <w:adjustRightInd/>
        <w:snapToGrid/>
        <w:spacing w:line="420" w:lineRule="exact"/>
        <w:ind w:firstLine="700" w:firstLineChars="250"/>
        <w:textAlignment w:val="auto"/>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color w:val="auto"/>
          <w:sz w:val="28"/>
          <w:szCs w:val="28"/>
          <w:lang w:val="en-US" w:eastAsia="zh-CN"/>
        </w:rPr>
        <w:t>该项目在施工过程中，无重大的设计变更。</w:t>
      </w:r>
    </w:p>
    <w:p w14:paraId="79E2923C">
      <w:pPr>
        <w:keepNext w:val="0"/>
        <w:keepLines w:val="0"/>
        <w:pageBreakBefore w:val="0"/>
        <w:widowControl/>
        <w:suppressLineNumbers w:val="0"/>
        <w:kinsoku/>
        <w:wordWrap/>
        <w:overflowPunct/>
        <w:topLinePunct w:val="0"/>
        <w:autoSpaceDE/>
        <w:autoSpaceDN/>
        <w:bidi w:val="0"/>
        <w:adjustRightInd/>
        <w:snapToGrid/>
        <w:spacing w:line="420" w:lineRule="exact"/>
        <w:jc w:val="both"/>
        <w:textAlignment w:val="auto"/>
        <w:outlineLvl w:val="1"/>
        <w:rPr>
          <w:rFonts w:hint="eastAsia" w:ascii="宋体" w:hAnsi="宋体" w:cs="宋体"/>
          <w:b/>
          <w:bCs/>
          <w:color w:val="000000"/>
          <w:kern w:val="0"/>
          <w:sz w:val="32"/>
          <w:szCs w:val="32"/>
          <w:lang w:val="en-US" w:eastAsia="zh-CN" w:bidi="ar"/>
        </w:rPr>
      </w:pPr>
      <w:bookmarkStart w:id="226" w:name="_Toc14653"/>
      <w:r>
        <w:rPr>
          <w:rFonts w:hint="eastAsia" w:ascii="宋体" w:hAnsi="宋体" w:cs="宋体"/>
          <w:b/>
          <w:bCs/>
          <w:color w:val="000000"/>
          <w:kern w:val="0"/>
          <w:sz w:val="32"/>
          <w:szCs w:val="32"/>
          <w:lang w:val="en-US" w:eastAsia="zh-CN" w:bidi="ar"/>
        </w:rPr>
        <w:t>2.9综合分析结论</w:t>
      </w:r>
      <w:bookmarkEnd w:id="226"/>
    </w:p>
    <w:p w14:paraId="1B7AFAB2">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大理恒泰安全科技有限公司遵循合法性、科学性、公正性、针对性的原则，依据《安全生产法》《建设项目安全设施“三同时”监督管理办法》（原国家安全生产监督管理总局令第 36 号，第 77 号令修改）等国家法律、法规、标准及规范的要求，对华能澜沧江（景洪）新能源有限公司景讷乡大寨村云盘光伏电站《可研报告》所涉及的光伏电站安全生产条件（自然、地质、周边环境、平面布置等）、设备设施（光伏电站设备及系统、电气系统、安全设施、辅助设施等）符合性、安全管理等进行了综合分析，得出以下综合分析结论： </w:t>
      </w:r>
    </w:p>
    <w:p w14:paraId="54FEE0F0">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1）拟建项目符合国家产业政策布局规划要求。 </w:t>
      </w:r>
    </w:p>
    <w:p w14:paraId="70FEC421">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2）拟建项目选址符合当地国民经济和社会发展规划要求。 </w:t>
      </w:r>
    </w:p>
    <w:p w14:paraId="2F14DF33">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3）拟建项目采用的光伏发电技术方案为目前国内普遍采用的技术方案，并经国内 </w:t>
      </w:r>
    </w:p>
    <w:p w14:paraId="2A6BEAC1">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相关单位实践证明其技术是成熟可靠的。 </w:t>
      </w:r>
    </w:p>
    <w:p w14:paraId="4F2F4642">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4）存在的主要危险、有害因素通过采取安全技术措施和管理措施后，其项目风险 </w:t>
      </w:r>
    </w:p>
    <w:p w14:paraId="0948A7C4">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是可以控制和接受的。 </w:t>
      </w:r>
    </w:p>
    <w:p w14:paraId="42630145">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rPr>
          <w:rFonts w:hint="default" w:ascii="宋体" w:hAnsi="宋体" w:cs="宋体"/>
          <w:b/>
          <w:bCs/>
          <w:color w:val="000000"/>
          <w:kern w:val="0"/>
          <w:sz w:val="32"/>
          <w:szCs w:val="32"/>
          <w:lang w:val="en-US" w:eastAsia="zh-CN" w:bidi="ar"/>
        </w:rPr>
      </w:pPr>
      <w:r>
        <w:rPr>
          <w:rFonts w:hint="eastAsia" w:ascii="宋体" w:hAnsi="宋体" w:eastAsia="宋体" w:cs="宋体"/>
          <w:color w:val="000000"/>
          <w:kern w:val="0"/>
          <w:sz w:val="28"/>
          <w:szCs w:val="28"/>
          <w:lang w:val="en-US" w:eastAsia="zh-CN" w:bidi="ar"/>
        </w:rPr>
        <w:t>综上所述，华能澜沧江（景洪）新能源有限公司景讷乡大寨村云盘光伏电站采用的光伏发电技术较为成熟，有参照并可借鉴成功的生产运行和管理经验。建设单位应遵循国家有关建设项目安全设施“三同时”要求，在下一阶段设计、施工、运行过程中，通过落实《安全设施设计》和本报告提出的安全对策措施，保证安全投入，加强安全管理，提高防范意识，规范安全生产行为，项目建成后从安全生产角度分析符合现行法律、法规、标准及规范的要求，在安全防控方面是可行的。</w:t>
      </w:r>
    </w:p>
    <w:p w14:paraId="0BF65365">
      <w:pPr>
        <w:bidi w:val="0"/>
        <w:jc w:val="left"/>
        <w:rPr>
          <w:rFonts w:hint="default" w:ascii="Times New Roman" w:hAnsi="Times New Roman" w:eastAsia="宋体" w:cs="Times New Roman"/>
          <w:kern w:val="2"/>
          <w:sz w:val="21"/>
          <w:szCs w:val="24"/>
          <w:lang w:val="en-US" w:eastAsia="zh-CN" w:bidi="ar-SA"/>
        </w:rPr>
        <w:sectPr>
          <w:pgSz w:w="11906" w:h="16838"/>
          <w:pgMar w:top="1417" w:right="1417" w:bottom="1417" w:left="1587" w:header="851" w:footer="992" w:gutter="0"/>
          <w:pgNumType w:fmt="decimal"/>
          <w:cols w:space="425" w:num="1"/>
          <w:docGrid w:type="lines" w:linePitch="312" w:charSpace="0"/>
        </w:sectPr>
      </w:pPr>
    </w:p>
    <w:p w14:paraId="7F0B17F5">
      <w:pPr>
        <w:pStyle w:val="2"/>
        <w:keepLines w:val="0"/>
        <w:pageBreakBefore w:val="0"/>
        <w:tabs>
          <w:tab w:val="left" w:pos="5220"/>
        </w:tabs>
        <w:kinsoku/>
        <w:wordWrap/>
        <w:overflowPunct/>
        <w:autoSpaceDE/>
        <w:autoSpaceDN/>
        <w:bidi w:val="0"/>
        <w:spacing w:line="420" w:lineRule="exact"/>
        <w:jc w:val="center"/>
        <w:textAlignment w:val="auto"/>
        <w:rPr>
          <w:rFonts w:hint="eastAsia" w:ascii="宋体" w:hAnsi="宋体" w:eastAsia="宋体" w:cs="宋体"/>
          <w:b/>
          <w:bCs/>
          <w:sz w:val="32"/>
          <w:szCs w:val="32"/>
          <w:lang w:val="en-US" w:eastAsia="zh-CN"/>
        </w:rPr>
      </w:pPr>
      <w:bookmarkStart w:id="227" w:name="_Toc6282"/>
      <w:bookmarkStart w:id="228" w:name="_Toc9662"/>
      <w:bookmarkStart w:id="229" w:name="_Toc11963"/>
      <w:r>
        <w:rPr>
          <w:rFonts w:hint="eastAsia" w:ascii="宋体" w:hAnsi="宋体" w:eastAsia="宋体" w:cs="宋体"/>
          <w:color w:val="000000" w:themeColor="text1"/>
          <w:lang w:val="en-US" w:eastAsia="zh-CN"/>
          <w14:textFill>
            <w14:solidFill>
              <w14:schemeClr w14:val="tx1"/>
            </w14:solidFill>
          </w14:textFill>
        </w:rPr>
        <w:t>3 主要危险有害因素的辨识与分析</w:t>
      </w:r>
      <w:bookmarkEnd w:id="227"/>
      <w:bookmarkEnd w:id="228"/>
      <w:bookmarkEnd w:id="229"/>
    </w:p>
    <w:p w14:paraId="2E4952E6">
      <w:pPr>
        <w:keepNext w:val="0"/>
        <w:keepLines w:val="0"/>
        <w:pageBreakBefore w:val="0"/>
        <w:widowControl/>
        <w:numPr>
          <w:ilvl w:val="0"/>
          <w:numId w:val="0"/>
        </w:numPr>
        <w:suppressLineNumbers w:val="0"/>
        <w:kinsoku/>
        <w:wordWrap/>
        <w:overflowPunct/>
        <w:topLinePunct w:val="0"/>
        <w:autoSpaceDE/>
        <w:autoSpaceDN/>
        <w:bidi w:val="0"/>
        <w:adjustRightInd/>
        <w:snapToGrid/>
        <w:spacing w:line="420" w:lineRule="exact"/>
        <w:jc w:val="both"/>
        <w:textAlignment w:val="auto"/>
        <w:outlineLvl w:val="1"/>
        <w:rPr>
          <w:rFonts w:hint="eastAsia" w:ascii="宋体" w:hAnsi="宋体" w:eastAsia="宋体" w:cs="宋体"/>
          <w:b/>
          <w:bCs/>
          <w:sz w:val="30"/>
          <w:szCs w:val="30"/>
          <w:lang w:val="en-US" w:eastAsia="zh-CN"/>
        </w:rPr>
      </w:pPr>
      <w:bookmarkStart w:id="230" w:name="_Toc21540"/>
      <w:r>
        <w:rPr>
          <w:rFonts w:hint="eastAsia" w:ascii="宋体" w:hAnsi="宋体" w:eastAsia="宋体" w:cs="宋体"/>
          <w:b/>
          <w:bCs/>
          <w:sz w:val="30"/>
          <w:szCs w:val="30"/>
          <w:lang w:val="en-US" w:eastAsia="zh-CN"/>
        </w:rPr>
        <w:t>3.1辨识与分析的目的</w:t>
      </w:r>
      <w:bookmarkEnd w:id="230"/>
    </w:p>
    <w:p w14:paraId="3EA75285">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color w:val="000000" w:themeColor="text1"/>
          <w:sz w:val="28"/>
          <w:szCs w:val="28"/>
          <w14:textFill>
            <w14:solidFill>
              <w14:schemeClr w14:val="tx1"/>
            </w14:solidFill>
          </w14:textFill>
        </w:rPr>
      </w:pPr>
      <w:r>
        <w:rPr>
          <w:rFonts w:hint="eastAsia"/>
          <w:color w:val="000000" w:themeColor="text1"/>
          <w:sz w:val="28"/>
          <w:szCs w:val="28"/>
          <w:lang w:eastAsia="zh-CN"/>
          <w14:textFill>
            <w14:solidFill>
              <w14:schemeClr w14:val="tx1"/>
            </w14:solidFill>
          </w14:textFill>
        </w:rPr>
        <w:t>危险有害因素</w:t>
      </w:r>
      <w:r>
        <w:rPr>
          <w:color w:val="000000" w:themeColor="text1"/>
          <w:sz w:val="28"/>
          <w:szCs w:val="28"/>
          <w14:textFill>
            <w14:solidFill>
              <w14:schemeClr w14:val="tx1"/>
            </w14:solidFill>
          </w14:textFill>
        </w:rPr>
        <w:t>辨识与分析是安全评价的基础。</w:t>
      </w:r>
    </w:p>
    <w:p w14:paraId="37BB9B12">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危险因素是指系统（人、机械、材料、设施、工艺、环境）中存在的，能对人造成伤亡、对物造成突发性损害的因素。</w:t>
      </w:r>
    </w:p>
    <w:p w14:paraId="47B89B19">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ascii="Times New Roman" w:hAnsi="Times New Roman" w:eastAsia="宋体" w:cs="Times New Roman"/>
          <w:color w:val="000000" w:themeColor="text1"/>
          <w:sz w:val="28"/>
          <w:szCs w:val="28"/>
          <w14:textFill>
            <w14:solidFill>
              <w14:schemeClr w14:val="tx1"/>
            </w14:solidFill>
          </w14:textFill>
        </w:rPr>
      </w:pPr>
      <w:r>
        <w:rPr>
          <w:rFonts w:ascii="Times New Roman" w:hAnsi="Times New Roman" w:eastAsia="宋体" w:cs="Times New Roman"/>
          <w:color w:val="000000" w:themeColor="text1"/>
          <w:sz w:val="28"/>
          <w:szCs w:val="28"/>
          <w14:textFill>
            <w14:solidFill>
              <w14:schemeClr w14:val="tx1"/>
            </w14:solidFill>
          </w14:textFill>
        </w:rPr>
        <w:t>有害因素</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是</w:t>
      </w:r>
      <w:r>
        <w:rPr>
          <w:rFonts w:ascii="Times New Roman" w:hAnsi="Times New Roman" w:eastAsia="宋体" w:cs="Times New Roman"/>
          <w:color w:val="000000" w:themeColor="text1"/>
          <w:sz w:val="28"/>
          <w:szCs w:val="28"/>
          <w14:textFill>
            <w14:solidFill>
              <w14:schemeClr w14:val="tx1"/>
            </w14:solidFill>
          </w14:textFill>
        </w:rPr>
        <w:t>指能影响人的身体健康、导致疾病或物造成慢性损害的因素。</w:t>
      </w:r>
    </w:p>
    <w:p w14:paraId="6831105B">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主要</w:t>
      </w:r>
      <w:r>
        <w:rPr>
          <w:rFonts w:hint="eastAsia"/>
          <w:color w:val="000000" w:themeColor="text1"/>
          <w:sz w:val="28"/>
          <w:szCs w:val="28"/>
          <w:lang w:eastAsia="zh-CN"/>
          <w14:textFill>
            <w14:solidFill>
              <w14:schemeClr w14:val="tx1"/>
            </w14:solidFill>
          </w14:textFill>
        </w:rPr>
        <w:t>危险有害因素</w:t>
      </w:r>
      <w:r>
        <w:rPr>
          <w:color w:val="000000" w:themeColor="text1"/>
          <w:sz w:val="28"/>
          <w:szCs w:val="28"/>
          <w14:textFill>
            <w14:solidFill>
              <w14:schemeClr w14:val="tx1"/>
            </w14:solidFill>
          </w14:textFill>
        </w:rPr>
        <w:t>的识别，就是找出生产、经营过程中最有可能引发重大事故，导致不良后果的人、机、物、工艺、环境和组织等，识别可能发生的事故、后果和条件，以便采取预防和控制措施。</w:t>
      </w:r>
    </w:p>
    <w:p w14:paraId="411C3186">
      <w:pPr>
        <w:pStyle w:val="3"/>
        <w:keepLines w:val="0"/>
        <w:pageBreakBefore w:val="0"/>
        <w:tabs>
          <w:tab w:val="left" w:pos="0"/>
        </w:tabs>
        <w:kinsoku/>
        <w:wordWrap/>
        <w:overflowPunct/>
        <w:autoSpaceDE/>
        <w:autoSpaceDN/>
        <w:bidi w:val="0"/>
        <w:spacing w:line="420" w:lineRule="exact"/>
        <w:textAlignment w:val="auto"/>
        <w:rPr>
          <w:rFonts w:hint="eastAsia" w:ascii="宋体" w:hAnsi="宋体" w:eastAsia="宋体" w:cs="宋体"/>
          <w:color w:val="000000" w:themeColor="text1"/>
          <w:sz w:val="30"/>
          <w:szCs w:val="30"/>
          <w14:textFill>
            <w14:solidFill>
              <w14:schemeClr w14:val="tx1"/>
            </w14:solidFill>
          </w14:textFill>
        </w:rPr>
      </w:pPr>
      <w:bookmarkStart w:id="231" w:name="_Toc20737"/>
      <w:bookmarkStart w:id="232" w:name="_Toc70501444"/>
      <w:bookmarkStart w:id="233" w:name="_Toc25450"/>
      <w:bookmarkStart w:id="234" w:name="_Toc23999"/>
      <w:bookmarkStart w:id="235" w:name="_Toc2231"/>
      <w:r>
        <w:rPr>
          <w:rFonts w:hint="eastAsia" w:ascii="宋体" w:hAnsi="宋体" w:eastAsia="宋体" w:cs="宋体"/>
          <w:color w:val="000000" w:themeColor="text1"/>
          <w:sz w:val="30"/>
          <w:szCs w:val="30"/>
          <w:lang w:val="en-US" w:eastAsia="zh-CN"/>
          <w14:textFill>
            <w14:solidFill>
              <w14:schemeClr w14:val="tx1"/>
            </w14:solidFill>
          </w14:textFill>
        </w:rPr>
        <w:t>3.2</w:t>
      </w:r>
      <w:r>
        <w:rPr>
          <w:rFonts w:hint="eastAsia" w:ascii="宋体" w:hAnsi="宋体" w:eastAsia="宋体" w:cs="宋体"/>
          <w:color w:val="000000" w:themeColor="text1"/>
          <w:sz w:val="30"/>
          <w:szCs w:val="30"/>
          <w14:textFill>
            <w14:solidFill>
              <w14:schemeClr w14:val="tx1"/>
            </w14:solidFill>
          </w14:textFill>
        </w:rPr>
        <w:t>辨识与分析的依据</w:t>
      </w:r>
      <w:bookmarkEnd w:id="231"/>
      <w:bookmarkEnd w:id="232"/>
      <w:bookmarkEnd w:id="233"/>
      <w:bookmarkEnd w:id="234"/>
      <w:bookmarkEnd w:id="235"/>
    </w:p>
    <w:p w14:paraId="7490B3EB">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由于存在危险有害物质、能量和危险有害物质、能量失去控制两方面因素的综合作用，并导致危险有害物质的泄漏、散发和能量的意外释放。因此，存在危险有害物质、能量和危险有害物质失去控制是</w:t>
      </w:r>
      <w:r>
        <w:rPr>
          <w:rFonts w:hint="eastAsia" w:ascii="宋体" w:hAnsi="宋体" w:eastAsia="宋体" w:cs="宋体"/>
          <w:color w:val="000000" w:themeColor="text1"/>
          <w:sz w:val="28"/>
          <w:szCs w:val="28"/>
          <w:lang w:eastAsia="zh-CN"/>
          <w14:textFill>
            <w14:solidFill>
              <w14:schemeClr w14:val="tx1"/>
            </w14:solidFill>
          </w14:textFill>
        </w:rPr>
        <w:t>危险有害因素</w:t>
      </w:r>
      <w:r>
        <w:rPr>
          <w:rFonts w:hint="eastAsia" w:ascii="宋体" w:hAnsi="宋体" w:eastAsia="宋体" w:cs="宋体"/>
          <w:color w:val="000000" w:themeColor="text1"/>
          <w:sz w:val="28"/>
          <w:szCs w:val="28"/>
          <w14:textFill>
            <w14:solidFill>
              <w14:schemeClr w14:val="tx1"/>
            </w14:solidFill>
          </w14:textFill>
        </w:rPr>
        <w:t>转换为事故的根本原因。危险有害物质和能量失控主要体现在人的不安全行为、物的不安全状态、环境因素和管理缺陷等四个方面。</w:t>
      </w:r>
    </w:p>
    <w:p w14:paraId="7F925D72">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在对该项目进行主要</w:t>
      </w:r>
      <w:r>
        <w:rPr>
          <w:rFonts w:hint="eastAsia" w:ascii="宋体" w:hAnsi="宋体" w:eastAsia="宋体" w:cs="宋体"/>
          <w:color w:val="000000" w:themeColor="text1"/>
          <w:sz w:val="28"/>
          <w:szCs w:val="28"/>
          <w:lang w:eastAsia="zh-CN"/>
          <w14:textFill>
            <w14:solidFill>
              <w14:schemeClr w14:val="tx1"/>
            </w14:solidFill>
          </w14:textFill>
        </w:rPr>
        <w:t>危险有害因素</w:t>
      </w:r>
      <w:r>
        <w:rPr>
          <w:rFonts w:hint="eastAsia" w:ascii="宋体" w:hAnsi="宋体" w:eastAsia="宋体" w:cs="宋体"/>
          <w:color w:val="000000" w:themeColor="text1"/>
          <w:sz w:val="28"/>
          <w:szCs w:val="28"/>
          <w14:textFill>
            <w14:solidFill>
              <w14:schemeClr w14:val="tx1"/>
            </w14:solidFill>
          </w14:textFill>
        </w:rPr>
        <w:t>识别时，采用《生产过程危险和有害因素分类与代码》（GB/T13861</w:t>
      </w:r>
      <w:r>
        <w:rPr>
          <w:rFonts w:hint="eastAsia" w:ascii="宋体" w:hAnsi="宋体" w:eastAsia="宋体" w:cs="宋体"/>
          <w:color w:val="000000" w:themeColor="text1"/>
          <w:sz w:val="28"/>
          <w:szCs w:val="28"/>
          <w:lang w:val="en-US"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20</w:t>
      </w:r>
      <w:r>
        <w:rPr>
          <w:rFonts w:hint="eastAsia" w:ascii="宋体" w:hAnsi="宋体" w:eastAsia="宋体" w:cs="宋体"/>
          <w:color w:val="000000" w:themeColor="text1"/>
          <w:sz w:val="28"/>
          <w:szCs w:val="28"/>
          <w:lang w:val="en-US" w:eastAsia="zh-CN"/>
          <w14:textFill>
            <w14:solidFill>
              <w14:schemeClr w14:val="tx1"/>
            </w14:solidFill>
          </w14:textFill>
        </w:rPr>
        <w:t>22</w:t>
      </w:r>
      <w:r>
        <w:rPr>
          <w:rFonts w:hint="eastAsia" w:ascii="宋体" w:hAnsi="宋体" w:eastAsia="宋体" w:cs="宋体"/>
          <w:color w:val="000000" w:themeColor="text1"/>
          <w:sz w:val="28"/>
          <w:szCs w:val="28"/>
          <w14:textFill>
            <w14:solidFill>
              <w14:schemeClr w14:val="tx1"/>
            </w14:solidFill>
          </w14:textFill>
        </w:rPr>
        <w:t>）、《企业职工伤亡事故分类标准标准》（GB6441</w:t>
      </w:r>
      <w:r>
        <w:rPr>
          <w:rFonts w:hint="eastAsia" w:ascii="宋体" w:hAnsi="宋体" w:eastAsia="宋体" w:cs="宋体"/>
          <w:color w:val="000000" w:themeColor="text1"/>
          <w:sz w:val="28"/>
          <w:szCs w:val="28"/>
          <w:lang w:val="en-US"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1986）提出的方法，结合相关法律法规、技术标准及本光伏发电站实际情况进行</w:t>
      </w:r>
      <w:r>
        <w:rPr>
          <w:rFonts w:hint="eastAsia" w:ascii="宋体" w:hAnsi="宋体" w:eastAsia="宋体" w:cs="宋体"/>
          <w:color w:val="000000" w:themeColor="text1"/>
          <w:sz w:val="28"/>
          <w:szCs w:val="28"/>
          <w:lang w:eastAsia="zh-CN"/>
          <w14:textFill>
            <w14:solidFill>
              <w14:schemeClr w14:val="tx1"/>
            </w14:solidFill>
          </w14:textFill>
        </w:rPr>
        <w:t>危险有害因素</w:t>
      </w:r>
      <w:r>
        <w:rPr>
          <w:rFonts w:hint="eastAsia" w:ascii="宋体" w:hAnsi="宋体" w:eastAsia="宋体" w:cs="宋体"/>
          <w:color w:val="000000" w:themeColor="text1"/>
          <w:sz w:val="28"/>
          <w:szCs w:val="28"/>
          <w14:textFill>
            <w14:solidFill>
              <w14:schemeClr w14:val="tx1"/>
            </w14:solidFill>
          </w14:textFill>
        </w:rPr>
        <w:t>识别。</w:t>
      </w:r>
    </w:p>
    <w:p w14:paraId="703A9251">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按照《企业职工伤亡事故分类》（GB6441-1986），综合考虑起因物、引起事故的诱导性原因、致害物、伤害方式等，将事故类别分为20类，分别为物体打击、车辆伤害、机械伤害、触电、淹溺、灼烫、火灾、高处坠落、坍塌、冒顶片帮、透水、放炮、瓦斯爆炸、火药爆炸、锅炉爆炸、容器爆炸、其他爆炸、中毒和窒息及其他伤害等。</w:t>
      </w:r>
    </w:p>
    <w:p w14:paraId="4DC3F05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2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根据《生产过程危险和有害因素分类与代码》（GB/T13861-2022）的规定，将危险因素分为四类：</w:t>
      </w:r>
    </w:p>
    <w:p w14:paraId="32F1B17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2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一、人的因素</w:t>
      </w:r>
    </w:p>
    <w:p w14:paraId="263A37A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2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1.心理、生理性危险和有害因素；</w:t>
      </w:r>
    </w:p>
    <w:p w14:paraId="7B9FA99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2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2.行为性危险和有害因素。</w:t>
      </w:r>
    </w:p>
    <w:p w14:paraId="42F3F68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2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二、物的因素</w:t>
      </w:r>
    </w:p>
    <w:p w14:paraId="1FCED9D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2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1.物理性危险和有害因素；</w:t>
      </w:r>
    </w:p>
    <w:p w14:paraId="684B6B5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2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2.化学性危险和有害因素；</w:t>
      </w:r>
    </w:p>
    <w:p w14:paraId="648907B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2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3.生物性危险和有害因素。</w:t>
      </w:r>
    </w:p>
    <w:p w14:paraId="1B0B06C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2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三、环境因素</w:t>
      </w:r>
    </w:p>
    <w:p w14:paraId="0905322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2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1.室内作业场所环境不良；</w:t>
      </w:r>
    </w:p>
    <w:p w14:paraId="521671E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2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2.室外作业场地环境不良；</w:t>
      </w:r>
    </w:p>
    <w:p w14:paraId="5CB09B3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2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3.地下（含水下）作业环境不良；</w:t>
      </w:r>
    </w:p>
    <w:p w14:paraId="6BFAE66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2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4.其他作业环境不良。</w:t>
      </w:r>
    </w:p>
    <w:p w14:paraId="3B509F8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2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四、管理因素。</w:t>
      </w:r>
    </w:p>
    <w:p w14:paraId="7B8DA00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2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1.职业安全卫生组织机构设置和人员配备不健全；</w:t>
      </w:r>
    </w:p>
    <w:p w14:paraId="2F63E67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2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2.职业安全卫生责任制不完善或未落实；</w:t>
      </w:r>
    </w:p>
    <w:p w14:paraId="095E7F9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2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3.职业安全卫生管理规章制度不完善或未落实；</w:t>
      </w:r>
    </w:p>
    <w:p w14:paraId="7CBA891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2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4.职业安全卫生投入不足；</w:t>
      </w:r>
    </w:p>
    <w:p w14:paraId="4E5AE51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2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5.应急管理缺陷；</w:t>
      </w:r>
    </w:p>
    <w:p w14:paraId="59D7511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2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6.其他管理因素缺陷。</w:t>
      </w:r>
    </w:p>
    <w:p w14:paraId="46DA48C7">
      <w:pPr>
        <w:pStyle w:val="3"/>
        <w:pageBreakBefore w:val="0"/>
        <w:tabs>
          <w:tab w:val="left" w:pos="0"/>
        </w:tabs>
        <w:kinsoku/>
        <w:wordWrap/>
        <w:overflowPunct/>
        <w:autoSpaceDE/>
        <w:autoSpaceDN/>
        <w:bidi w:val="0"/>
        <w:spacing w:line="420" w:lineRule="exact"/>
        <w:textAlignment w:val="auto"/>
        <w:rPr>
          <w:rFonts w:hint="eastAsia" w:ascii="宋体" w:hAnsi="宋体" w:eastAsia="宋体" w:cs="宋体"/>
          <w:color w:val="000000" w:themeColor="text1"/>
          <w:lang w:val="en-US" w:eastAsia="zh-CN"/>
          <w14:textFill>
            <w14:solidFill>
              <w14:schemeClr w14:val="tx1"/>
            </w14:solidFill>
          </w14:textFill>
        </w:rPr>
      </w:pPr>
      <w:bookmarkStart w:id="236" w:name="_Toc22230"/>
      <w:bookmarkStart w:id="237" w:name="_Toc8479"/>
      <w:bookmarkStart w:id="238" w:name="_Toc7760"/>
      <w:r>
        <w:rPr>
          <w:rFonts w:hint="eastAsia" w:ascii="宋体" w:hAnsi="宋体" w:eastAsia="宋体" w:cs="宋体"/>
          <w:color w:val="000000" w:themeColor="text1"/>
          <w:lang w:val="en-US" w:eastAsia="zh-CN"/>
          <w14:textFill>
            <w14:solidFill>
              <w14:schemeClr w14:val="tx1"/>
            </w14:solidFill>
          </w14:textFill>
        </w:rPr>
        <w:t>3.3主要物料特性及其危险性</w:t>
      </w:r>
      <w:bookmarkEnd w:id="236"/>
      <w:bookmarkEnd w:id="237"/>
      <w:bookmarkEnd w:id="238"/>
    </w:p>
    <w:p w14:paraId="2BBE642E">
      <w:pPr>
        <w:keepNext w:val="0"/>
        <w:keepLines w:val="0"/>
        <w:pageBreakBefore w:val="0"/>
        <w:widowControl w:val="0"/>
        <w:kinsoku/>
        <w:wordWrap/>
        <w:overflowPunct/>
        <w:autoSpaceDE/>
        <w:autoSpaceDN/>
        <w:bidi w:val="0"/>
        <w:spacing w:line="420" w:lineRule="exact"/>
        <w:ind w:firstLine="560" w:firstLineChars="200"/>
        <w:textAlignment w:val="auto"/>
        <w:rPr>
          <w:rFonts w:hint="eastAsia" w:cstheme="minorBidi"/>
          <w:color w:val="000000" w:themeColor="text1"/>
          <w:sz w:val="28"/>
          <w:szCs w:val="22"/>
          <w:lang w:val="en-US" w:eastAsia="zh-CN"/>
          <w14:textFill>
            <w14:solidFill>
              <w14:schemeClr w14:val="tx1"/>
            </w14:solidFill>
          </w14:textFill>
        </w:rPr>
      </w:pPr>
      <w:r>
        <w:rPr>
          <w:rFonts w:hint="eastAsia" w:cstheme="minorBidi"/>
          <w:color w:val="000000" w:themeColor="text1"/>
          <w:sz w:val="28"/>
          <w:szCs w:val="22"/>
          <w:lang w:val="en-US" w:eastAsia="zh-CN"/>
          <w14:textFill>
            <w14:solidFill>
              <w14:schemeClr w14:val="tx1"/>
            </w14:solidFill>
          </w14:textFill>
        </w:rPr>
        <w:t>通过对该项目工艺过程、辅助设施等进行分析，得出项目生产中涉及的主要危险、有害物质有：</w:t>
      </w:r>
    </w:p>
    <w:p w14:paraId="3FCFF3EF">
      <w:pPr>
        <w:keepNext w:val="0"/>
        <w:keepLines w:val="0"/>
        <w:pageBreakBefore w:val="0"/>
        <w:widowControl w:val="0"/>
        <w:numPr>
          <w:ilvl w:val="0"/>
          <w:numId w:val="13"/>
        </w:numPr>
        <w:kinsoku/>
        <w:wordWrap/>
        <w:overflowPunct/>
        <w:autoSpaceDE/>
        <w:autoSpaceDN/>
        <w:bidi w:val="0"/>
        <w:spacing w:line="420" w:lineRule="exact"/>
        <w:ind w:left="0" w:leftChars="0" w:firstLine="560" w:firstLineChars="200"/>
        <w:textAlignment w:val="auto"/>
        <w:rPr>
          <w:rFonts w:hint="eastAsia" w:cstheme="minorBidi"/>
          <w:color w:val="000000" w:themeColor="text1"/>
          <w:sz w:val="28"/>
          <w:szCs w:val="22"/>
          <w:lang w:val="en-US" w:eastAsia="zh-CN"/>
          <w14:textFill>
            <w14:solidFill>
              <w14:schemeClr w14:val="tx1"/>
            </w14:solidFill>
          </w14:textFill>
        </w:rPr>
      </w:pPr>
      <w:r>
        <w:rPr>
          <w:rFonts w:hint="eastAsia" w:cstheme="minorBidi"/>
          <w:color w:val="000000" w:themeColor="text1"/>
          <w:sz w:val="28"/>
          <w:szCs w:val="22"/>
          <w:lang w:val="en-US" w:eastAsia="zh-CN"/>
          <w14:textFill>
            <w14:solidFill>
              <w14:schemeClr w14:val="tx1"/>
            </w14:solidFill>
          </w14:textFill>
        </w:rPr>
        <w:t>绝缘油（变压器油）；</w:t>
      </w:r>
    </w:p>
    <w:p w14:paraId="03718AEA">
      <w:pPr>
        <w:keepNext w:val="0"/>
        <w:keepLines w:val="0"/>
        <w:pageBreakBefore w:val="0"/>
        <w:widowControl w:val="0"/>
        <w:numPr>
          <w:ilvl w:val="0"/>
          <w:numId w:val="13"/>
        </w:numPr>
        <w:kinsoku/>
        <w:wordWrap/>
        <w:overflowPunct/>
        <w:autoSpaceDE/>
        <w:autoSpaceDN/>
        <w:bidi w:val="0"/>
        <w:spacing w:line="420" w:lineRule="exact"/>
        <w:ind w:left="0" w:leftChars="0" w:firstLine="560" w:firstLineChars="200"/>
        <w:textAlignment w:val="auto"/>
        <w:rPr>
          <w:rFonts w:hint="eastAsia" w:cstheme="minorBidi"/>
          <w:color w:val="000000" w:themeColor="text1"/>
          <w:sz w:val="28"/>
          <w:szCs w:val="22"/>
          <w:lang w:val="en-US" w:eastAsia="zh-CN"/>
          <w14:textFill>
            <w14:solidFill>
              <w14:schemeClr w14:val="tx1"/>
            </w14:solidFill>
          </w14:textFill>
        </w:rPr>
      </w:pPr>
      <w:r>
        <w:rPr>
          <w:rFonts w:hint="eastAsia" w:cstheme="minorBidi"/>
          <w:color w:val="000000" w:themeColor="text1"/>
          <w:sz w:val="28"/>
          <w:szCs w:val="22"/>
          <w:lang w:val="en-US" w:eastAsia="zh-CN"/>
          <w14:textFill>
            <w14:solidFill>
              <w14:schemeClr w14:val="tx1"/>
            </w14:solidFill>
          </w14:textFill>
        </w:rPr>
        <w:t>施工及检修焊接时经常使用的氧气、乙炔；</w:t>
      </w:r>
    </w:p>
    <w:p w14:paraId="5B1B2437">
      <w:pPr>
        <w:keepNext w:val="0"/>
        <w:keepLines w:val="0"/>
        <w:pageBreakBefore w:val="0"/>
        <w:widowControl w:val="0"/>
        <w:numPr>
          <w:ilvl w:val="0"/>
          <w:numId w:val="13"/>
        </w:numPr>
        <w:kinsoku/>
        <w:wordWrap/>
        <w:overflowPunct/>
        <w:autoSpaceDE/>
        <w:autoSpaceDN/>
        <w:bidi w:val="0"/>
        <w:spacing w:line="420" w:lineRule="exact"/>
        <w:ind w:left="0" w:leftChars="0" w:firstLine="560" w:firstLineChars="200"/>
        <w:textAlignment w:val="auto"/>
        <w:rPr>
          <w:rFonts w:hint="eastAsia" w:cstheme="minorBidi"/>
          <w:color w:val="000000" w:themeColor="text1"/>
          <w:sz w:val="28"/>
          <w:szCs w:val="22"/>
          <w:lang w:val="en-US" w:eastAsia="zh-CN"/>
          <w14:textFill>
            <w14:solidFill>
              <w14:schemeClr w14:val="tx1"/>
            </w14:solidFill>
          </w14:textFill>
        </w:rPr>
      </w:pPr>
      <w:r>
        <w:rPr>
          <w:rFonts w:hint="eastAsia" w:cstheme="minorBidi"/>
          <w:color w:val="000000" w:themeColor="text1"/>
          <w:sz w:val="28"/>
          <w:szCs w:val="22"/>
          <w:lang w:val="en-US" w:eastAsia="zh-CN"/>
          <w14:textFill>
            <w14:solidFill>
              <w14:schemeClr w14:val="tx1"/>
            </w14:solidFill>
          </w14:textFill>
        </w:rPr>
        <w:t>六氟化硫。</w:t>
      </w:r>
    </w:p>
    <w:p w14:paraId="55137CD8">
      <w:pPr>
        <w:pStyle w:val="4"/>
        <w:pageBreakBefore w:val="0"/>
        <w:kinsoku/>
        <w:wordWrap/>
        <w:overflowPunct/>
        <w:autoSpaceDE/>
        <w:autoSpaceDN/>
        <w:bidi w:val="0"/>
        <w:spacing w:line="420" w:lineRule="exact"/>
        <w:textAlignment w:val="auto"/>
        <w:rPr>
          <w:rFonts w:hint="eastAsia" w:ascii="宋体" w:hAnsi="宋体" w:eastAsia="宋体" w:cs="宋体"/>
          <w:color w:val="000000" w:themeColor="text1"/>
          <w:sz w:val="30"/>
          <w:szCs w:val="30"/>
          <w:lang w:val="en-US" w:eastAsia="zh-CN"/>
          <w14:textFill>
            <w14:solidFill>
              <w14:schemeClr w14:val="tx1"/>
            </w14:solidFill>
          </w14:textFill>
        </w:rPr>
      </w:pPr>
      <w:bookmarkStart w:id="239" w:name="_Toc9666"/>
      <w:bookmarkStart w:id="240" w:name="_Toc28101"/>
      <w:r>
        <w:rPr>
          <w:rStyle w:val="31"/>
          <w:rFonts w:hint="eastAsia" w:ascii="宋体" w:hAnsi="宋体" w:eastAsia="宋体" w:cs="宋体"/>
          <w:b/>
          <w:bCs w:val="0"/>
          <w:color w:val="000000" w:themeColor="text1"/>
          <w:sz w:val="30"/>
          <w:szCs w:val="30"/>
          <w:lang w:val="en-US" w:eastAsia="zh-CN"/>
          <w14:textFill>
            <w14:solidFill>
              <w14:schemeClr w14:val="tx1"/>
            </w14:solidFill>
          </w14:textFill>
        </w:rPr>
        <w:t>3.3.1绝缘油（变压器油）</w:t>
      </w:r>
      <w:bookmarkEnd w:id="239"/>
      <w:bookmarkEnd w:id="240"/>
    </w:p>
    <w:p w14:paraId="0833E3CB">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变压器油属于人工合成的液体绝缘材料（合成油），多选用电气性能优良、稳定性好，特别是具有不燃性的极性液体多氯联苯（PCB），用于电容器和变压器，提高了容量和安全性，后来由于PCB的毒性被限制使用或禁用。目前变压器油主要有十二烷基苯（DDB，与矿物油混合）、硅油及酯类合成油。</w:t>
      </w:r>
    </w:p>
    <w:p w14:paraId="5110C630">
      <w:pPr>
        <w:keepNext w:val="0"/>
        <w:keepLines w:val="0"/>
        <w:pageBreakBefore w:val="0"/>
        <w:widowControl w:val="0"/>
        <w:numPr>
          <w:ilvl w:val="0"/>
          <w:numId w:val="14"/>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绝缘油含水分对变压器的危害：</w:t>
      </w:r>
    </w:p>
    <w:p w14:paraId="10226EBE">
      <w:pPr>
        <w:keepNext w:val="0"/>
        <w:keepLines w:val="0"/>
        <w:pageBreakBefore w:val="0"/>
        <w:widowControl w:val="0"/>
        <w:numPr>
          <w:ilvl w:val="0"/>
          <w:numId w:val="15"/>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水分对绝缘油的危害是十分严重的，油中水分会加速油的劣化，使其电气性能恶化，降低电气强度。含水量高的油可能降低甚至丧失延缓绝缘纸受潮的功能。当油纸水分平衡紊乱时，甚至可导致绝缘击穿。此外，油中水分还会使油的局部放电起始电压降低，局部放电强度增高。</w:t>
      </w:r>
    </w:p>
    <w:p w14:paraId="2E618C83">
      <w:pPr>
        <w:keepNext w:val="0"/>
        <w:keepLines w:val="0"/>
        <w:pageBreakBefore w:val="0"/>
        <w:widowControl w:val="0"/>
        <w:numPr>
          <w:ilvl w:val="0"/>
          <w:numId w:val="15"/>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绝缘油含水量对油本身的劣化也起着加速作用。而且油中水分会使油的局部放电起始电压降低，局部放电强度增加。因此，变压器维护中应尽可能降低油中水分，并加强油中含水量的监控和测量。</w:t>
      </w:r>
    </w:p>
    <w:p w14:paraId="531E8237">
      <w:pPr>
        <w:keepNext w:val="0"/>
        <w:keepLines w:val="0"/>
        <w:pageBreakBefore w:val="0"/>
        <w:widowControl w:val="0"/>
        <w:numPr>
          <w:ilvl w:val="0"/>
          <w:numId w:val="14"/>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绝缘油酸价增大对变压器的危害：</w:t>
      </w:r>
    </w:p>
    <w:p w14:paraId="6048EB09">
      <w:pPr>
        <w:keepNext w:val="0"/>
        <w:keepLines w:val="0"/>
        <w:pageBreakBefore w:val="0"/>
        <w:widowControl w:val="0"/>
        <w:numPr>
          <w:ilvl w:val="0"/>
          <w:numId w:val="16"/>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绝缘油的酸性组成部分对金属部件有一定的腐蚀作用，在有水或氧存在及高温条件下更为显著。</w:t>
      </w:r>
    </w:p>
    <w:p w14:paraId="79A30E93">
      <w:pPr>
        <w:keepNext w:val="0"/>
        <w:keepLines w:val="0"/>
        <w:pageBreakBefore w:val="0"/>
        <w:widowControl w:val="0"/>
        <w:numPr>
          <w:ilvl w:val="0"/>
          <w:numId w:val="16"/>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酸性组分对绝缘纤维起分解破坏作用，尤其有水分存在时，可以大幅度降低纤维质绝缘材料的机械强度。</w:t>
      </w:r>
    </w:p>
    <w:p w14:paraId="36502F95">
      <w:pPr>
        <w:keepNext w:val="0"/>
        <w:keepLines w:val="0"/>
        <w:pageBreakBefore w:val="0"/>
        <w:widowControl w:val="0"/>
        <w:numPr>
          <w:ilvl w:val="0"/>
          <w:numId w:val="16"/>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影响油的其它性能，如降低油的介电强度，增大粘度等。</w:t>
      </w:r>
    </w:p>
    <w:p w14:paraId="04156D01">
      <w:pPr>
        <w:pStyle w:val="10"/>
        <w:keepNext w:val="0"/>
        <w:keepLines w:val="0"/>
        <w:pageBreakBefore w:val="0"/>
        <w:widowControl w:val="0"/>
        <w:kinsoku/>
        <w:wordWrap/>
        <w:overflowPunct/>
        <w:topLinePunct w:val="0"/>
        <w:autoSpaceDE/>
        <w:autoSpaceDN/>
        <w:bidi w:val="0"/>
        <w:adjustRightInd/>
        <w:snapToGrid/>
        <w:spacing w:after="0" w:line="420" w:lineRule="exact"/>
        <w:ind w:firstLine="482" w:firstLineChars="200"/>
        <w:jc w:val="center"/>
        <w:textAlignment w:val="auto"/>
        <w:rPr>
          <w:rFonts w:hint="eastAsia" w:ascii="宋体" w:hAnsi="宋体" w:eastAsia="宋体" w:cs="宋体"/>
          <w:b/>
          <w:bCs/>
          <w:color w:val="000000" w:themeColor="text1"/>
          <w:sz w:val="24"/>
          <w:szCs w:val="24"/>
          <w:lang w:eastAsia="zh-CN"/>
          <w14:textFill>
            <w14:solidFill>
              <w14:schemeClr w14:val="tx1"/>
            </w14:solidFill>
          </w14:textFill>
        </w:rPr>
      </w:pPr>
      <w:r>
        <w:rPr>
          <w:rFonts w:hint="eastAsia" w:ascii="宋体" w:hAnsi="宋体" w:eastAsia="宋体" w:cs="宋体"/>
          <w:b/>
          <w:bCs/>
          <w:color w:val="000000" w:themeColor="text1"/>
          <w:sz w:val="24"/>
          <w:szCs w:val="24"/>
          <w:lang w:eastAsia="zh-CN"/>
          <w14:textFill>
            <w14:solidFill>
              <w14:schemeClr w14:val="tx1"/>
            </w14:solidFill>
          </w14:textFill>
        </w:rPr>
        <w:t>表3.</w:t>
      </w:r>
      <w:r>
        <w:rPr>
          <w:rFonts w:hint="eastAsia" w:ascii="宋体" w:hAnsi="宋体" w:eastAsia="宋体" w:cs="宋体"/>
          <w:b/>
          <w:bCs/>
          <w:color w:val="000000" w:themeColor="text1"/>
          <w:sz w:val="24"/>
          <w:szCs w:val="24"/>
          <w:lang w:val="en-US" w:eastAsia="zh-CN"/>
          <w14:textFill>
            <w14:solidFill>
              <w14:schemeClr w14:val="tx1"/>
            </w14:solidFill>
          </w14:textFill>
        </w:rPr>
        <w:t>3</w:t>
      </w:r>
      <w:r>
        <w:rPr>
          <w:rFonts w:hint="eastAsia" w:ascii="宋体" w:hAnsi="宋体" w:eastAsia="宋体" w:cs="宋体"/>
          <w:b/>
          <w:bCs/>
          <w:color w:val="000000" w:themeColor="text1"/>
          <w:sz w:val="24"/>
          <w:szCs w:val="24"/>
          <w:lang w:eastAsia="zh-CN"/>
          <w14:textFill>
            <w14:solidFill>
              <w14:schemeClr w14:val="tx1"/>
            </w14:solidFill>
          </w14:textFill>
        </w:rPr>
        <w:t>-1变压器油的理化性质及危险特性表</w:t>
      </w:r>
    </w:p>
    <w:tbl>
      <w:tblPr>
        <w:tblStyle w:val="21"/>
        <w:tblpPr w:leftFromText="180" w:rightFromText="180" w:vertAnchor="text" w:horzAnchor="page" w:tblpX="1881" w:tblpY="178"/>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4"/>
        <w:gridCol w:w="1397"/>
        <w:gridCol w:w="2039"/>
        <w:gridCol w:w="2306"/>
        <w:gridCol w:w="2462"/>
      </w:tblGrid>
      <w:tr w14:paraId="1F91F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blHeader/>
        </w:trPr>
        <w:tc>
          <w:tcPr>
            <w:tcW w:w="1267" w:type="pct"/>
            <w:gridSpan w:val="2"/>
            <w:shd w:val="clear" w:color="auto" w:fill="auto"/>
            <w:vAlign w:val="center"/>
          </w:tcPr>
          <w:p w14:paraId="4503850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产品名称+D5:H51</w:t>
            </w:r>
          </w:p>
        </w:tc>
        <w:tc>
          <w:tcPr>
            <w:tcW w:w="3732" w:type="pct"/>
            <w:gridSpan w:val="3"/>
            <w:shd w:val="clear" w:color="auto" w:fill="auto"/>
            <w:vAlign w:val="center"/>
          </w:tcPr>
          <w:p w14:paraId="3313F45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变压器油</w:t>
            </w:r>
          </w:p>
        </w:tc>
      </w:tr>
      <w:tr w14:paraId="2816A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blHeader/>
        </w:trPr>
        <w:tc>
          <w:tcPr>
            <w:tcW w:w="1267" w:type="pct"/>
            <w:gridSpan w:val="2"/>
            <w:shd w:val="clear" w:color="auto" w:fill="auto"/>
            <w:vAlign w:val="center"/>
          </w:tcPr>
          <w:p w14:paraId="3D9B931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化学品英文名称</w:t>
            </w:r>
          </w:p>
        </w:tc>
        <w:tc>
          <w:tcPr>
            <w:tcW w:w="3732" w:type="pct"/>
            <w:gridSpan w:val="3"/>
            <w:shd w:val="clear" w:color="auto" w:fill="auto"/>
            <w:vAlign w:val="center"/>
          </w:tcPr>
          <w:p w14:paraId="1465FFE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transformer oil</w:t>
            </w:r>
          </w:p>
        </w:tc>
      </w:tr>
      <w:tr w14:paraId="0774F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267" w:type="pct"/>
            <w:gridSpan w:val="2"/>
            <w:shd w:val="clear" w:color="auto" w:fill="auto"/>
            <w:vAlign w:val="center"/>
          </w:tcPr>
          <w:p w14:paraId="08DD54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性状</w:t>
            </w:r>
          </w:p>
        </w:tc>
        <w:tc>
          <w:tcPr>
            <w:tcW w:w="1118" w:type="pct"/>
            <w:shd w:val="clear" w:color="auto" w:fill="auto"/>
            <w:vAlign w:val="center"/>
          </w:tcPr>
          <w:p w14:paraId="2E0A165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浅色液体</w:t>
            </w:r>
          </w:p>
        </w:tc>
        <w:tc>
          <w:tcPr>
            <w:tcW w:w="1264" w:type="pct"/>
            <w:shd w:val="clear" w:color="auto" w:fill="auto"/>
            <w:vAlign w:val="center"/>
          </w:tcPr>
          <w:p w14:paraId="540886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颜色</w:t>
            </w:r>
          </w:p>
        </w:tc>
        <w:tc>
          <w:tcPr>
            <w:tcW w:w="1350" w:type="pct"/>
            <w:shd w:val="clear" w:color="auto" w:fill="auto"/>
            <w:vAlign w:val="center"/>
          </w:tcPr>
          <w:p w14:paraId="661D27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&lt;1.0</w:t>
            </w:r>
          </w:p>
        </w:tc>
      </w:tr>
      <w:tr w14:paraId="180CE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267" w:type="pct"/>
            <w:gridSpan w:val="2"/>
            <w:shd w:val="clear" w:color="auto" w:fill="auto"/>
            <w:vAlign w:val="center"/>
          </w:tcPr>
          <w:p w14:paraId="2D21E18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气味</w:t>
            </w:r>
          </w:p>
        </w:tc>
        <w:tc>
          <w:tcPr>
            <w:tcW w:w="1118" w:type="pct"/>
            <w:shd w:val="clear" w:color="auto" w:fill="auto"/>
            <w:vAlign w:val="center"/>
          </w:tcPr>
          <w:p w14:paraId="07D594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无味</w:t>
            </w:r>
          </w:p>
        </w:tc>
        <w:tc>
          <w:tcPr>
            <w:tcW w:w="1264" w:type="pct"/>
            <w:shd w:val="clear" w:color="auto" w:fill="auto"/>
            <w:vAlign w:val="center"/>
          </w:tcPr>
          <w:p w14:paraId="27B526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倾点</w:t>
            </w:r>
          </w:p>
        </w:tc>
        <w:tc>
          <w:tcPr>
            <w:tcW w:w="1350" w:type="pct"/>
            <w:shd w:val="clear" w:color="auto" w:fill="auto"/>
            <w:vAlign w:val="center"/>
          </w:tcPr>
          <w:p w14:paraId="6B9040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&lt;-35℃</w:t>
            </w:r>
          </w:p>
        </w:tc>
      </w:tr>
      <w:tr w14:paraId="6053E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267" w:type="pct"/>
            <w:gridSpan w:val="2"/>
            <w:shd w:val="clear" w:color="auto" w:fill="auto"/>
            <w:vAlign w:val="center"/>
          </w:tcPr>
          <w:p w14:paraId="434741D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初馏点</w:t>
            </w:r>
          </w:p>
        </w:tc>
        <w:tc>
          <w:tcPr>
            <w:tcW w:w="1118" w:type="pct"/>
            <w:shd w:val="clear" w:color="auto" w:fill="auto"/>
            <w:vAlign w:val="center"/>
          </w:tcPr>
          <w:p w14:paraId="1FB4948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&gt;250℃</w:t>
            </w:r>
          </w:p>
        </w:tc>
        <w:tc>
          <w:tcPr>
            <w:tcW w:w="1264" w:type="pct"/>
            <w:shd w:val="clear" w:color="auto" w:fill="auto"/>
            <w:vAlign w:val="center"/>
          </w:tcPr>
          <w:p w14:paraId="6DB353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密度</w:t>
            </w:r>
          </w:p>
        </w:tc>
        <w:tc>
          <w:tcPr>
            <w:tcW w:w="1350" w:type="pct"/>
            <w:shd w:val="clear" w:color="auto" w:fill="auto"/>
            <w:vAlign w:val="center"/>
          </w:tcPr>
          <w:p w14:paraId="138494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882 kg/m</w:t>
            </w:r>
            <w:r>
              <w:rPr>
                <w:rFonts w:hint="eastAsia" w:ascii="宋体" w:hAnsi="宋体" w:eastAsia="宋体" w:cs="宋体"/>
                <w:color w:val="000000" w:themeColor="text1"/>
                <w:sz w:val="21"/>
                <w:szCs w:val="21"/>
                <w:vertAlign w:val="superscript"/>
                <w14:textFill>
                  <w14:solidFill>
                    <w14:schemeClr w14:val="tx1"/>
                  </w14:solidFill>
                </w14:textFill>
              </w:rPr>
              <w:t>3</w:t>
            </w:r>
          </w:p>
        </w:tc>
      </w:tr>
      <w:tr w14:paraId="1B58B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267" w:type="pct"/>
            <w:gridSpan w:val="2"/>
            <w:shd w:val="clear" w:color="auto" w:fill="auto"/>
            <w:vAlign w:val="center"/>
          </w:tcPr>
          <w:p w14:paraId="0E48B28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闪点</w:t>
            </w:r>
          </w:p>
        </w:tc>
        <w:tc>
          <w:tcPr>
            <w:tcW w:w="1118" w:type="pct"/>
            <w:shd w:val="clear" w:color="auto" w:fill="auto"/>
            <w:vAlign w:val="center"/>
          </w:tcPr>
          <w:p w14:paraId="15F598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&gt;140℃</w:t>
            </w:r>
          </w:p>
        </w:tc>
        <w:tc>
          <w:tcPr>
            <w:tcW w:w="1264" w:type="pct"/>
            <w:shd w:val="clear" w:color="auto" w:fill="auto"/>
            <w:vAlign w:val="center"/>
          </w:tcPr>
          <w:p w14:paraId="09EEB7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自燃点</w:t>
            </w:r>
          </w:p>
        </w:tc>
        <w:tc>
          <w:tcPr>
            <w:tcW w:w="1350" w:type="pct"/>
            <w:shd w:val="clear" w:color="auto" w:fill="auto"/>
            <w:vAlign w:val="center"/>
          </w:tcPr>
          <w:p w14:paraId="260B521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&gt;270°C</w:t>
            </w:r>
          </w:p>
        </w:tc>
      </w:tr>
      <w:tr w14:paraId="4826B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267" w:type="pct"/>
            <w:gridSpan w:val="2"/>
            <w:shd w:val="clear" w:color="auto" w:fill="auto"/>
            <w:vAlign w:val="center"/>
          </w:tcPr>
          <w:p w14:paraId="3695050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水中溶解性</w:t>
            </w:r>
          </w:p>
        </w:tc>
        <w:tc>
          <w:tcPr>
            <w:tcW w:w="1118" w:type="pct"/>
            <w:shd w:val="clear" w:color="auto" w:fill="auto"/>
            <w:vAlign w:val="center"/>
          </w:tcPr>
          <w:p w14:paraId="0DEE59F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不溶</w:t>
            </w:r>
          </w:p>
        </w:tc>
        <w:tc>
          <w:tcPr>
            <w:tcW w:w="1264" w:type="pct"/>
            <w:shd w:val="clear" w:color="auto" w:fill="auto"/>
            <w:vAlign w:val="center"/>
          </w:tcPr>
          <w:p w14:paraId="0BFD7D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有机溶剂中溶解性</w:t>
            </w:r>
          </w:p>
        </w:tc>
        <w:tc>
          <w:tcPr>
            <w:tcW w:w="1350" w:type="pct"/>
            <w:shd w:val="clear" w:color="auto" w:fill="auto"/>
            <w:vAlign w:val="center"/>
          </w:tcPr>
          <w:p w14:paraId="16C6152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可溶</w:t>
            </w:r>
          </w:p>
        </w:tc>
      </w:tr>
      <w:tr w14:paraId="50F89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267" w:type="pct"/>
            <w:gridSpan w:val="2"/>
            <w:shd w:val="clear" w:color="auto" w:fill="auto"/>
            <w:vAlign w:val="center"/>
          </w:tcPr>
          <w:p w14:paraId="0FC75E9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粘度</w:t>
            </w:r>
          </w:p>
        </w:tc>
        <w:tc>
          <w:tcPr>
            <w:tcW w:w="3732" w:type="pct"/>
            <w:gridSpan w:val="3"/>
            <w:shd w:val="clear" w:color="auto" w:fill="auto"/>
            <w:vAlign w:val="center"/>
          </w:tcPr>
          <w:p w14:paraId="6E83CA6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&lt;13mm²/s</w:t>
            </w:r>
          </w:p>
        </w:tc>
      </w:tr>
      <w:tr w14:paraId="2629D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267" w:type="pct"/>
            <w:gridSpan w:val="2"/>
            <w:shd w:val="clear" w:color="auto" w:fill="auto"/>
            <w:vAlign w:val="center"/>
          </w:tcPr>
          <w:p w14:paraId="6AC1237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碳型分析</w:t>
            </w:r>
          </w:p>
        </w:tc>
        <w:tc>
          <w:tcPr>
            <w:tcW w:w="3732" w:type="pct"/>
            <w:gridSpan w:val="3"/>
            <w:shd w:val="clear" w:color="auto" w:fill="auto"/>
            <w:vAlign w:val="center"/>
          </w:tcPr>
          <w:p w14:paraId="0E7B2A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CA,%&lt;10      CN,%&gt;40;</w:t>
            </w:r>
          </w:p>
        </w:tc>
      </w:tr>
      <w:tr w14:paraId="3114E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267" w:type="pct"/>
            <w:gridSpan w:val="2"/>
            <w:shd w:val="clear" w:color="auto" w:fill="auto"/>
            <w:vAlign w:val="center"/>
          </w:tcPr>
          <w:p w14:paraId="2F4899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PCA含量DMSO</w:t>
            </w:r>
          </w:p>
        </w:tc>
        <w:tc>
          <w:tcPr>
            <w:tcW w:w="3732" w:type="pct"/>
            <w:gridSpan w:val="3"/>
            <w:shd w:val="clear" w:color="auto" w:fill="auto"/>
            <w:vAlign w:val="center"/>
          </w:tcPr>
          <w:p w14:paraId="0F404E9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&lt;3%</w:t>
            </w:r>
          </w:p>
        </w:tc>
      </w:tr>
      <w:tr w14:paraId="7C559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267" w:type="pct"/>
            <w:gridSpan w:val="2"/>
            <w:shd w:val="clear" w:color="auto" w:fill="auto"/>
            <w:vAlign w:val="center"/>
          </w:tcPr>
          <w:p w14:paraId="0B3E3EE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有害物成分</w:t>
            </w:r>
          </w:p>
        </w:tc>
        <w:tc>
          <w:tcPr>
            <w:tcW w:w="3732" w:type="pct"/>
            <w:gridSpan w:val="3"/>
            <w:shd w:val="clear" w:color="auto" w:fill="auto"/>
            <w:vAlign w:val="center"/>
          </w:tcPr>
          <w:p w14:paraId="6DFF75C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烷烃、环烷族饱和烃、芳香族不饱和烃等组成的化合物</w:t>
            </w:r>
          </w:p>
        </w:tc>
      </w:tr>
      <w:tr w14:paraId="12219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restart"/>
            <w:shd w:val="clear" w:color="auto" w:fill="auto"/>
            <w:vAlign w:val="center"/>
          </w:tcPr>
          <w:p w14:paraId="7AB044B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危险性概述</w:t>
            </w:r>
          </w:p>
        </w:tc>
        <w:tc>
          <w:tcPr>
            <w:tcW w:w="766" w:type="pct"/>
            <w:shd w:val="clear" w:color="auto" w:fill="auto"/>
            <w:vAlign w:val="center"/>
          </w:tcPr>
          <w:p w14:paraId="5749005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物理和化学危险</w:t>
            </w:r>
          </w:p>
        </w:tc>
        <w:tc>
          <w:tcPr>
            <w:tcW w:w="3732" w:type="pct"/>
            <w:gridSpan w:val="3"/>
            <w:shd w:val="clear" w:color="auto" w:fill="auto"/>
            <w:vAlign w:val="center"/>
          </w:tcPr>
          <w:p w14:paraId="269DE33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温度升高超过物理性质的指标时，会释放出可燃的蒸气和分解产物。</w:t>
            </w:r>
          </w:p>
        </w:tc>
      </w:tr>
      <w:tr w14:paraId="20D26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01" w:type="pct"/>
            <w:vMerge w:val="continue"/>
            <w:vAlign w:val="center"/>
          </w:tcPr>
          <w:p w14:paraId="2DDFA95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786F475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人类健康</w:t>
            </w:r>
          </w:p>
        </w:tc>
        <w:tc>
          <w:tcPr>
            <w:tcW w:w="3732" w:type="pct"/>
            <w:gridSpan w:val="3"/>
            <w:shd w:val="clear" w:color="auto" w:fill="auto"/>
            <w:vAlign w:val="center"/>
          </w:tcPr>
          <w:p w14:paraId="6011AAC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吸入蒸气或烟雾(在高温情况下才会产生)会刺激呼吸道。长期或重复皮肤接触会造成脱脂或刺激。眼睛接触可能引起刺激。</w:t>
            </w:r>
          </w:p>
        </w:tc>
      </w:tr>
      <w:tr w14:paraId="18664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4329AE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310548A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环境</w:t>
            </w:r>
          </w:p>
        </w:tc>
        <w:tc>
          <w:tcPr>
            <w:tcW w:w="3732" w:type="pct"/>
            <w:gridSpan w:val="3"/>
            <w:shd w:val="clear" w:color="auto" w:fill="auto"/>
            <w:vAlign w:val="center"/>
          </w:tcPr>
          <w:p w14:paraId="32C05AC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矿物白油缓慢生物降解，产品将在环境中保留一段时间。存在污染地面、土壤和水的风险。</w:t>
            </w:r>
          </w:p>
        </w:tc>
      </w:tr>
      <w:tr w14:paraId="30999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25D0FC8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4498" w:type="pct"/>
            <w:gridSpan w:val="4"/>
            <w:shd w:val="clear" w:color="auto" w:fill="auto"/>
            <w:vAlign w:val="center"/>
          </w:tcPr>
          <w:p w14:paraId="5D736F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备注：在正常使用的情况下，本产品不存在不可预计的危险。</w:t>
            </w:r>
          </w:p>
        </w:tc>
      </w:tr>
      <w:tr w14:paraId="70716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restart"/>
            <w:shd w:val="clear" w:color="auto" w:fill="auto"/>
            <w:vAlign w:val="center"/>
          </w:tcPr>
          <w:p w14:paraId="105439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急救</w:t>
            </w:r>
          </w:p>
          <w:p w14:paraId="0A27D6C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措施</w:t>
            </w:r>
          </w:p>
        </w:tc>
        <w:tc>
          <w:tcPr>
            <w:tcW w:w="766" w:type="pct"/>
            <w:shd w:val="clear" w:color="auto" w:fill="auto"/>
            <w:vAlign w:val="center"/>
          </w:tcPr>
          <w:p w14:paraId="35668D6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皮肤接触</w:t>
            </w:r>
          </w:p>
        </w:tc>
        <w:tc>
          <w:tcPr>
            <w:tcW w:w="3732" w:type="pct"/>
            <w:gridSpan w:val="3"/>
            <w:shd w:val="clear" w:color="auto" w:fill="auto"/>
            <w:vAlign w:val="center"/>
          </w:tcPr>
          <w:p w14:paraId="3A4B290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立即脱去被污染的衣物，擦去矿物油，并用香皂和大量水清洗。衣物未清洗前勿使用。如果发生刺激反应，请与医生联系。</w:t>
            </w:r>
          </w:p>
        </w:tc>
      </w:tr>
      <w:tr w14:paraId="1C939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49EFE8E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13C735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眼睛接触</w:t>
            </w:r>
          </w:p>
        </w:tc>
        <w:tc>
          <w:tcPr>
            <w:tcW w:w="3732" w:type="pct"/>
            <w:gridSpan w:val="3"/>
            <w:shd w:val="clear" w:color="auto" w:fill="auto"/>
            <w:vAlign w:val="center"/>
          </w:tcPr>
          <w:p w14:paraId="5C5DFBD9">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用大量的水清洗。如果发生刺激反应，请与医生联系。</w:t>
            </w:r>
          </w:p>
        </w:tc>
      </w:tr>
      <w:tr w14:paraId="193F5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6461092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79A86A2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吸入</w:t>
            </w:r>
          </w:p>
        </w:tc>
        <w:tc>
          <w:tcPr>
            <w:tcW w:w="3732" w:type="pct"/>
            <w:gridSpan w:val="3"/>
            <w:shd w:val="clear" w:color="auto" w:fill="auto"/>
            <w:vAlign w:val="center"/>
          </w:tcPr>
          <w:p w14:paraId="4CFCCC8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如果吸入雾、烟或蒸气引起刺激反应，立即转移到新鲜空气处。如果 呼吸困难可进行吸氧。如症状未缓解，请与医生联系。如呼吸停止应</w:t>
            </w:r>
          </w:p>
        </w:tc>
      </w:tr>
      <w:tr w14:paraId="6EED5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2DB2612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2F46FB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吸入</w:t>
            </w:r>
          </w:p>
        </w:tc>
        <w:tc>
          <w:tcPr>
            <w:tcW w:w="3732" w:type="pct"/>
            <w:gridSpan w:val="3"/>
            <w:shd w:val="clear" w:color="auto" w:fill="auto"/>
            <w:vAlign w:val="center"/>
          </w:tcPr>
          <w:p w14:paraId="5127622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进行人工呼吸并立即送医院就诊。</w:t>
            </w:r>
          </w:p>
        </w:tc>
      </w:tr>
      <w:tr w14:paraId="68C87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21B4ACF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2B5BB9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食入</w:t>
            </w:r>
          </w:p>
        </w:tc>
        <w:tc>
          <w:tcPr>
            <w:tcW w:w="3732" w:type="pct"/>
            <w:gridSpan w:val="3"/>
            <w:shd w:val="clear" w:color="auto" w:fill="auto"/>
            <w:vAlign w:val="center"/>
          </w:tcPr>
          <w:p w14:paraId="78DD9C7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用水清洗口腔。如果吞下量较大请与医生联系。不要进行催吐。</w:t>
            </w:r>
          </w:p>
        </w:tc>
      </w:tr>
      <w:tr w14:paraId="7E92D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restart"/>
            <w:shd w:val="clear" w:color="auto" w:fill="auto"/>
            <w:vAlign w:val="center"/>
          </w:tcPr>
          <w:p w14:paraId="6E5C999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消防</w:t>
            </w:r>
          </w:p>
          <w:p w14:paraId="717DB31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措施</w:t>
            </w:r>
          </w:p>
        </w:tc>
        <w:tc>
          <w:tcPr>
            <w:tcW w:w="766" w:type="pct"/>
            <w:shd w:val="clear" w:color="auto" w:fill="auto"/>
            <w:vAlign w:val="center"/>
          </w:tcPr>
          <w:p w14:paraId="7E4D374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合适的</w:t>
            </w:r>
          </w:p>
          <w:p w14:paraId="734E6D3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灭火剂</w:t>
            </w:r>
          </w:p>
        </w:tc>
        <w:tc>
          <w:tcPr>
            <w:tcW w:w="3732" w:type="pct"/>
            <w:gridSpan w:val="3"/>
            <w:shd w:val="clear" w:color="auto" w:fill="auto"/>
            <w:vAlign w:val="center"/>
          </w:tcPr>
          <w:p w14:paraId="22C1C44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使用干粉、二氧化碳或泡沫灭火剂。也可使用喷雾或水雾。</w:t>
            </w:r>
          </w:p>
        </w:tc>
      </w:tr>
      <w:tr w14:paraId="0BEC4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6373D1B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6D40D3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不能使用的灭火剂</w:t>
            </w:r>
          </w:p>
        </w:tc>
        <w:tc>
          <w:tcPr>
            <w:tcW w:w="3732" w:type="pct"/>
            <w:gridSpan w:val="3"/>
            <w:shd w:val="clear" w:color="auto" w:fill="auto"/>
            <w:vAlign w:val="center"/>
          </w:tcPr>
          <w:p w14:paraId="6AEFC88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不要直接使用水流。</w:t>
            </w:r>
          </w:p>
        </w:tc>
      </w:tr>
      <w:tr w14:paraId="5A603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0264C7A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6F4CB08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消防人员</w:t>
            </w:r>
          </w:p>
          <w:p w14:paraId="6C1C265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防护</w:t>
            </w:r>
          </w:p>
        </w:tc>
        <w:tc>
          <w:tcPr>
            <w:tcW w:w="3732" w:type="pct"/>
            <w:gridSpan w:val="3"/>
            <w:shd w:val="clear" w:color="auto" w:fill="auto"/>
            <w:vAlign w:val="center"/>
          </w:tcPr>
          <w:p w14:paraId="0EF7FAE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消防人员应穿着全身防护服，并配带正压呼吸器。</w:t>
            </w:r>
          </w:p>
        </w:tc>
      </w:tr>
      <w:tr w14:paraId="5A8FE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501" w:type="pct"/>
            <w:vMerge w:val="restart"/>
            <w:shd w:val="clear" w:color="auto" w:fill="auto"/>
            <w:vAlign w:val="center"/>
          </w:tcPr>
          <w:p w14:paraId="37EE461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意外泄漏漏应急处理</w:t>
            </w:r>
          </w:p>
        </w:tc>
        <w:tc>
          <w:tcPr>
            <w:tcW w:w="766" w:type="pct"/>
            <w:shd w:val="clear" w:color="auto" w:fill="auto"/>
            <w:vAlign w:val="center"/>
          </w:tcPr>
          <w:p w14:paraId="4B04336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个人措施</w:t>
            </w:r>
          </w:p>
        </w:tc>
        <w:tc>
          <w:tcPr>
            <w:tcW w:w="3732" w:type="pct"/>
            <w:gridSpan w:val="3"/>
            <w:shd w:val="clear" w:color="auto" w:fill="auto"/>
            <w:vAlign w:val="center"/>
          </w:tcPr>
          <w:p w14:paraId="7B35D09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佩带适当的防护设备。立即熄灭火源。</w:t>
            </w:r>
          </w:p>
        </w:tc>
      </w:tr>
      <w:tr w14:paraId="06E5A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501" w:type="pct"/>
            <w:vMerge w:val="continue"/>
            <w:vAlign w:val="center"/>
          </w:tcPr>
          <w:p w14:paraId="5E3FD6B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521D826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环境措施</w:t>
            </w:r>
          </w:p>
        </w:tc>
        <w:tc>
          <w:tcPr>
            <w:tcW w:w="3732" w:type="pct"/>
            <w:gridSpan w:val="3"/>
            <w:shd w:val="clear" w:color="auto" w:fill="auto"/>
            <w:vAlign w:val="center"/>
          </w:tcPr>
          <w:p w14:paraId="512155C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防止溢出物进入或蔓延到排水沟、水道和土壤中。与当地环境保护部门联系。</w:t>
            </w:r>
          </w:p>
        </w:tc>
      </w:tr>
      <w:tr w14:paraId="04305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3267A67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4D69B5A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清洁方法</w:t>
            </w:r>
          </w:p>
        </w:tc>
        <w:tc>
          <w:tcPr>
            <w:tcW w:w="3732" w:type="pct"/>
            <w:gridSpan w:val="3"/>
            <w:shd w:val="clear" w:color="auto" w:fill="auto"/>
            <w:vAlign w:val="center"/>
          </w:tcPr>
          <w:p w14:paraId="6B6B087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如果无危险，应尽快停止泄漏。少量泄漏使，用粘土、沙、土或其它合适的材料吸收。大量泄漏时，用泵将泄漏的油泵入合适的容器中，然后再用上面提到的材料吸收。正确的废气方法按第13部分。</w:t>
            </w:r>
          </w:p>
        </w:tc>
      </w:tr>
      <w:tr w14:paraId="7AE60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01" w:type="pct"/>
            <w:vMerge w:val="restart"/>
            <w:shd w:val="clear" w:color="auto" w:fill="auto"/>
            <w:vAlign w:val="center"/>
          </w:tcPr>
          <w:p w14:paraId="4DB4ABB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操作处置与储存</w:t>
            </w:r>
          </w:p>
        </w:tc>
        <w:tc>
          <w:tcPr>
            <w:tcW w:w="766" w:type="pct"/>
            <w:shd w:val="clear" w:color="auto" w:fill="auto"/>
            <w:vAlign w:val="center"/>
          </w:tcPr>
          <w:p w14:paraId="272C69B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处理</w:t>
            </w:r>
          </w:p>
        </w:tc>
        <w:tc>
          <w:tcPr>
            <w:tcW w:w="3732" w:type="pct"/>
            <w:gridSpan w:val="3"/>
            <w:shd w:val="clear" w:color="auto" w:fill="auto"/>
            <w:vAlign w:val="center"/>
          </w:tcPr>
          <w:p w14:paraId="6DE164D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避免热、明火和强氧化剂。所有处理设备要进行接地，以防电火花。如果处于高温下或高速运动的机械设备中，可能会释放出蒸气或雾，因此需要良好的通风，使用防爆通风设备。</w:t>
            </w:r>
          </w:p>
        </w:tc>
      </w:tr>
      <w:tr w14:paraId="59244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665FC22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02A8A7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贮存</w:t>
            </w:r>
          </w:p>
        </w:tc>
        <w:tc>
          <w:tcPr>
            <w:tcW w:w="3732" w:type="pct"/>
            <w:gridSpan w:val="3"/>
            <w:shd w:val="clear" w:color="auto" w:fill="auto"/>
            <w:vAlign w:val="center"/>
          </w:tcPr>
          <w:p w14:paraId="1B2E454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贮存于干燥，凉爽环境下，通风良好处。避免强烈日光，明火和高温。</w:t>
            </w:r>
          </w:p>
        </w:tc>
      </w:tr>
      <w:tr w14:paraId="51242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501" w:type="pct"/>
            <w:vMerge w:val="restart"/>
            <w:shd w:val="clear" w:color="auto" w:fill="auto"/>
            <w:vAlign w:val="center"/>
          </w:tcPr>
          <w:p w14:paraId="5EC20CC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接触控制个体防护</w:t>
            </w:r>
          </w:p>
        </w:tc>
        <w:tc>
          <w:tcPr>
            <w:tcW w:w="766" w:type="pct"/>
            <w:shd w:val="clear" w:color="auto" w:fill="auto"/>
            <w:vAlign w:val="center"/>
          </w:tcPr>
          <w:p w14:paraId="5571F2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控制因素</w:t>
            </w:r>
          </w:p>
        </w:tc>
        <w:tc>
          <w:tcPr>
            <w:tcW w:w="3732" w:type="pct"/>
            <w:gridSpan w:val="3"/>
            <w:shd w:val="clear" w:color="auto" w:fill="auto"/>
            <w:vAlign w:val="center"/>
          </w:tcPr>
          <w:p w14:paraId="0F79DD1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如果存在矿物油的尘雾，应进行通风。</w:t>
            </w:r>
          </w:p>
        </w:tc>
      </w:tr>
      <w:tr w14:paraId="02F25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721BDF2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324BB0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呼吸防护</w:t>
            </w:r>
          </w:p>
        </w:tc>
        <w:tc>
          <w:tcPr>
            <w:tcW w:w="3732" w:type="pct"/>
            <w:gridSpan w:val="3"/>
            <w:shd w:val="clear" w:color="auto" w:fill="auto"/>
            <w:vAlign w:val="center"/>
          </w:tcPr>
          <w:p w14:paraId="1CC9C0B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如果产品需要加热，应佩戴能防护有机物蒸气的面具或呼吸器。</w:t>
            </w:r>
          </w:p>
        </w:tc>
      </w:tr>
      <w:tr w14:paraId="5A287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25FD183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7996BB3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手的防护</w:t>
            </w:r>
          </w:p>
        </w:tc>
        <w:tc>
          <w:tcPr>
            <w:tcW w:w="3732" w:type="pct"/>
            <w:gridSpan w:val="3"/>
            <w:shd w:val="clear" w:color="auto" w:fill="auto"/>
            <w:vAlign w:val="center"/>
          </w:tcPr>
          <w:p w14:paraId="2699178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如果存在与皮肤反复接触的可能性，佩带防油手套。</w:t>
            </w:r>
          </w:p>
        </w:tc>
      </w:tr>
      <w:tr w14:paraId="0D1B7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5E0DEF1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579B1EB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眼睛防护</w:t>
            </w:r>
          </w:p>
        </w:tc>
        <w:tc>
          <w:tcPr>
            <w:tcW w:w="3732" w:type="pct"/>
            <w:gridSpan w:val="3"/>
            <w:shd w:val="clear" w:color="auto" w:fill="auto"/>
            <w:vAlign w:val="center"/>
          </w:tcPr>
          <w:p w14:paraId="74F599D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如果可能发生溅出，佩带护目镜。</w:t>
            </w:r>
          </w:p>
        </w:tc>
      </w:tr>
      <w:tr w14:paraId="7DEC5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71493B1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216C8C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皮肤与身体防护</w:t>
            </w:r>
          </w:p>
        </w:tc>
        <w:tc>
          <w:tcPr>
            <w:tcW w:w="3732" w:type="pct"/>
            <w:gridSpan w:val="3"/>
            <w:shd w:val="clear" w:color="auto" w:fill="auto"/>
            <w:vAlign w:val="center"/>
          </w:tcPr>
          <w:p w14:paraId="5C5D2F4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如果可能存在皮肤身体接触，穿戴防护服，经常更换或污染时更换。</w:t>
            </w:r>
          </w:p>
        </w:tc>
      </w:tr>
      <w:tr w14:paraId="4E439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501" w:type="pct"/>
            <w:vMerge w:val="continue"/>
            <w:vAlign w:val="center"/>
          </w:tcPr>
          <w:p w14:paraId="6E30397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4B1870D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卫生措施</w:t>
            </w:r>
          </w:p>
        </w:tc>
        <w:tc>
          <w:tcPr>
            <w:tcW w:w="3732" w:type="pct"/>
            <w:gridSpan w:val="3"/>
            <w:shd w:val="clear" w:color="auto" w:fill="auto"/>
            <w:vAlign w:val="center"/>
          </w:tcPr>
          <w:p w14:paraId="03AE3C1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在吃饭、喝水、吸烟，使用化妆品和上厕所前用肥皂和水洗手。受污染的衣物在重新使用前要清洗。</w:t>
            </w:r>
          </w:p>
        </w:tc>
      </w:tr>
      <w:tr w14:paraId="6ED9C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restart"/>
            <w:shd w:val="clear" w:color="auto" w:fill="auto"/>
            <w:vAlign w:val="center"/>
          </w:tcPr>
          <w:p w14:paraId="1355B7A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稳定性和反应活性</w:t>
            </w:r>
          </w:p>
        </w:tc>
        <w:tc>
          <w:tcPr>
            <w:tcW w:w="766" w:type="pct"/>
            <w:shd w:val="clear" w:color="auto" w:fill="auto"/>
            <w:vAlign w:val="center"/>
          </w:tcPr>
          <w:p w14:paraId="5A73BFD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稳定性</w:t>
            </w:r>
          </w:p>
        </w:tc>
        <w:tc>
          <w:tcPr>
            <w:tcW w:w="1118" w:type="pct"/>
            <w:shd w:val="clear" w:color="auto" w:fill="auto"/>
            <w:vAlign w:val="center"/>
          </w:tcPr>
          <w:p w14:paraId="25934EB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在通常环境下稳定。</w:t>
            </w:r>
          </w:p>
        </w:tc>
        <w:tc>
          <w:tcPr>
            <w:tcW w:w="1264" w:type="pct"/>
            <w:shd w:val="clear" w:color="auto" w:fill="auto"/>
            <w:vAlign w:val="center"/>
          </w:tcPr>
          <w:p w14:paraId="1F403B8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避免接触的条件</w:t>
            </w:r>
          </w:p>
        </w:tc>
        <w:tc>
          <w:tcPr>
            <w:tcW w:w="1350" w:type="pct"/>
            <w:shd w:val="clear" w:color="auto" w:fill="auto"/>
            <w:vAlign w:val="center"/>
          </w:tcPr>
          <w:p w14:paraId="7E3914A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过热</w:t>
            </w:r>
          </w:p>
        </w:tc>
      </w:tr>
      <w:tr w14:paraId="16C3F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3497183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238966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避免</w:t>
            </w:r>
          </w:p>
        </w:tc>
        <w:tc>
          <w:tcPr>
            <w:tcW w:w="3732" w:type="pct"/>
            <w:gridSpan w:val="3"/>
            <w:shd w:val="clear" w:color="auto" w:fill="auto"/>
            <w:vAlign w:val="center"/>
          </w:tcPr>
          <w:p w14:paraId="6930F8C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强氧化剂。</w:t>
            </w:r>
          </w:p>
        </w:tc>
      </w:tr>
      <w:tr w14:paraId="743D0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501" w:type="pct"/>
            <w:vMerge w:val="continue"/>
            <w:vAlign w:val="center"/>
          </w:tcPr>
          <w:p w14:paraId="7811B2A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5A00219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分解产物</w:t>
            </w:r>
          </w:p>
        </w:tc>
        <w:tc>
          <w:tcPr>
            <w:tcW w:w="3732" w:type="pct"/>
            <w:gridSpan w:val="3"/>
            <w:shd w:val="clear" w:color="auto" w:fill="auto"/>
            <w:vAlign w:val="center"/>
          </w:tcPr>
          <w:p w14:paraId="52146A4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热解或分解产物很大程度上取决于条件。会形成一氧化碳、二氧化碳和未知有机物。</w:t>
            </w:r>
          </w:p>
        </w:tc>
      </w:tr>
      <w:tr w14:paraId="1DF11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501" w:type="pct"/>
            <w:vMerge w:val="restart"/>
            <w:shd w:val="clear" w:color="auto" w:fill="auto"/>
            <w:vAlign w:val="center"/>
          </w:tcPr>
          <w:p w14:paraId="64C482C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毒理学资料</w:t>
            </w:r>
          </w:p>
        </w:tc>
        <w:tc>
          <w:tcPr>
            <w:tcW w:w="766" w:type="pct"/>
            <w:shd w:val="clear" w:color="auto" w:fill="auto"/>
            <w:vAlign w:val="center"/>
          </w:tcPr>
          <w:p w14:paraId="61DB09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急性毒性</w:t>
            </w:r>
          </w:p>
        </w:tc>
        <w:tc>
          <w:tcPr>
            <w:tcW w:w="3732" w:type="pct"/>
            <w:gridSpan w:val="3"/>
            <w:shd w:val="clear" w:color="auto" w:fill="auto"/>
            <w:vAlign w:val="center"/>
          </w:tcPr>
          <w:p w14:paraId="2AF541F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现有研究表明LD50口服&gt;5000g/kg,可以认为急性毒性较低。</w:t>
            </w:r>
          </w:p>
        </w:tc>
      </w:tr>
      <w:tr w14:paraId="5569F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44777D6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3712BCE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吸入</w:t>
            </w:r>
          </w:p>
        </w:tc>
        <w:tc>
          <w:tcPr>
            <w:tcW w:w="3732" w:type="pct"/>
            <w:gridSpan w:val="3"/>
            <w:shd w:val="clear" w:color="auto" w:fill="auto"/>
            <w:vAlign w:val="center"/>
          </w:tcPr>
          <w:p w14:paraId="64E58D4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无数据。但长时间和重复吸入高温下产生的蒸气或雾可能会刺激呼吸道。</w:t>
            </w:r>
          </w:p>
        </w:tc>
      </w:tr>
      <w:tr w14:paraId="3748A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5D88C3A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62C7DA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食入</w:t>
            </w:r>
          </w:p>
        </w:tc>
        <w:tc>
          <w:tcPr>
            <w:tcW w:w="3732" w:type="pct"/>
            <w:gridSpan w:val="3"/>
            <w:shd w:val="clear" w:color="auto" w:fill="auto"/>
            <w:vAlign w:val="center"/>
          </w:tcPr>
          <w:p w14:paraId="282890D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无数据。但可能导致恶心甚至呕吐和腹泻。</w:t>
            </w:r>
          </w:p>
        </w:tc>
      </w:tr>
      <w:tr w14:paraId="76314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792D15E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51AE07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眼睛接触</w:t>
            </w:r>
          </w:p>
        </w:tc>
        <w:tc>
          <w:tcPr>
            <w:tcW w:w="3732" w:type="pct"/>
            <w:gridSpan w:val="3"/>
            <w:shd w:val="clear" w:color="auto" w:fill="auto"/>
            <w:vAlign w:val="center"/>
          </w:tcPr>
          <w:p w14:paraId="1C57FA7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无数据。但可能会引起发红和短暂疼痛。</w:t>
            </w:r>
          </w:p>
        </w:tc>
      </w:tr>
      <w:tr w14:paraId="44701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5C5661D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78F407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致敏</w:t>
            </w:r>
          </w:p>
        </w:tc>
        <w:tc>
          <w:tcPr>
            <w:tcW w:w="3732" w:type="pct"/>
            <w:gridSpan w:val="3"/>
            <w:shd w:val="clear" w:color="auto" w:fill="auto"/>
            <w:vAlign w:val="center"/>
          </w:tcPr>
          <w:p w14:paraId="44BDE7B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研究表明无致敏迹象。</w:t>
            </w:r>
          </w:p>
        </w:tc>
      </w:tr>
      <w:tr w14:paraId="56FE7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01" w:type="pct"/>
            <w:vMerge w:val="restart"/>
            <w:shd w:val="clear" w:color="auto" w:fill="auto"/>
            <w:vAlign w:val="center"/>
          </w:tcPr>
          <w:p w14:paraId="1BEED36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生态学资料</w:t>
            </w:r>
          </w:p>
        </w:tc>
        <w:tc>
          <w:tcPr>
            <w:tcW w:w="766" w:type="pct"/>
            <w:shd w:val="clear" w:color="auto" w:fill="auto"/>
            <w:vAlign w:val="center"/>
          </w:tcPr>
          <w:p w14:paraId="343151D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概述</w:t>
            </w:r>
          </w:p>
        </w:tc>
        <w:tc>
          <w:tcPr>
            <w:tcW w:w="3732" w:type="pct"/>
            <w:gridSpan w:val="3"/>
            <w:shd w:val="clear" w:color="auto" w:fill="auto"/>
            <w:vAlign w:val="center"/>
          </w:tcPr>
          <w:p w14:paraId="631C7D4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根据OECD-203实验方法进行检测，各产品鱼类急性毒性检测结果均显示LC50&gt;100mg/L,属于低毒类物质。对环境无可预见的损害。</w:t>
            </w:r>
          </w:p>
        </w:tc>
      </w:tr>
      <w:tr w14:paraId="6DA64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7B5B64E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7C3A5D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迁移率</w:t>
            </w:r>
          </w:p>
        </w:tc>
        <w:tc>
          <w:tcPr>
            <w:tcW w:w="3732" w:type="pct"/>
            <w:gridSpan w:val="3"/>
            <w:shd w:val="clear" w:color="auto" w:fill="auto"/>
            <w:vAlign w:val="center"/>
          </w:tcPr>
          <w:p w14:paraId="660F225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低，因为不溶于水。</w:t>
            </w:r>
          </w:p>
        </w:tc>
      </w:tr>
      <w:tr w14:paraId="3C224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01" w:type="pct"/>
            <w:vMerge w:val="continue"/>
            <w:vAlign w:val="center"/>
          </w:tcPr>
          <w:p w14:paraId="1F1B047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6A8704C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持续性/降解能力</w:t>
            </w:r>
          </w:p>
        </w:tc>
        <w:tc>
          <w:tcPr>
            <w:tcW w:w="3732" w:type="pct"/>
            <w:gridSpan w:val="3"/>
            <w:shd w:val="clear" w:color="auto" w:fill="auto"/>
            <w:vAlign w:val="center"/>
          </w:tcPr>
          <w:p w14:paraId="58CFEF7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根据OECD-301D方法进行检测，各产品28天生物降解率介于10.1%~27.1%问。物质不符合可迅速生物降解的标准。</w:t>
            </w:r>
          </w:p>
        </w:tc>
      </w:tr>
      <w:tr w14:paraId="331ED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099E690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766" w:type="pct"/>
            <w:shd w:val="clear" w:color="auto" w:fill="auto"/>
            <w:vAlign w:val="center"/>
          </w:tcPr>
          <w:p w14:paraId="1D304D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生物积聚</w:t>
            </w:r>
          </w:p>
        </w:tc>
        <w:tc>
          <w:tcPr>
            <w:tcW w:w="3732" w:type="pct"/>
            <w:gridSpan w:val="3"/>
            <w:shd w:val="clear" w:color="auto" w:fill="auto"/>
            <w:vAlign w:val="center"/>
          </w:tcPr>
          <w:p w14:paraId="61130E7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无数据，但烃类分子的体积降低了生物积聚的可能性。</w:t>
            </w:r>
          </w:p>
        </w:tc>
      </w:tr>
      <w:tr w14:paraId="28024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shd w:val="clear" w:color="auto" w:fill="auto"/>
            <w:vAlign w:val="center"/>
          </w:tcPr>
          <w:p w14:paraId="411BB6F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废弃</w:t>
            </w:r>
          </w:p>
        </w:tc>
        <w:tc>
          <w:tcPr>
            <w:tcW w:w="766" w:type="pct"/>
            <w:shd w:val="clear" w:color="auto" w:fill="auto"/>
            <w:vAlign w:val="center"/>
          </w:tcPr>
          <w:p w14:paraId="5F465C6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废弃物性质</w:t>
            </w:r>
          </w:p>
        </w:tc>
        <w:tc>
          <w:tcPr>
            <w:tcW w:w="3732" w:type="pct"/>
            <w:gridSpan w:val="3"/>
            <w:shd w:val="clear" w:color="auto" w:fill="auto"/>
            <w:vAlign w:val="center"/>
          </w:tcPr>
          <w:p w14:paraId="2954746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无</w:t>
            </w:r>
          </w:p>
        </w:tc>
      </w:tr>
    </w:tbl>
    <w:p w14:paraId="1DA760CA">
      <w:pPr>
        <w:keepNext w:val="0"/>
        <w:keepLines w:val="0"/>
        <w:pageBreakBefore w:val="0"/>
        <w:widowControl/>
        <w:numPr>
          <w:ilvl w:val="0"/>
          <w:numId w:val="0"/>
        </w:numPr>
        <w:suppressLineNumbers w:val="0"/>
        <w:kinsoku/>
        <w:wordWrap/>
        <w:overflowPunct/>
        <w:topLinePunct w:val="0"/>
        <w:autoSpaceDE/>
        <w:autoSpaceDN/>
        <w:bidi w:val="0"/>
        <w:adjustRightInd/>
        <w:snapToGrid/>
        <w:spacing w:line="420" w:lineRule="exact"/>
        <w:jc w:val="both"/>
        <w:textAlignment w:val="auto"/>
        <w:outlineLvl w:val="2"/>
        <w:rPr>
          <w:rFonts w:hint="eastAsia" w:ascii="宋体" w:hAnsi="宋体" w:eastAsia="宋体" w:cs="宋体"/>
          <w:b/>
          <w:bCs/>
          <w:sz w:val="30"/>
          <w:szCs w:val="30"/>
          <w:lang w:val="en-US" w:eastAsia="zh-CN"/>
        </w:rPr>
      </w:pPr>
      <w:bookmarkStart w:id="241" w:name="_Toc5795"/>
      <w:r>
        <w:rPr>
          <w:rFonts w:hint="eastAsia" w:ascii="宋体" w:hAnsi="宋体" w:eastAsia="宋体" w:cs="宋体"/>
          <w:b/>
          <w:bCs/>
          <w:sz w:val="30"/>
          <w:szCs w:val="30"/>
          <w:lang w:val="en-US" w:eastAsia="zh-CN"/>
        </w:rPr>
        <w:t>3.3.2乙炔</w:t>
      </w:r>
      <w:bookmarkEnd w:id="241"/>
    </w:p>
    <w:p w14:paraId="2E401D29">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电站在施工及检修焊接时经常使用钢瓶装的乙炔。乙炔</w:t>
      </w:r>
      <w:r>
        <w:rPr>
          <w:rFonts w:hint="eastAsia" w:ascii="宋体" w:hAnsi="宋体" w:eastAsia="宋体" w:cs="宋体"/>
          <w:color w:val="000000" w:themeColor="text1"/>
          <w:sz w:val="28"/>
          <w:szCs w:val="28"/>
          <w:lang w:eastAsia="zh-CN"/>
          <w14:textFill>
            <w14:solidFill>
              <w14:schemeClr w14:val="tx1"/>
            </w14:solidFill>
          </w14:textFill>
        </w:rPr>
        <w:t>危险特性：极易燃烧爆炸。与空气混合能形成爆炸性混合物，遇明火、高热能引起燃烧爆炸。与氧化剂接触猛烈反应。经压缩或加热可造成剧烈爆炸。与氟、氯等接触会发生剧烈的化学反应。能与铜、银、汞等的化合物生成爆炸性物质。毒性：空气中浓度为60%～80%时，几分钟动物出现麻醉；吸入浓度为20%时，发生嗜睡、呕吐、呼吸困难。</w:t>
      </w:r>
    </w:p>
    <w:p w14:paraId="4132E455">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健康危害：具有弱麻醉作用。</w:t>
      </w:r>
      <w:r>
        <w:rPr>
          <w:rFonts w:hint="eastAsia" w:ascii="宋体" w:hAnsi="宋体" w:eastAsia="宋体" w:cs="宋体"/>
          <w:color w:val="000000" w:themeColor="text1"/>
          <w:sz w:val="28"/>
          <w:szCs w:val="28"/>
          <w:lang w:eastAsia="zh-CN"/>
          <w14:textFill>
            <w14:solidFill>
              <w14:schemeClr w14:val="tx1"/>
            </w14:solidFill>
          </w14:textFill>
        </w:rPr>
        <w:t>高浓度吸入可引起单纯窒息。暴露于20％浓度时，出现明显缺氧症状；吸入高浓度，初期兴奋、多语、哭笑不安，后出现眩晕、头痛、恶心、呕吐、共济失调、嗜睡；严重者昏迷、紫绀、瞳孔对光反应消失、脉弱而不齐。当混有磷化氢、硫化氢时，毒性增大，应予以注意。</w:t>
      </w:r>
    </w:p>
    <w:p w14:paraId="0C18823F">
      <w:pPr>
        <w:pStyle w:val="10"/>
        <w:keepNext w:val="0"/>
        <w:keepLines w:val="0"/>
        <w:pageBreakBefore w:val="0"/>
        <w:kinsoku/>
        <w:wordWrap/>
        <w:overflowPunct/>
        <w:topLinePunct w:val="0"/>
        <w:autoSpaceDE/>
        <w:autoSpaceDN/>
        <w:bidi w:val="0"/>
        <w:adjustRightInd/>
        <w:snapToGrid/>
        <w:spacing w:line="420" w:lineRule="exact"/>
        <w:ind w:firstLine="482" w:firstLineChars="200"/>
        <w:jc w:val="center"/>
        <w:textAlignment w:val="auto"/>
        <w:rPr>
          <w:rFonts w:hint="eastAsia" w:ascii="宋体" w:hAnsi="宋体" w:eastAsia="宋体" w:cs="宋体"/>
          <w:b/>
          <w:bCs/>
          <w:color w:val="000000" w:themeColor="text1"/>
          <w:sz w:val="24"/>
          <w:szCs w:val="24"/>
          <w:lang w:eastAsia="zh-CN"/>
          <w14:textFill>
            <w14:solidFill>
              <w14:schemeClr w14:val="tx1"/>
            </w14:solidFill>
          </w14:textFill>
        </w:rPr>
      </w:pPr>
      <w:r>
        <w:rPr>
          <w:rFonts w:hint="eastAsia" w:ascii="宋体" w:hAnsi="宋体" w:eastAsia="宋体" w:cs="宋体"/>
          <w:b/>
          <w:bCs/>
          <w:color w:val="000000" w:themeColor="text1"/>
          <w:sz w:val="24"/>
          <w:szCs w:val="24"/>
          <w:lang w:eastAsia="zh-CN"/>
          <w14:textFill>
            <w14:solidFill>
              <w14:schemeClr w14:val="tx1"/>
            </w14:solidFill>
          </w14:textFill>
        </w:rPr>
        <w:t>表3.</w:t>
      </w:r>
      <w:r>
        <w:rPr>
          <w:rFonts w:hint="eastAsia" w:ascii="宋体" w:hAnsi="宋体" w:eastAsia="宋体" w:cs="宋体"/>
          <w:b/>
          <w:bCs/>
          <w:color w:val="000000" w:themeColor="text1"/>
          <w:sz w:val="24"/>
          <w:szCs w:val="24"/>
          <w:lang w:val="en-US" w:eastAsia="zh-CN"/>
          <w14:textFill>
            <w14:solidFill>
              <w14:schemeClr w14:val="tx1"/>
            </w14:solidFill>
          </w14:textFill>
        </w:rPr>
        <w:t>3</w:t>
      </w:r>
      <w:r>
        <w:rPr>
          <w:rFonts w:hint="eastAsia" w:ascii="宋体" w:hAnsi="宋体" w:eastAsia="宋体" w:cs="宋体"/>
          <w:b/>
          <w:bCs/>
          <w:color w:val="000000" w:themeColor="text1"/>
          <w:sz w:val="24"/>
          <w:szCs w:val="24"/>
          <w:lang w:eastAsia="zh-CN"/>
          <w14:textFill>
            <w14:solidFill>
              <w14:schemeClr w14:val="tx1"/>
            </w14:solidFill>
          </w14:textFill>
        </w:rPr>
        <w:t>-</w:t>
      </w:r>
      <w:r>
        <w:rPr>
          <w:rFonts w:hint="eastAsia" w:ascii="宋体" w:hAnsi="宋体" w:eastAsia="宋体" w:cs="宋体"/>
          <w:b/>
          <w:bCs/>
          <w:color w:val="000000" w:themeColor="text1"/>
          <w:sz w:val="24"/>
          <w:szCs w:val="24"/>
          <w:lang w:val="en-US" w:eastAsia="zh-CN"/>
          <w14:textFill>
            <w14:solidFill>
              <w14:schemeClr w14:val="tx1"/>
            </w14:solidFill>
          </w14:textFill>
        </w:rPr>
        <w:t>2</w:t>
      </w:r>
      <w:r>
        <w:rPr>
          <w:rFonts w:hint="eastAsia" w:ascii="宋体" w:hAnsi="宋体" w:eastAsia="宋体" w:cs="宋体"/>
          <w:b/>
          <w:bCs/>
          <w:color w:val="000000" w:themeColor="text1"/>
          <w:sz w:val="24"/>
          <w:szCs w:val="24"/>
          <w:lang w:eastAsia="zh-CN"/>
          <w14:textFill>
            <w14:solidFill>
              <w14:schemeClr w14:val="tx1"/>
            </w14:solidFill>
          </w14:textFill>
        </w:rPr>
        <w:t xml:space="preserve"> 乙炔的理化性质及危险特性</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1008"/>
        <w:gridCol w:w="682"/>
        <w:gridCol w:w="1336"/>
        <w:gridCol w:w="314"/>
        <w:gridCol w:w="368"/>
        <w:gridCol w:w="529"/>
        <w:gridCol w:w="242"/>
        <w:gridCol w:w="1282"/>
        <w:gridCol w:w="264"/>
        <w:gridCol w:w="2451"/>
      </w:tblGrid>
      <w:tr w14:paraId="28FCE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blHeader/>
          <w:jc w:val="center"/>
        </w:trPr>
        <w:tc>
          <w:tcPr>
            <w:tcW w:w="350" w:type="pct"/>
            <w:vMerge w:val="restart"/>
            <w:vAlign w:val="center"/>
          </w:tcPr>
          <w:p w14:paraId="23496DF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标识</w:t>
            </w:r>
          </w:p>
        </w:tc>
        <w:tc>
          <w:tcPr>
            <w:tcW w:w="2324" w:type="pct"/>
            <w:gridSpan w:val="6"/>
            <w:vAlign w:val="center"/>
          </w:tcPr>
          <w:p w14:paraId="530BCC8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中文名： 乙炔</w:t>
            </w:r>
          </w:p>
        </w:tc>
        <w:tc>
          <w:tcPr>
            <w:tcW w:w="2325" w:type="pct"/>
            <w:gridSpan w:val="4"/>
            <w:vAlign w:val="center"/>
          </w:tcPr>
          <w:p w14:paraId="06B356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英文名：acetylene</w:t>
            </w:r>
          </w:p>
        </w:tc>
      </w:tr>
      <w:tr w14:paraId="63A02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blHeader/>
          <w:jc w:val="center"/>
        </w:trPr>
        <w:tc>
          <w:tcPr>
            <w:tcW w:w="350" w:type="pct"/>
            <w:vMerge w:val="continue"/>
            <w:vAlign w:val="center"/>
          </w:tcPr>
          <w:p w14:paraId="0900C0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1660" w:type="pct"/>
            <w:gridSpan w:val="3"/>
            <w:vAlign w:val="center"/>
          </w:tcPr>
          <w:p w14:paraId="7CE0F9A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分子式：C</w:t>
            </w:r>
            <w:r>
              <w:rPr>
                <w:rFonts w:hint="eastAsia" w:ascii="宋体" w:hAnsi="宋体" w:eastAsia="宋体" w:cs="宋体"/>
                <w:color w:val="000000" w:themeColor="text1"/>
                <w:sz w:val="21"/>
                <w:szCs w:val="21"/>
                <w:vertAlign w:val="subscript"/>
                <w14:textFill>
                  <w14:solidFill>
                    <w14:schemeClr w14:val="tx1"/>
                  </w14:solidFill>
                </w14:textFill>
              </w:rPr>
              <w:t>2</w:t>
            </w:r>
            <w:r>
              <w:rPr>
                <w:rFonts w:hint="eastAsia" w:ascii="宋体" w:hAnsi="宋体" w:eastAsia="宋体" w:cs="宋体"/>
                <w:color w:val="000000" w:themeColor="text1"/>
                <w:sz w:val="21"/>
                <w:szCs w:val="21"/>
                <w14:textFill>
                  <w14:solidFill>
                    <w14:schemeClr w14:val="tx1"/>
                  </w14:solidFill>
                </w14:textFill>
              </w:rPr>
              <w:t>H</w:t>
            </w:r>
            <w:r>
              <w:rPr>
                <w:rFonts w:hint="eastAsia" w:ascii="宋体" w:hAnsi="宋体" w:eastAsia="宋体" w:cs="宋体"/>
                <w:color w:val="000000" w:themeColor="text1"/>
                <w:sz w:val="21"/>
                <w:szCs w:val="21"/>
                <w:vertAlign w:val="subscript"/>
                <w14:textFill>
                  <w14:solidFill>
                    <w14:schemeClr w14:val="tx1"/>
                  </w14:solidFill>
                </w14:textFill>
              </w:rPr>
              <w:t>2</w:t>
            </w:r>
          </w:p>
        </w:tc>
        <w:tc>
          <w:tcPr>
            <w:tcW w:w="1500" w:type="pct"/>
            <w:gridSpan w:val="5"/>
            <w:vAlign w:val="center"/>
          </w:tcPr>
          <w:p w14:paraId="5DD5EF7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分子量：26.04</w:t>
            </w:r>
          </w:p>
        </w:tc>
        <w:tc>
          <w:tcPr>
            <w:tcW w:w="1489" w:type="pct"/>
            <w:gridSpan w:val="2"/>
            <w:vAlign w:val="center"/>
          </w:tcPr>
          <w:p w14:paraId="73501E1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CAS号：74-86-2</w:t>
            </w:r>
          </w:p>
        </w:tc>
      </w:tr>
      <w:tr w14:paraId="73C4F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blHeader/>
          <w:jc w:val="center"/>
        </w:trPr>
        <w:tc>
          <w:tcPr>
            <w:tcW w:w="350" w:type="pct"/>
            <w:vMerge w:val="continue"/>
            <w:vAlign w:val="center"/>
          </w:tcPr>
          <w:p w14:paraId="12942CD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2324" w:type="pct"/>
            <w:gridSpan w:val="6"/>
            <w:vAlign w:val="center"/>
          </w:tcPr>
          <w:p w14:paraId="5989E7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危险货物编号：21024</w:t>
            </w:r>
          </w:p>
        </w:tc>
        <w:tc>
          <w:tcPr>
            <w:tcW w:w="2325" w:type="pct"/>
            <w:gridSpan w:val="4"/>
            <w:vAlign w:val="center"/>
          </w:tcPr>
          <w:p w14:paraId="1A8177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UN编号：1001</w:t>
            </w:r>
          </w:p>
        </w:tc>
      </w:tr>
      <w:tr w14:paraId="539B2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blHeader/>
          <w:jc w:val="center"/>
        </w:trPr>
        <w:tc>
          <w:tcPr>
            <w:tcW w:w="350" w:type="pct"/>
            <w:vMerge w:val="continue"/>
            <w:vAlign w:val="center"/>
          </w:tcPr>
          <w:p w14:paraId="65970DF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4649" w:type="pct"/>
            <w:gridSpan w:val="10"/>
            <w:vAlign w:val="center"/>
          </w:tcPr>
          <w:p w14:paraId="6EFF4F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危险性类别：易燃气体,类别1，化学不稳定性气体,类别A ，加压气体</w:t>
            </w:r>
          </w:p>
        </w:tc>
      </w:tr>
      <w:tr w14:paraId="27B28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restart"/>
            <w:vAlign w:val="center"/>
          </w:tcPr>
          <w:p w14:paraId="02D96F5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理化</w:t>
            </w:r>
          </w:p>
          <w:p w14:paraId="6A8FFB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性质</w:t>
            </w:r>
          </w:p>
        </w:tc>
        <w:tc>
          <w:tcPr>
            <w:tcW w:w="4649" w:type="pct"/>
            <w:gridSpan w:val="10"/>
            <w:vAlign w:val="center"/>
          </w:tcPr>
          <w:p w14:paraId="30C243D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外观与性状：无色无臭气体，工业品有使人不愉快的大蒜气味。</w:t>
            </w:r>
          </w:p>
        </w:tc>
      </w:tr>
      <w:tr w14:paraId="4927F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06D5F1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2457" w:type="pct"/>
            <w:gridSpan w:val="7"/>
            <w:vAlign w:val="center"/>
          </w:tcPr>
          <w:p w14:paraId="588FBC8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熔点（℃）：-81.8(119kPa)</w:t>
            </w:r>
          </w:p>
        </w:tc>
        <w:tc>
          <w:tcPr>
            <w:tcW w:w="2192" w:type="pct"/>
            <w:gridSpan w:val="3"/>
            <w:vAlign w:val="center"/>
          </w:tcPr>
          <w:p w14:paraId="1D405C7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沸点（℃）：-83.8</w:t>
            </w:r>
          </w:p>
        </w:tc>
      </w:tr>
      <w:tr w14:paraId="45263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1D4B10C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2457" w:type="pct"/>
            <w:gridSpan w:val="7"/>
            <w:vAlign w:val="center"/>
          </w:tcPr>
          <w:p w14:paraId="63CF34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临界温度（℃）：35.2</w:t>
            </w:r>
          </w:p>
        </w:tc>
        <w:tc>
          <w:tcPr>
            <w:tcW w:w="2192" w:type="pct"/>
            <w:gridSpan w:val="3"/>
            <w:vAlign w:val="center"/>
          </w:tcPr>
          <w:p w14:paraId="1F0CB27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临界压力（MPa）：6.14</w:t>
            </w:r>
          </w:p>
        </w:tc>
      </w:tr>
      <w:tr w14:paraId="11A1B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6575D5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2457" w:type="pct"/>
            <w:gridSpan w:val="7"/>
            <w:vAlign w:val="center"/>
          </w:tcPr>
          <w:p w14:paraId="7481037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饱和蒸气压（KPa）：4053(16.8℃)</w:t>
            </w:r>
          </w:p>
        </w:tc>
        <w:tc>
          <w:tcPr>
            <w:tcW w:w="2192" w:type="pct"/>
            <w:gridSpan w:val="3"/>
            <w:vAlign w:val="center"/>
          </w:tcPr>
          <w:p w14:paraId="146F6C7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燃烧热 （KJ／mol）：1298.4</w:t>
            </w:r>
          </w:p>
        </w:tc>
      </w:tr>
      <w:tr w14:paraId="5D21B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035C0A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4649" w:type="pct"/>
            <w:gridSpan w:val="10"/>
            <w:vAlign w:val="center"/>
          </w:tcPr>
          <w:p w14:paraId="7CFEFC4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相对密度（水＝1）：0.62 （空气＝1）：0.91</w:t>
            </w:r>
          </w:p>
        </w:tc>
      </w:tr>
      <w:tr w14:paraId="58253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72CD02D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4649" w:type="pct"/>
            <w:gridSpan w:val="10"/>
            <w:vAlign w:val="center"/>
          </w:tcPr>
          <w:p w14:paraId="3DF4170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溶解性： 微溶于水、乙醇，溶于丙酮、氯仿、苯。</w:t>
            </w:r>
          </w:p>
        </w:tc>
      </w:tr>
      <w:tr w14:paraId="7BD97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restart"/>
            <w:vAlign w:val="center"/>
          </w:tcPr>
          <w:p w14:paraId="2711F27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燃烧爆炸危险性</w:t>
            </w:r>
          </w:p>
        </w:tc>
        <w:tc>
          <w:tcPr>
            <w:tcW w:w="4649" w:type="pct"/>
            <w:gridSpan w:val="10"/>
            <w:vAlign w:val="center"/>
          </w:tcPr>
          <w:p w14:paraId="768F8B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燃烧性：本品易燃，具窒息性。</w:t>
            </w:r>
          </w:p>
        </w:tc>
      </w:tr>
      <w:tr w14:paraId="04EBB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5FDB16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2034" w:type="pct"/>
            <w:gridSpan w:val="5"/>
            <w:vAlign w:val="center"/>
          </w:tcPr>
          <w:p w14:paraId="72F503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引燃温度（℃）： 305</w:t>
            </w:r>
          </w:p>
        </w:tc>
        <w:tc>
          <w:tcPr>
            <w:tcW w:w="2614" w:type="pct"/>
            <w:gridSpan w:val="5"/>
            <w:vAlign w:val="center"/>
          </w:tcPr>
          <w:p w14:paraId="3C8CE9A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闪点（℃）:        无意义</w:t>
            </w:r>
          </w:p>
        </w:tc>
      </w:tr>
      <w:tr w14:paraId="3308A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60D00E3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2034" w:type="pct"/>
            <w:gridSpan w:val="5"/>
            <w:vAlign w:val="center"/>
          </w:tcPr>
          <w:p w14:paraId="28BE51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爆炸下限（%）：  2.1</w:t>
            </w:r>
          </w:p>
        </w:tc>
        <w:tc>
          <w:tcPr>
            <w:tcW w:w="2614" w:type="pct"/>
            <w:gridSpan w:val="5"/>
            <w:vAlign w:val="center"/>
          </w:tcPr>
          <w:p w14:paraId="284325A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爆炸上限（%）：   80.0</w:t>
            </w:r>
          </w:p>
        </w:tc>
      </w:tr>
      <w:tr w14:paraId="3628C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6D12B0D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2034" w:type="pct"/>
            <w:gridSpan w:val="5"/>
            <w:vAlign w:val="center"/>
          </w:tcPr>
          <w:p w14:paraId="0115FA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最小点火能（mj）：无意义</w:t>
            </w:r>
          </w:p>
        </w:tc>
        <w:tc>
          <w:tcPr>
            <w:tcW w:w="2614" w:type="pct"/>
            <w:gridSpan w:val="5"/>
            <w:vAlign w:val="center"/>
          </w:tcPr>
          <w:p w14:paraId="43267A2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最大爆炸压力(MPa)：无意义</w:t>
            </w:r>
          </w:p>
        </w:tc>
      </w:tr>
      <w:tr w14:paraId="08F97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55FA60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553" w:type="pct"/>
            <w:vAlign w:val="center"/>
          </w:tcPr>
          <w:p w14:paraId="01565E1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危险</w:t>
            </w:r>
          </w:p>
          <w:p w14:paraId="69641E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特性</w:t>
            </w:r>
          </w:p>
        </w:tc>
        <w:tc>
          <w:tcPr>
            <w:tcW w:w="4096" w:type="pct"/>
            <w:gridSpan w:val="9"/>
            <w:vAlign w:val="center"/>
          </w:tcPr>
          <w:p w14:paraId="40E76AD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极易燃烧爆炸。与空气混合能形成爆炸性混合物，遇明火、高热能引起燃烧爆炸。与氧化剂接触猛烈反应。与氟、氯等接触会发生剧烈的化学反应。能与铜、银、汞等的化合物生成爆炸性物质。</w:t>
            </w:r>
          </w:p>
        </w:tc>
      </w:tr>
      <w:tr w14:paraId="3FA81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661D1F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553" w:type="pct"/>
            <w:vAlign w:val="center"/>
          </w:tcPr>
          <w:p w14:paraId="064DDC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禁配物</w:t>
            </w:r>
          </w:p>
        </w:tc>
        <w:tc>
          <w:tcPr>
            <w:tcW w:w="4096" w:type="pct"/>
            <w:gridSpan w:val="9"/>
            <w:vAlign w:val="center"/>
          </w:tcPr>
          <w:p w14:paraId="74035A3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强氧化剂、强酸、卤素。</w:t>
            </w:r>
          </w:p>
        </w:tc>
      </w:tr>
      <w:tr w14:paraId="09DEA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2EE4BF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553" w:type="pct"/>
            <w:vAlign w:val="center"/>
          </w:tcPr>
          <w:p w14:paraId="18923A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消防</w:t>
            </w:r>
          </w:p>
          <w:p w14:paraId="3CC829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措施</w:t>
            </w:r>
          </w:p>
        </w:tc>
        <w:tc>
          <w:tcPr>
            <w:tcW w:w="4096" w:type="pct"/>
            <w:gridSpan w:val="9"/>
            <w:vAlign w:val="center"/>
          </w:tcPr>
          <w:p w14:paraId="65E47EB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切断气源。若不能切断气源，则不允许熄灭泄漏处的火焰。喷水冷却容器，可能的话将容器从火场移至空旷处。灭火剂：雾状水、泡沫、二氧化碳、干粉。</w:t>
            </w:r>
          </w:p>
        </w:tc>
      </w:tr>
      <w:tr w14:paraId="439F6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restart"/>
            <w:vAlign w:val="center"/>
          </w:tcPr>
          <w:p w14:paraId="3CFAB51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毒性</w:t>
            </w:r>
          </w:p>
        </w:tc>
        <w:tc>
          <w:tcPr>
            <w:tcW w:w="553" w:type="pct"/>
            <w:vAlign w:val="center"/>
          </w:tcPr>
          <w:p w14:paraId="790134C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急性</w:t>
            </w:r>
          </w:p>
          <w:p w14:paraId="3E537E5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毒性</w:t>
            </w:r>
          </w:p>
        </w:tc>
        <w:tc>
          <w:tcPr>
            <w:tcW w:w="4096" w:type="pct"/>
            <w:gridSpan w:val="9"/>
            <w:vAlign w:val="center"/>
          </w:tcPr>
          <w:p w14:paraId="24223F0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LD</w:t>
            </w:r>
            <w:r>
              <w:rPr>
                <w:rFonts w:hint="eastAsia" w:ascii="宋体" w:hAnsi="宋体" w:eastAsia="宋体" w:cs="宋体"/>
                <w:color w:val="000000" w:themeColor="text1"/>
                <w:sz w:val="21"/>
                <w:szCs w:val="21"/>
                <w:vertAlign w:val="subscript"/>
                <w14:textFill>
                  <w14:solidFill>
                    <w14:schemeClr w14:val="tx1"/>
                  </w14:solidFill>
                </w14:textFill>
              </w:rPr>
              <w:t>50</w:t>
            </w:r>
            <w:r>
              <w:rPr>
                <w:rFonts w:hint="eastAsia" w:ascii="宋体" w:hAnsi="宋体" w:eastAsia="宋体" w:cs="宋体"/>
                <w:color w:val="000000" w:themeColor="text1"/>
                <w:sz w:val="21"/>
                <w:szCs w:val="21"/>
                <w14:textFill>
                  <w14:solidFill>
                    <w14:schemeClr w14:val="tx1"/>
                  </w14:solidFill>
                </w14:textFill>
              </w:rPr>
              <w:t xml:space="preserve"> ：无资料</w:t>
            </w:r>
          </w:p>
          <w:p w14:paraId="50D983B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LC</w:t>
            </w:r>
            <w:r>
              <w:rPr>
                <w:rFonts w:hint="eastAsia" w:ascii="宋体" w:hAnsi="宋体" w:eastAsia="宋体" w:cs="宋体"/>
                <w:color w:val="000000" w:themeColor="text1"/>
                <w:sz w:val="21"/>
                <w:szCs w:val="21"/>
                <w:vertAlign w:val="subscript"/>
                <w14:textFill>
                  <w14:solidFill>
                    <w14:schemeClr w14:val="tx1"/>
                  </w14:solidFill>
                </w14:textFill>
              </w:rPr>
              <w:t>50</w:t>
            </w:r>
            <w:r>
              <w:rPr>
                <w:rFonts w:hint="eastAsia" w:ascii="宋体" w:hAnsi="宋体" w:eastAsia="宋体" w:cs="宋体"/>
                <w:color w:val="000000" w:themeColor="text1"/>
                <w:sz w:val="21"/>
                <w:szCs w:val="21"/>
                <w14:textFill>
                  <w14:solidFill>
                    <w14:schemeClr w14:val="tx1"/>
                  </w14:solidFill>
                </w14:textFill>
              </w:rPr>
              <w:t xml:space="preserve"> ：无资料</w:t>
            </w:r>
          </w:p>
        </w:tc>
      </w:tr>
      <w:tr w14:paraId="06025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54E4BAE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553" w:type="pct"/>
            <w:vAlign w:val="center"/>
          </w:tcPr>
          <w:p w14:paraId="65E2E2C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毒性</w:t>
            </w:r>
          </w:p>
        </w:tc>
        <w:tc>
          <w:tcPr>
            <w:tcW w:w="4096" w:type="pct"/>
            <w:gridSpan w:val="9"/>
            <w:vAlign w:val="center"/>
          </w:tcPr>
          <w:p w14:paraId="4C236C6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无资料</w:t>
            </w:r>
          </w:p>
        </w:tc>
      </w:tr>
      <w:tr w14:paraId="545BA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231F12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553" w:type="pct"/>
            <w:vAlign w:val="center"/>
          </w:tcPr>
          <w:p w14:paraId="7A26DC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最高容</w:t>
            </w:r>
          </w:p>
          <w:p w14:paraId="3FDA8E4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许浓度</w:t>
            </w:r>
          </w:p>
        </w:tc>
        <w:tc>
          <w:tcPr>
            <w:tcW w:w="4096" w:type="pct"/>
            <w:gridSpan w:val="9"/>
            <w:vAlign w:val="center"/>
          </w:tcPr>
          <w:p w14:paraId="3E904C0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中国MAC（mg/m</w:t>
            </w:r>
            <w:r>
              <w:rPr>
                <w:rFonts w:hint="eastAsia" w:ascii="宋体" w:hAnsi="宋体" w:eastAsia="宋体" w:cs="宋体"/>
                <w:color w:val="000000" w:themeColor="text1"/>
                <w:sz w:val="21"/>
                <w:szCs w:val="21"/>
                <w:vertAlign w:val="superscript"/>
                <w14:textFill>
                  <w14:solidFill>
                    <w14:schemeClr w14:val="tx1"/>
                  </w14:solidFill>
                </w14:textFill>
              </w:rPr>
              <w:t>3</w:t>
            </w:r>
            <w:r>
              <w:rPr>
                <w:rFonts w:hint="eastAsia" w:ascii="宋体" w:hAnsi="宋体" w:eastAsia="宋体" w:cs="宋体"/>
                <w:color w:val="000000" w:themeColor="text1"/>
                <w:sz w:val="21"/>
                <w:szCs w:val="21"/>
                <w14:textFill>
                  <w14:solidFill>
                    <w14:schemeClr w14:val="tx1"/>
                  </w14:solidFill>
                </w14:textFill>
              </w:rPr>
              <w:t>）：  未制定标准 前苏联MAC（mg/m</w:t>
            </w:r>
            <w:r>
              <w:rPr>
                <w:rFonts w:hint="eastAsia" w:ascii="宋体" w:hAnsi="宋体" w:eastAsia="宋体" w:cs="宋体"/>
                <w:color w:val="000000" w:themeColor="text1"/>
                <w:sz w:val="21"/>
                <w:szCs w:val="21"/>
                <w:vertAlign w:val="superscript"/>
                <w14:textFill>
                  <w14:solidFill>
                    <w14:schemeClr w14:val="tx1"/>
                  </w14:solidFill>
                </w14:textFill>
              </w:rPr>
              <w:t>3</w:t>
            </w:r>
            <w:r>
              <w:rPr>
                <w:rFonts w:hint="eastAsia" w:ascii="宋体" w:hAnsi="宋体" w:eastAsia="宋体" w:cs="宋体"/>
                <w:color w:val="000000" w:themeColor="text1"/>
                <w:sz w:val="21"/>
                <w:szCs w:val="21"/>
                <w14:textFill>
                  <w14:solidFill>
                    <w14:schemeClr w14:val="tx1"/>
                  </w14:solidFill>
                </w14:textFill>
              </w:rPr>
              <w:t>）：未制定标准</w:t>
            </w:r>
          </w:p>
          <w:p w14:paraId="40C1580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美国TVL-TWA        未制定标准 美国TVL-STEL       未制定标准</w:t>
            </w:r>
          </w:p>
        </w:tc>
      </w:tr>
      <w:tr w14:paraId="68C64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5ABC919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553" w:type="pct"/>
            <w:vAlign w:val="center"/>
          </w:tcPr>
          <w:p w14:paraId="0F2A54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健康</w:t>
            </w:r>
          </w:p>
          <w:p w14:paraId="6609DB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危害</w:t>
            </w:r>
          </w:p>
        </w:tc>
        <w:tc>
          <w:tcPr>
            <w:tcW w:w="4096" w:type="pct"/>
            <w:gridSpan w:val="9"/>
            <w:vAlign w:val="center"/>
          </w:tcPr>
          <w:p w14:paraId="232BF79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具有弱麻醉作用。高浓度吸入可引起单纯窒息。 急性中毒：暴露于20％浓度时，出现明显缺氧症状；吸入高浓度，初期兴奋、多语、哭笑不安，后出现眩晕、头痛、恶心、呕吐、共济失调、嗜睡；严重者昏迷、紫绀、瞳孔对光反应消失、脉弱而不齐。当混有磷化氢、硫化氢时，毒性增大，应予以注意。 </w:t>
            </w:r>
          </w:p>
        </w:tc>
      </w:tr>
      <w:tr w14:paraId="5F1C1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1A7377E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553" w:type="pct"/>
            <w:vAlign w:val="center"/>
          </w:tcPr>
          <w:p w14:paraId="5ACB48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急救</w:t>
            </w:r>
          </w:p>
          <w:p w14:paraId="43A0E5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措施</w:t>
            </w:r>
          </w:p>
        </w:tc>
        <w:tc>
          <w:tcPr>
            <w:tcW w:w="4096" w:type="pct"/>
            <w:gridSpan w:val="9"/>
            <w:vAlign w:val="center"/>
          </w:tcPr>
          <w:p w14:paraId="0EA15A9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迅速脱离现场至空气新鲜处。保持呼吸道通畅。如呼吸困难，给输氧。如呼吸停止，立即进行人工呼吸。就医。</w:t>
            </w:r>
          </w:p>
        </w:tc>
      </w:tr>
      <w:tr w14:paraId="23795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restart"/>
            <w:vAlign w:val="center"/>
          </w:tcPr>
          <w:p w14:paraId="5401D5B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贮运</w:t>
            </w:r>
          </w:p>
          <w:p w14:paraId="6571888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p w14:paraId="4F9081B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p w14:paraId="75CCD99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条件</w:t>
            </w:r>
          </w:p>
        </w:tc>
        <w:tc>
          <w:tcPr>
            <w:tcW w:w="927" w:type="pct"/>
            <w:gridSpan w:val="2"/>
            <w:vAlign w:val="center"/>
          </w:tcPr>
          <w:p w14:paraId="4EC451B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危规号：21024</w:t>
            </w:r>
          </w:p>
        </w:tc>
        <w:tc>
          <w:tcPr>
            <w:tcW w:w="905" w:type="pct"/>
            <w:gridSpan w:val="2"/>
            <w:vAlign w:val="center"/>
          </w:tcPr>
          <w:p w14:paraId="5C7FCDF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UN编号：1001</w:t>
            </w:r>
          </w:p>
        </w:tc>
        <w:tc>
          <w:tcPr>
            <w:tcW w:w="1473" w:type="pct"/>
            <w:gridSpan w:val="5"/>
            <w:vAlign w:val="center"/>
          </w:tcPr>
          <w:p w14:paraId="2E0E746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包装标志：</w:t>
            </w:r>
          </w:p>
        </w:tc>
        <w:tc>
          <w:tcPr>
            <w:tcW w:w="1343" w:type="pct"/>
            <w:vAlign w:val="center"/>
          </w:tcPr>
          <w:p w14:paraId="7B95235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包装类别：O52 </w:t>
            </w:r>
          </w:p>
        </w:tc>
      </w:tr>
      <w:tr w14:paraId="20736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00A732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4649" w:type="pct"/>
            <w:gridSpan w:val="10"/>
            <w:vAlign w:val="center"/>
          </w:tcPr>
          <w:p w14:paraId="29363A9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乙炔的包装法通常是溶解在溶剂及多孔物中, 装入钢瓶内。储存于阴凉、通风的库房。远离火种、热源。库温不宜超过30℃。应与氧化剂、酸类、卤素分开存放，切忌混储。采用防爆型照明、通风设施。禁止使用易产生火花的机械设备和工具。储区应备有泄漏应急处理设备。</w:t>
            </w:r>
          </w:p>
        </w:tc>
      </w:tr>
      <w:tr w14:paraId="1BD86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Align w:val="center"/>
          </w:tcPr>
          <w:p w14:paraId="058CB5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泄漏应急处理</w:t>
            </w:r>
          </w:p>
        </w:tc>
        <w:tc>
          <w:tcPr>
            <w:tcW w:w="4649" w:type="pct"/>
            <w:gridSpan w:val="10"/>
            <w:vAlign w:val="center"/>
          </w:tcPr>
          <w:p w14:paraId="0212872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迅速撤离泄漏污染区人员至上风处，并进行隔离，严格限制出入。切断火源。建议应急处理人员佩戴自给正压式呼吸器，穿防静电工作服。尽可能切断泄漏源。合理通风，加速扩散。喷雾状水稀释、溶解。构筑围堤或挖坑收容产生的大量废水。如有可能，将漏出气用排风机送至空旷地方或装设适当喷头烧掉。漏气容器要妥善处理，修复、检验后再用。</w:t>
            </w:r>
          </w:p>
        </w:tc>
      </w:tr>
    </w:tbl>
    <w:p w14:paraId="6A7C2597">
      <w:pPr>
        <w:keepNext w:val="0"/>
        <w:keepLines w:val="0"/>
        <w:pageBreakBefore w:val="0"/>
        <w:widowControl/>
        <w:numPr>
          <w:ilvl w:val="0"/>
          <w:numId w:val="0"/>
        </w:numPr>
        <w:suppressLineNumbers w:val="0"/>
        <w:kinsoku/>
        <w:wordWrap/>
        <w:overflowPunct/>
        <w:topLinePunct w:val="0"/>
        <w:autoSpaceDE/>
        <w:autoSpaceDN/>
        <w:bidi w:val="0"/>
        <w:adjustRightInd/>
        <w:snapToGrid/>
        <w:spacing w:line="420" w:lineRule="exact"/>
        <w:jc w:val="both"/>
        <w:textAlignment w:val="auto"/>
        <w:outlineLvl w:val="2"/>
        <w:rPr>
          <w:rFonts w:hint="default" w:ascii="宋体" w:hAnsi="宋体" w:eastAsia="宋体" w:cs="宋体"/>
          <w:b/>
          <w:bCs/>
          <w:sz w:val="30"/>
          <w:szCs w:val="30"/>
          <w:lang w:val="en-US" w:eastAsia="zh-CN"/>
        </w:rPr>
      </w:pPr>
      <w:bookmarkStart w:id="242" w:name="_Toc24126"/>
      <w:r>
        <w:rPr>
          <w:rFonts w:hint="eastAsia" w:ascii="宋体" w:hAnsi="宋体" w:eastAsia="宋体" w:cs="宋体"/>
          <w:b/>
          <w:bCs/>
          <w:sz w:val="30"/>
          <w:szCs w:val="30"/>
          <w:lang w:val="en-US" w:eastAsia="zh-CN"/>
        </w:rPr>
        <w:t>3.3.</w:t>
      </w:r>
      <w:r>
        <w:rPr>
          <w:rFonts w:hint="eastAsia" w:ascii="宋体" w:hAnsi="宋体" w:cs="宋体"/>
          <w:b/>
          <w:bCs/>
          <w:sz w:val="30"/>
          <w:szCs w:val="30"/>
          <w:lang w:val="en-US" w:eastAsia="zh-CN"/>
        </w:rPr>
        <w:t>3氧气</w:t>
      </w:r>
      <w:bookmarkEnd w:id="242"/>
    </w:p>
    <w:p w14:paraId="795A7E99">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color w:val="000000" w:themeColor="text1"/>
          <w:lang w:val="en-US"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本</w:t>
      </w:r>
      <w:r>
        <w:rPr>
          <w:rFonts w:hint="eastAsia" w:ascii="宋体" w:hAnsi="宋体" w:cs="宋体"/>
          <w:color w:val="000000" w:themeColor="text1"/>
          <w:sz w:val="28"/>
          <w:szCs w:val="28"/>
          <w:lang w:val="en-US" w:eastAsia="zh-CN"/>
          <w14:textFill>
            <w14:solidFill>
              <w14:schemeClr w14:val="tx1"/>
            </w14:solidFill>
          </w14:textFill>
        </w:rPr>
        <w:t>产</w:t>
      </w:r>
      <w:r>
        <w:rPr>
          <w:rFonts w:hint="eastAsia" w:ascii="宋体" w:hAnsi="宋体" w:eastAsia="宋体" w:cs="宋体"/>
          <w:color w:val="000000" w:themeColor="text1"/>
          <w:sz w:val="28"/>
          <w:szCs w:val="28"/>
          <w:lang w:eastAsia="zh-CN"/>
          <w14:textFill>
            <w14:solidFill>
              <w14:schemeClr w14:val="tx1"/>
            </w14:solidFill>
          </w14:textFill>
        </w:rPr>
        <w:t>品常压下浓度超过40%时可致氧中毒，高浓度时可致死亡。长期处于氧分压为60～100kPa（相当于吸入氧浓度40%左右）的条件下可发生眼损害，严重者可失明。液氧接触皮肤会引起严重的冻伤。与乙炔、氢、甲烷等易燃气体按一定比例混合能成为爆炸性混合物；能使油脂剧烈氧化引起燃烧爆炸；有助燃性。</w:t>
      </w:r>
    </w:p>
    <w:p w14:paraId="6498AD6D">
      <w:pPr>
        <w:pStyle w:val="10"/>
        <w:keepNext w:val="0"/>
        <w:keepLines w:val="0"/>
        <w:pageBreakBefore w:val="0"/>
        <w:kinsoku/>
        <w:wordWrap/>
        <w:overflowPunct/>
        <w:topLinePunct w:val="0"/>
        <w:autoSpaceDE/>
        <w:autoSpaceDN/>
        <w:bidi w:val="0"/>
        <w:adjustRightInd/>
        <w:snapToGrid/>
        <w:spacing w:line="420" w:lineRule="exact"/>
        <w:ind w:firstLine="482" w:firstLineChars="200"/>
        <w:jc w:val="center"/>
        <w:textAlignment w:val="auto"/>
        <w:rPr>
          <w:rFonts w:hint="eastAsia" w:ascii="宋体" w:hAnsi="宋体" w:eastAsia="宋体" w:cs="宋体"/>
          <w:b/>
          <w:bCs/>
          <w:color w:val="000000" w:themeColor="text1"/>
          <w:sz w:val="24"/>
          <w:szCs w:val="24"/>
          <w:lang w:eastAsia="zh-CN"/>
          <w14:textFill>
            <w14:solidFill>
              <w14:schemeClr w14:val="tx1"/>
            </w14:solidFill>
          </w14:textFill>
        </w:rPr>
      </w:pPr>
      <w:r>
        <w:rPr>
          <w:rFonts w:hint="eastAsia" w:ascii="宋体" w:hAnsi="宋体" w:eastAsia="宋体" w:cs="宋体"/>
          <w:b/>
          <w:bCs/>
          <w:color w:val="000000" w:themeColor="text1"/>
          <w:sz w:val="24"/>
          <w:szCs w:val="24"/>
          <w:lang w:eastAsia="zh-CN"/>
          <w14:textFill>
            <w14:solidFill>
              <w14:schemeClr w14:val="tx1"/>
            </w14:solidFill>
          </w14:textFill>
        </w:rPr>
        <w:t>表3.</w:t>
      </w:r>
      <w:r>
        <w:rPr>
          <w:rFonts w:hint="eastAsia" w:ascii="宋体" w:hAnsi="宋体" w:eastAsia="宋体" w:cs="宋体"/>
          <w:b/>
          <w:bCs/>
          <w:color w:val="000000" w:themeColor="text1"/>
          <w:sz w:val="24"/>
          <w:szCs w:val="24"/>
          <w:lang w:val="en-US" w:eastAsia="zh-CN"/>
          <w14:textFill>
            <w14:solidFill>
              <w14:schemeClr w14:val="tx1"/>
            </w14:solidFill>
          </w14:textFill>
        </w:rPr>
        <w:t>3</w:t>
      </w:r>
      <w:r>
        <w:rPr>
          <w:rFonts w:hint="eastAsia" w:ascii="宋体" w:hAnsi="宋体" w:eastAsia="宋体" w:cs="宋体"/>
          <w:b/>
          <w:bCs/>
          <w:color w:val="000000" w:themeColor="text1"/>
          <w:sz w:val="24"/>
          <w:szCs w:val="24"/>
          <w:lang w:eastAsia="zh-CN"/>
          <w14:textFill>
            <w14:solidFill>
              <w14:schemeClr w14:val="tx1"/>
            </w14:solidFill>
          </w14:textFill>
        </w:rPr>
        <w:t>-3氧气的理化性质及危险特性</w:t>
      </w:r>
    </w:p>
    <w:tbl>
      <w:tblPr>
        <w:tblStyle w:val="21"/>
        <w:tblW w:w="497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5"/>
        <w:gridCol w:w="745"/>
        <w:gridCol w:w="442"/>
        <w:gridCol w:w="290"/>
        <w:gridCol w:w="169"/>
        <w:gridCol w:w="457"/>
        <w:gridCol w:w="83"/>
        <w:gridCol w:w="25"/>
        <w:gridCol w:w="734"/>
        <w:gridCol w:w="216"/>
        <w:gridCol w:w="1061"/>
        <w:gridCol w:w="152"/>
        <w:gridCol w:w="761"/>
        <w:gridCol w:w="765"/>
        <w:gridCol w:w="142"/>
        <w:gridCol w:w="2278"/>
      </w:tblGrid>
      <w:tr w14:paraId="3CB70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blHeader/>
        </w:trPr>
        <w:tc>
          <w:tcPr>
            <w:tcW w:w="411" w:type="pct"/>
            <w:vMerge w:val="restart"/>
            <w:shd w:val="clear" w:color="auto" w:fill="auto"/>
            <w:vAlign w:val="center"/>
          </w:tcPr>
          <w:p w14:paraId="504215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bookmarkStart w:id="243" w:name="_Hlk160280791"/>
            <w:r>
              <w:rPr>
                <w:rFonts w:hint="eastAsia" w:ascii="宋体" w:hAnsi="宋体" w:eastAsia="宋体" w:cs="宋体"/>
                <w:color w:val="000000" w:themeColor="text1"/>
                <w:sz w:val="21"/>
                <w:szCs w:val="21"/>
                <w14:textFill>
                  <w14:solidFill>
                    <w14:schemeClr w14:val="tx1"/>
                  </w14:solidFill>
                </w14:textFill>
              </w:rPr>
              <w:t>标识</w:t>
            </w:r>
          </w:p>
        </w:tc>
        <w:tc>
          <w:tcPr>
            <w:tcW w:w="1206" w:type="pct"/>
            <w:gridSpan w:val="6"/>
            <w:shd w:val="clear" w:color="auto" w:fill="auto"/>
            <w:vAlign w:val="center"/>
          </w:tcPr>
          <w:p w14:paraId="124FEB1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中文名：氧气</w:t>
            </w:r>
          </w:p>
        </w:tc>
        <w:tc>
          <w:tcPr>
            <w:tcW w:w="1207" w:type="pct"/>
            <w:gridSpan w:val="5"/>
            <w:shd w:val="clear" w:color="auto" w:fill="auto"/>
            <w:vAlign w:val="center"/>
          </w:tcPr>
          <w:p w14:paraId="1EFA512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英文名：oxygen</w:t>
            </w:r>
          </w:p>
        </w:tc>
        <w:tc>
          <w:tcPr>
            <w:tcW w:w="920" w:type="pct"/>
            <w:gridSpan w:val="3"/>
            <w:shd w:val="clear" w:color="auto" w:fill="auto"/>
            <w:vAlign w:val="center"/>
          </w:tcPr>
          <w:p w14:paraId="04074A4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分子式：O</w:t>
            </w:r>
            <w:r>
              <w:rPr>
                <w:rFonts w:hint="eastAsia" w:ascii="宋体" w:hAnsi="宋体" w:eastAsia="宋体" w:cs="宋体"/>
                <w:color w:val="000000" w:themeColor="text1"/>
                <w:sz w:val="21"/>
                <w:szCs w:val="21"/>
                <w:vertAlign w:val="subscript"/>
                <w14:textFill>
                  <w14:solidFill>
                    <w14:schemeClr w14:val="tx1"/>
                  </w14:solidFill>
                </w14:textFill>
              </w:rPr>
              <w:t>2</w:t>
            </w:r>
          </w:p>
        </w:tc>
        <w:tc>
          <w:tcPr>
            <w:tcW w:w="1254" w:type="pct"/>
            <w:shd w:val="clear" w:color="auto" w:fill="auto"/>
            <w:vAlign w:val="center"/>
          </w:tcPr>
          <w:p w14:paraId="26B9B08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分子量：32</w:t>
            </w:r>
          </w:p>
        </w:tc>
      </w:tr>
      <w:tr w14:paraId="1855A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blHeader/>
        </w:trPr>
        <w:tc>
          <w:tcPr>
            <w:tcW w:w="411" w:type="pct"/>
            <w:vMerge w:val="continue"/>
            <w:vAlign w:val="center"/>
          </w:tcPr>
          <w:p w14:paraId="55E7F6F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2413" w:type="pct"/>
            <w:gridSpan w:val="11"/>
            <w:shd w:val="clear" w:color="auto" w:fill="auto"/>
            <w:vAlign w:val="center"/>
          </w:tcPr>
          <w:p w14:paraId="3EFB04C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危险货物编号：22001</w:t>
            </w:r>
          </w:p>
        </w:tc>
        <w:tc>
          <w:tcPr>
            <w:tcW w:w="920" w:type="pct"/>
            <w:gridSpan w:val="3"/>
            <w:shd w:val="clear" w:color="auto" w:fill="auto"/>
            <w:vAlign w:val="center"/>
          </w:tcPr>
          <w:p w14:paraId="3EF2267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UN编号：1072</w:t>
            </w:r>
          </w:p>
        </w:tc>
        <w:tc>
          <w:tcPr>
            <w:tcW w:w="1254" w:type="pct"/>
            <w:shd w:val="clear" w:color="auto" w:fill="auto"/>
            <w:vAlign w:val="center"/>
          </w:tcPr>
          <w:p w14:paraId="6ABAB8E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CAS号：7782-44-7</w:t>
            </w:r>
          </w:p>
        </w:tc>
      </w:tr>
      <w:tr w14:paraId="5626D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blHeader/>
        </w:trPr>
        <w:tc>
          <w:tcPr>
            <w:tcW w:w="411" w:type="pct"/>
            <w:vMerge w:val="continue"/>
            <w:vAlign w:val="center"/>
          </w:tcPr>
          <w:p w14:paraId="28C988A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4588" w:type="pct"/>
            <w:gridSpan w:val="15"/>
            <w:shd w:val="clear" w:color="auto" w:fill="auto"/>
            <w:vAlign w:val="center"/>
          </w:tcPr>
          <w:p w14:paraId="568C0E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危险性类别：氧化性气体,类别1 加压气体</w:t>
            </w:r>
          </w:p>
        </w:tc>
      </w:tr>
      <w:tr w14:paraId="1FB94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restart"/>
            <w:shd w:val="clear" w:color="auto" w:fill="auto"/>
            <w:vAlign w:val="center"/>
          </w:tcPr>
          <w:p w14:paraId="2B41C8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理化性质</w:t>
            </w:r>
          </w:p>
        </w:tc>
        <w:tc>
          <w:tcPr>
            <w:tcW w:w="815" w:type="pct"/>
            <w:gridSpan w:val="3"/>
            <w:shd w:val="clear" w:color="auto" w:fill="auto"/>
            <w:vAlign w:val="center"/>
          </w:tcPr>
          <w:p w14:paraId="15C59A6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外观与性状</w:t>
            </w:r>
          </w:p>
        </w:tc>
        <w:tc>
          <w:tcPr>
            <w:tcW w:w="1514" w:type="pct"/>
            <w:gridSpan w:val="7"/>
            <w:shd w:val="clear" w:color="auto" w:fill="auto"/>
            <w:vAlign w:val="center"/>
          </w:tcPr>
          <w:p w14:paraId="58C1B37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无色无臭气体</w:t>
            </w:r>
          </w:p>
        </w:tc>
        <w:tc>
          <w:tcPr>
            <w:tcW w:w="2259" w:type="pct"/>
            <w:gridSpan w:val="5"/>
            <w:shd w:val="clear" w:color="auto" w:fill="auto"/>
            <w:vAlign w:val="center"/>
          </w:tcPr>
          <w:p w14:paraId="1A0DD53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饱和蒸汽压（kPa）：506.62(-164℃)</w:t>
            </w:r>
          </w:p>
        </w:tc>
      </w:tr>
      <w:tr w14:paraId="66256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continue"/>
            <w:vAlign w:val="center"/>
          </w:tcPr>
          <w:p w14:paraId="21CB79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908" w:type="pct"/>
            <w:gridSpan w:val="4"/>
            <w:shd w:val="clear" w:color="auto" w:fill="auto"/>
            <w:vAlign w:val="center"/>
          </w:tcPr>
          <w:p w14:paraId="15F2A97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熔点：-218.8</w:t>
            </w:r>
          </w:p>
        </w:tc>
        <w:tc>
          <w:tcPr>
            <w:tcW w:w="3679" w:type="pct"/>
            <w:gridSpan w:val="11"/>
            <w:shd w:val="clear" w:color="auto" w:fill="auto"/>
            <w:vAlign w:val="center"/>
          </w:tcPr>
          <w:p w14:paraId="195B7F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相对密度（水=1）：1.14(-183℃)</w:t>
            </w:r>
          </w:p>
        </w:tc>
      </w:tr>
      <w:tr w14:paraId="7340A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continue"/>
            <w:vAlign w:val="center"/>
          </w:tcPr>
          <w:p w14:paraId="444AE07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1160" w:type="pct"/>
            <w:gridSpan w:val="5"/>
            <w:shd w:val="clear" w:color="auto" w:fill="auto"/>
            <w:vAlign w:val="center"/>
          </w:tcPr>
          <w:p w14:paraId="07928C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沸点：-183.1</w:t>
            </w:r>
          </w:p>
        </w:tc>
        <w:tc>
          <w:tcPr>
            <w:tcW w:w="1672" w:type="pct"/>
            <w:gridSpan w:val="7"/>
            <w:shd w:val="clear" w:color="auto" w:fill="auto"/>
            <w:vAlign w:val="center"/>
          </w:tcPr>
          <w:p w14:paraId="1C2A9E7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相对密度（空气=1）：1.43</w:t>
            </w:r>
          </w:p>
        </w:tc>
        <w:tc>
          <w:tcPr>
            <w:tcW w:w="1756" w:type="pct"/>
            <w:gridSpan w:val="3"/>
            <w:shd w:val="clear" w:color="auto" w:fill="auto"/>
            <w:vAlign w:val="center"/>
          </w:tcPr>
          <w:p w14:paraId="2A0DECC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临界压力（MPa）：5.08</w:t>
            </w:r>
          </w:p>
        </w:tc>
      </w:tr>
      <w:tr w14:paraId="4F787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continue"/>
            <w:vAlign w:val="center"/>
          </w:tcPr>
          <w:p w14:paraId="12E4D8D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1160" w:type="pct"/>
            <w:gridSpan w:val="5"/>
            <w:shd w:val="clear" w:color="auto" w:fill="auto"/>
            <w:vAlign w:val="center"/>
          </w:tcPr>
          <w:p w14:paraId="705F27F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临界温度：-118.4</w:t>
            </w:r>
          </w:p>
        </w:tc>
        <w:tc>
          <w:tcPr>
            <w:tcW w:w="3428" w:type="pct"/>
            <w:gridSpan w:val="10"/>
            <w:shd w:val="clear" w:color="auto" w:fill="auto"/>
            <w:vAlign w:val="center"/>
          </w:tcPr>
          <w:p w14:paraId="0D8C03B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溶解性：溶于水及乙醇</w:t>
            </w:r>
          </w:p>
        </w:tc>
      </w:tr>
      <w:tr w14:paraId="550D2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restart"/>
            <w:shd w:val="clear" w:color="auto" w:fill="auto"/>
            <w:vAlign w:val="center"/>
          </w:tcPr>
          <w:p w14:paraId="5C61F3D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毒性及健康危害</w:t>
            </w:r>
          </w:p>
        </w:tc>
        <w:tc>
          <w:tcPr>
            <w:tcW w:w="908" w:type="pct"/>
            <w:gridSpan w:val="4"/>
            <w:vMerge w:val="restart"/>
            <w:shd w:val="clear" w:color="auto" w:fill="auto"/>
            <w:vAlign w:val="center"/>
          </w:tcPr>
          <w:p w14:paraId="34D4B8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车间卫生标准</w:t>
            </w:r>
          </w:p>
        </w:tc>
        <w:tc>
          <w:tcPr>
            <w:tcW w:w="1504" w:type="pct"/>
            <w:gridSpan w:val="7"/>
            <w:shd w:val="clear" w:color="auto" w:fill="auto"/>
            <w:vAlign w:val="center"/>
          </w:tcPr>
          <w:p w14:paraId="5FB328D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中国MAC未制定标准</w:t>
            </w:r>
          </w:p>
        </w:tc>
        <w:tc>
          <w:tcPr>
            <w:tcW w:w="2175" w:type="pct"/>
            <w:gridSpan w:val="4"/>
            <w:shd w:val="clear" w:color="auto" w:fill="auto"/>
            <w:vAlign w:val="center"/>
          </w:tcPr>
          <w:p w14:paraId="773205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美国TLV-TWA（mg/m</w:t>
            </w:r>
            <w:r>
              <w:rPr>
                <w:rFonts w:hint="eastAsia" w:ascii="宋体" w:hAnsi="宋体" w:eastAsia="宋体" w:cs="宋体"/>
                <w:color w:val="000000" w:themeColor="text1"/>
                <w:sz w:val="21"/>
                <w:szCs w:val="21"/>
                <w:vertAlign w:val="superscript"/>
                <w14:textFill>
                  <w14:solidFill>
                    <w14:schemeClr w14:val="tx1"/>
                  </w14:solidFill>
                </w14:textFill>
              </w:rPr>
              <w:t>3</w:t>
            </w:r>
            <w:r>
              <w:rPr>
                <w:rFonts w:hint="eastAsia" w:ascii="宋体" w:hAnsi="宋体" w:eastAsia="宋体" w:cs="宋体"/>
                <w:color w:val="000000" w:themeColor="text1"/>
                <w:sz w:val="21"/>
                <w:szCs w:val="21"/>
                <w14:textFill>
                  <w14:solidFill>
                    <w14:schemeClr w14:val="tx1"/>
                  </w14:solidFill>
                </w14:textFill>
              </w:rPr>
              <w:t>）：未制定标准</w:t>
            </w:r>
          </w:p>
        </w:tc>
      </w:tr>
      <w:tr w14:paraId="34E30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continue"/>
            <w:vAlign w:val="center"/>
          </w:tcPr>
          <w:p w14:paraId="752A168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908" w:type="pct"/>
            <w:gridSpan w:val="4"/>
            <w:vMerge w:val="continue"/>
            <w:vAlign w:val="center"/>
          </w:tcPr>
          <w:p w14:paraId="6AAEBB9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1504" w:type="pct"/>
            <w:gridSpan w:val="7"/>
            <w:shd w:val="clear" w:color="auto" w:fill="auto"/>
            <w:vAlign w:val="center"/>
          </w:tcPr>
          <w:p w14:paraId="4C5F709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前苏联MAC未制定标准</w:t>
            </w:r>
          </w:p>
        </w:tc>
        <w:tc>
          <w:tcPr>
            <w:tcW w:w="2175" w:type="pct"/>
            <w:gridSpan w:val="4"/>
            <w:shd w:val="clear" w:color="auto" w:fill="auto"/>
            <w:vAlign w:val="center"/>
          </w:tcPr>
          <w:p w14:paraId="046F177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美国TLV-STEL（mg/m</w:t>
            </w:r>
            <w:r>
              <w:rPr>
                <w:rFonts w:hint="eastAsia" w:ascii="宋体" w:hAnsi="宋体" w:eastAsia="宋体" w:cs="宋体"/>
                <w:color w:val="000000" w:themeColor="text1"/>
                <w:sz w:val="21"/>
                <w:szCs w:val="21"/>
                <w:vertAlign w:val="superscript"/>
                <w14:textFill>
                  <w14:solidFill>
                    <w14:schemeClr w14:val="tx1"/>
                  </w14:solidFill>
                </w14:textFill>
              </w:rPr>
              <w:t>3</w:t>
            </w:r>
            <w:r>
              <w:rPr>
                <w:rFonts w:hint="eastAsia" w:ascii="宋体" w:hAnsi="宋体" w:eastAsia="宋体" w:cs="宋体"/>
                <w:color w:val="000000" w:themeColor="text1"/>
                <w:sz w:val="21"/>
                <w:szCs w:val="21"/>
                <w14:textFill>
                  <w14:solidFill>
                    <w14:schemeClr w14:val="tx1"/>
                  </w14:solidFill>
                </w14:textFill>
              </w:rPr>
              <w:t>）：未制定标准</w:t>
            </w:r>
          </w:p>
        </w:tc>
      </w:tr>
      <w:tr w14:paraId="6409A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1" w:type="pct"/>
            <w:vMerge w:val="continue"/>
            <w:vAlign w:val="center"/>
          </w:tcPr>
          <w:p w14:paraId="03C02E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1220" w:type="pct"/>
            <w:gridSpan w:val="7"/>
            <w:shd w:val="clear" w:color="auto" w:fill="auto"/>
            <w:vAlign w:val="center"/>
          </w:tcPr>
          <w:p w14:paraId="7ECD9C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侵入途径</w:t>
            </w:r>
          </w:p>
        </w:tc>
        <w:tc>
          <w:tcPr>
            <w:tcW w:w="3368" w:type="pct"/>
            <w:gridSpan w:val="8"/>
            <w:shd w:val="clear" w:color="auto" w:fill="auto"/>
            <w:vAlign w:val="center"/>
          </w:tcPr>
          <w:p w14:paraId="23F408F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吸 入</w:t>
            </w:r>
          </w:p>
        </w:tc>
      </w:tr>
      <w:tr w14:paraId="01B2E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continue"/>
            <w:vAlign w:val="center"/>
          </w:tcPr>
          <w:p w14:paraId="620BD68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411" w:type="pct"/>
            <w:shd w:val="clear" w:color="auto" w:fill="auto"/>
            <w:vAlign w:val="center"/>
          </w:tcPr>
          <w:p w14:paraId="7B32BC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健  康</w:t>
            </w:r>
          </w:p>
        </w:tc>
        <w:tc>
          <w:tcPr>
            <w:tcW w:w="4177" w:type="pct"/>
            <w:gridSpan w:val="14"/>
            <w:vMerge w:val="restart"/>
            <w:shd w:val="clear" w:color="auto" w:fill="auto"/>
            <w:vAlign w:val="center"/>
          </w:tcPr>
          <w:p w14:paraId="647F462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常压下，当氧的浓度超过40％时，有可能发生氧中毒。吸入40％～60％的氧时，出现胸骨后不适感、轻咳，进而胸闷、胸骨后烧灼感和呼吸困难，咳嗽加剧；严重时可发生肺水肿，甚至出现呼吸窘迫综合征。吸入氧浓度在80％以上时，出现面部肌肉抽动、面色苍白、眩晕、心动过速、虚脱，继而全身强直性抽搐、昏迷、呼吸衰竭而死亡。长期处于氧分压为60～100kPa(相当于吸入氧浓度40％左右)的条件下可发生眼损害，严重者可失明。</w:t>
            </w:r>
          </w:p>
        </w:tc>
      </w:tr>
      <w:tr w14:paraId="68803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continue"/>
            <w:vAlign w:val="center"/>
          </w:tcPr>
          <w:p w14:paraId="488D92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411" w:type="pct"/>
            <w:shd w:val="clear" w:color="auto" w:fill="auto"/>
            <w:vAlign w:val="center"/>
          </w:tcPr>
          <w:p w14:paraId="7A4277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危  害</w:t>
            </w:r>
          </w:p>
        </w:tc>
        <w:tc>
          <w:tcPr>
            <w:tcW w:w="4177" w:type="pct"/>
            <w:gridSpan w:val="14"/>
            <w:vMerge w:val="continue"/>
            <w:vAlign w:val="center"/>
          </w:tcPr>
          <w:p w14:paraId="62F83E7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r>
      <w:tr w14:paraId="3FA82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11" w:type="pct"/>
            <w:vMerge w:val="restart"/>
            <w:shd w:val="clear" w:color="auto" w:fill="auto"/>
            <w:vAlign w:val="center"/>
          </w:tcPr>
          <w:p w14:paraId="190F842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燃烧、爆炸危险性</w:t>
            </w:r>
          </w:p>
        </w:tc>
        <w:tc>
          <w:tcPr>
            <w:tcW w:w="1744" w:type="pct"/>
            <w:gridSpan w:val="9"/>
            <w:shd w:val="clear" w:color="auto" w:fill="auto"/>
            <w:vAlign w:val="center"/>
          </w:tcPr>
          <w:p w14:paraId="034DFBE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燃烧性：本品助燃</w:t>
            </w:r>
          </w:p>
        </w:tc>
        <w:tc>
          <w:tcPr>
            <w:tcW w:w="1511" w:type="pct"/>
            <w:gridSpan w:val="4"/>
            <w:shd w:val="clear" w:color="auto" w:fill="auto"/>
            <w:vAlign w:val="center"/>
          </w:tcPr>
          <w:p w14:paraId="61C4983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闪点：  无意义</w:t>
            </w:r>
          </w:p>
        </w:tc>
        <w:tc>
          <w:tcPr>
            <w:tcW w:w="1332" w:type="pct"/>
            <w:gridSpan w:val="2"/>
            <w:shd w:val="clear" w:color="auto" w:fill="auto"/>
            <w:vAlign w:val="center"/>
          </w:tcPr>
          <w:p w14:paraId="4E0F652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爆炸极限： </w:t>
            </w:r>
          </w:p>
        </w:tc>
      </w:tr>
      <w:tr w14:paraId="5D22C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continue"/>
            <w:vAlign w:val="center"/>
          </w:tcPr>
          <w:p w14:paraId="313A397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1744" w:type="pct"/>
            <w:gridSpan w:val="9"/>
            <w:shd w:val="clear" w:color="auto" w:fill="auto"/>
            <w:vAlign w:val="center"/>
          </w:tcPr>
          <w:p w14:paraId="21BC9C1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稳定性： 稳定</w:t>
            </w:r>
          </w:p>
        </w:tc>
        <w:tc>
          <w:tcPr>
            <w:tcW w:w="1511" w:type="pct"/>
            <w:gridSpan w:val="4"/>
            <w:shd w:val="clear" w:color="auto" w:fill="auto"/>
            <w:vAlign w:val="center"/>
          </w:tcPr>
          <w:p w14:paraId="5BBC3DB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引燃温度（℃）：260</w:t>
            </w:r>
          </w:p>
        </w:tc>
        <w:tc>
          <w:tcPr>
            <w:tcW w:w="1332" w:type="pct"/>
            <w:gridSpan w:val="2"/>
            <w:shd w:val="clear" w:color="auto" w:fill="auto"/>
            <w:vAlign w:val="center"/>
          </w:tcPr>
          <w:p w14:paraId="5F97C9B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聚合危险：不能出现</w:t>
            </w:r>
          </w:p>
        </w:tc>
      </w:tr>
      <w:tr w14:paraId="4829A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continue"/>
            <w:vAlign w:val="center"/>
          </w:tcPr>
          <w:p w14:paraId="1B035BE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655" w:type="pct"/>
            <w:gridSpan w:val="2"/>
            <w:shd w:val="clear" w:color="auto" w:fill="auto"/>
            <w:vAlign w:val="center"/>
          </w:tcPr>
          <w:p w14:paraId="6AE9181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禁忌物</w:t>
            </w:r>
          </w:p>
        </w:tc>
        <w:tc>
          <w:tcPr>
            <w:tcW w:w="3932" w:type="pct"/>
            <w:gridSpan w:val="13"/>
            <w:shd w:val="clear" w:color="auto" w:fill="auto"/>
            <w:vAlign w:val="center"/>
          </w:tcPr>
          <w:p w14:paraId="0B4DF12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易燃或可燃物、活性金属粉末、乙炔。</w:t>
            </w:r>
          </w:p>
        </w:tc>
      </w:tr>
      <w:tr w14:paraId="5CD10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continue"/>
            <w:vAlign w:val="center"/>
          </w:tcPr>
          <w:p w14:paraId="00A291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655" w:type="pct"/>
            <w:gridSpan w:val="2"/>
            <w:shd w:val="clear" w:color="auto" w:fill="auto"/>
            <w:vAlign w:val="center"/>
          </w:tcPr>
          <w:p w14:paraId="77BF36F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危险特性</w:t>
            </w:r>
          </w:p>
        </w:tc>
        <w:tc>
          <w:tcPr>
            <w:tcW w:w="3932" w:type="pct"/>
            <w:gridSpan w:val="13"/>
            <w:shd w:val="clear" w:color="auto" w:fill="auto"/>
            <w:vAlign w:val="center"/>
          </w:tcPr>
          <w:p w14:paraId="7DAC79F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是易燃物、可燃物燃烧爆炸的基本要素之一, 能氧化大多数活性物质。与易燃物（如乙炔、甲烷等）形成有爆炸性的混合物。</w:t>
            </w:r>
          </w:p>
        </w:tc>
      </w:tr>
      <w:tr w14:paraId="7FAFF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411" w:type="pct"/>
            <w:vMerge w:val="continue"/>
            <w:vAlign w:val="center"/>
          </w:tcPr>
          <w:p w14:paraId="5B5E58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655" w:type="pct"/>
            <w:gridSpan w:val="2"/>
            <w:shd w:val="clear" w:color="auto" w:fill="auto"/>
            <w:vAlign w:val="center"/>
          </w:tcPr>
          <w:p w14:paraId="4D87B43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灭火方法</w:t>
            </w:r>
          </w:p>
        </w:tc>
        <w:tc>
          <w:tcPr>
            <w:tcW w:w="3932" w:type="pct"/>
            <w:gridSpan w:val="13"/>
            <w:shd w:val="clear" w:color="auto" w:fill="auto"/>
            <w:vAlign w:val="center"/>
          </w:tcPr>
          <w:p w14:paraId="6A19ED4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用水保持容器冷却，以防受热爆炸，急剧助长火势。迅速切断气源，用水喷淋保护切断气源的人员，然后根据着火原因选择适当灭火剂</w:t>
            </w:r>
          </w:p>
        </w:tc>
      </w:tr>
      <w:tr w14:paraId="46707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411" w:type="pct"/>
            <w:vMerge w:val="restart"/>
            <w:shd w:val="clear" w:color="auto" w:fill="auto"/>
            <w:vAlign w:val="center"/>
          </w:tcPr>
          <w:p w14:paraId="1C5D0D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急救措施</w:t>
            </w:r>
          </w:p>
        </w:tc>
        <w:tc>
          <w:tcPr>
            <w:tcW w:w="4588" w:type="pct"/>
            <w:gridSpan w:val="15"/>
            <w:vMerge w:val="restart"/>
            <w:shd w:val="clear" w:color="auto" w:fill="auto"/>
            <w:vAlign w:val="center"/>
          </w:tcPr>
          <w:p w14:paraId="38D109C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迅速脱离现场至空气新鲜处。保持呼吸道通畅。如呼吸停止，立即进行人工呼吸。就医。</w:t>
            </w:r>
          </w:p>
        </w:tc>
      </w:tr>
      <w:tr w14:paraId="6792A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411" w:type="pct"/>
            <w:vMerge w:val="continue"/>
            <w:vAlign w:val="center"/>
          </w:tcPr>
          <w:p w14:paraId="63ABE8A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4588" w:type="pct"/>
            <w:gridSpan w:val="15"/>
            <w:vMerge w:val="continue"/>
            <w:vAlign w:val="center"/>
          </w:tcPr>
          <w:p w14:paraId="550979C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p>
        </w:tc>
      </w:tr>
      <w:tr w14:paraId="345B8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restart"/>
            <w:shd w:val="clear" w:color="auto" w:fill="auto"/>
            <w:vAlign w:val="center"/>
          </w:tcPr>
          <w:p w14:paraId="005A205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防护措施</w:t>
            </w:r>
          </w:p>
        </w:tc>
        <w:tc>
          <w:tcPr>
            <w:tcW w:w="1625" w:type="pct"/>
            <w:gridSpan w:val="8"/>
            <w:shd w:val="clear" w:color="auto" w:fill="auto"/>
            <w:vAlign w:val="center"/>
          </w:tcPr>
          <w:p w14:paraId="1C96822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工程控制</w:t>
            </w:r>
          </w:p>
        </w:tc>
        <w:tc>
          <w:tcPr>
            <w:tcW w:w="2963" w:type="pct"/>
            <w:gridSpan w:val="7"/>
            <w:shd w:val="clear" w:color="auto" w:fill="auto"/>
            <w:vAlign w:val="center"/>
          </w:tcPr>
          <w:p w14:paraId="550B7A3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密闭操作。提供良好的自然通风条件。</w:t>
            </w:r>
          </w:p>
        </w:tc>
      </w:tr>
      <w:tr w14:paraId="27ED7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continue"/>
            <w:vAlign w:val="center"/>
          </w:tcPr>
          <w:p w14:paraId="3745EBB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1625" w:type="pct"/>
            <w:gridSpan w:val="8"/>
            <w:shd w:val="clear" w:color="auto" w:fill="auto"/>
            <w:vAlign w:val="center"/>
          </w:tcPr>
          <w:p w14:paraId="106FEEA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呼吸系统防护</w:t>
            </w:r>
          </w:p>
        </w:tc>
        <w:tc>
          <w:tcPr>
            <w:tcW w:w="2963" w:type="pct"/>
            <w:gridSpan w:val="7"/>
            <w:shd w:val="clear" w:color="auto" w:fill="auto"/>
            <w:vAlign w:val="center"/>
          </w:tcPr>
          <w:p w14:paraId="312307C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一般不需特殊防护</w:t>
            </w:r>
          </w:p>
        </w:tc>
      </w:tr>
      <w:tr w14:paraId="6121D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continue"/>
            <w:vAlign w:val="center"/>
          </w:tcPr>
          <w:p w14:paraId="5B5AB7D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c>
          <w:tcPr>
            <w:tcW w:w="1625" w:type="pct"/>
            <w:gridSpan w:val="8"/>
            <w:shd w:val="clear" w:color="auto" w:fill="auto"/>
            <w:vAlign w:val="center"/>
          </w:tcPr>
          <w:p w14:paraId="424C370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其  它</w:t>
            </w:r>
          </w:p>
        </w:tc>
        <w:tc>
          <w:tcPr>
            <w:tcW w:w="2963" w:type="pct"/>
            <w:gridSpan w:val="7"/>
            <w:shd w:val="clear" w:color="auto" w:fill="auto"/>
            <w:vAlign w:val="center"/>
          </w:tcPr>
          <w:p w14:paraId="00E80C0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一般不需特殊防护</w:t>
            </w:r>
          </w:p>
        </w:tc>
      </w:tr>
      <w:tr w14:paraId="73C83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shd w:val="clear" w:color="auto" w:fill="auto"/>
            <w:vAlign w:val="center"/>
          </w:tcPr>
          <w:p w14:paraId="69E9389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泄漏应急处理</w:t>
            </w:r>
          </w:p>
        </w:tc>
        <w:tc>
          <w:tcPr>
            <w:tcW w:w="4588" w:type="pct"/>
            <w:gridSpan w:val="15"/>
            <w:shd w:val="clear" w:color="auto" w:fill="auto"/>
            <w:vAlign w:val="center"/>
          </w:tcPr>
          <w:p w14:paraId="332D815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迅速撤离泄漏污染区人员至上风处，并进行隔离，严格限制出入。切断火源。建议应急处理人员戴自给正压式呼吸器，穿一般作业工作服。避免与可燃物或易燃物接触。尽可能切断泄漏源。合理通风，加速扩散。漏气容器要妥善处理，修复、检验后再用。</w:t>
            </w:r>
          </w:p>
        </w:tc>
      </w:tr>
      <w:tr w14:paraId="2A7AF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shd w:val="clear" w:color="auto" w:fill="auto"/>
            <w:vAlign w:val="center"/>
          </w:tcPr>
          <w:p w14:paraId="638793C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储运注意事项</w:t>
            </w:r>
          </w:p>
        </w:tc>
        <w:tc>
          <w:tcPr>
            <w:tcW w:w="4588" w:type="pct"/>
            <w:gridSpan w:val="15"/>
            <w:shd w:val="clear" w:color="auto" w:fill="auto"/>
            <w:vAlign w:val="center"/>
          </w:tcPr>
          <w:p w14:paraId="633CB1B9">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氧气钢瓶不得沾污油脂。采用刚瓶运输时必须戴好钢瓶上的安全帽。钢瓶一般平放，并应将瓶口朝同一方向，不可交叉；高度不得超过车辆的防护栏板，并用三角木垫卡牢，防止滚动。严禁与易燃物或可燃物、活性金属粉末等混装混运。夏季应早晚运输，防止日光曝晒。铁路运输时要禁止溜放。</w:t>
            </w:r>
          </w:p>
        </w:tc>
      </w:tr>
      <w:tr w14:paraId="345DE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shd w:val="clear" w:color="auto" w:fill="auto"/>
            <w:vAlign w:val="center"/>
          </w:tcPr>
          <w:p w14:paraId="4AB4F2B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废弃处理</w:t>
            </w:r>
          </w:p>
        </w:tc>
        <w:tc>
          <w:tcPr>
            <w:tcW w:w="4588" w:type="pct"/>
            <w:gridSpan w:val="15"/>
            <w:shd w:val="clear" w:color="auto" w:fill="auto"/>
            <w:vAlign w:val="center"/>
          </w:tcPr>
          <w:p w14:paraId="1ACFE3A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处置前应参阅国家和地方有关法规。废气直接排入大气。</w:t>
            </w:r>
          </w:p>
        </w:tc>
      </w:tr>
      <w:bookmarkEnd w:id="243"/>
    </w:tbl>
    <w:p w14:paraId="2921E392">
      <w:pPr>
        <w:keepNext w:val="0"/>
        <w:keepLines w:val="0"/>
        <w:pageBreakBefore w:val="0"/>
        <w:widowControl/>
        <w:numPr>
          <w:ilvl w:val="0"/>
          <w:numId w:val="0"/>
        </w:numPr>
        <w:suppressLineNumbers w:val="0"/>
        <w:kinsoku/>
        <w:wordWrap/>
        <w:overflowPunct/>
        <w:topLinePunct w:val="0"/>
        <w:autoSpaceDE/>
        <w:autoSpaceDN/>
        <w:bidi w:val="0"/>
        <w:adjustRightInd/>
        <w:snapToGrid/>
        <w:spacing w:line="420" w:lineRule="exact"/>
        <w:jc w:val="both"/>
        <w:textAlignment w:val="auto"/>
        <w:outlineLvl w:val="2"/>
        <w:rPr>
          <w:rFonts w:hint="default" w:ascii="宋体" w:hAnsi="宋体" w:eastAsia="宋体" w:cs="宋体"/>
          <w:b/>
          <w:bCs/>
          <w:sz w:val="30"/>
          <w:szCs w:val="30"/>
          <w:lang w:val="en-US" w:eastAsia="zh-CN"/>
        </w:rPr>
      </w:pPr>
      <w:bookmarkStart w:id="244" w:name="_Toc24382"/>
      <w:r>
        <w:rPr>
          <w:rFonts w:hint="eastAsia" w:ascii="宋体" w:hAnsi="宋体" w:eastAsia="宋体" w:cs="宋体"/>
          <w:b/>
          <w:bCs/>
          <w:sz w:val="30"/>
          <w:szCs w:val="30"/>
          <w:lang w:val="en-US" w:eastAsia="zh-CN"/>
        </w:rPr>
        <w:t>3.3.4</w:t>
      </w:r>
      <w:r>
        <w:rPr>
          <w:rFonts w:hint="eastAsia" w:ascii="宋体" w:hAnsi="宋体" w:cs="宋体"/>
          <w:b/>
          <w:bCs/>
          <w:sz w:val="30"/>
          <w:szCs w:val="30"/>
          <w:lang w:val="en-US" w:eastAsia="zh-CN"/>
        </w:rPr>
        <w:t>六氟化硫危险特性及理化特性</w:t>
      </w:r>
      <w:bookmarkEnd w:id="244"/>
    </w:p>
    <w:p w14:paraId="3AC90BC7">
      <w:pPr>
        <w:keepNext w:val="0"/>
        <w:keepLines w:val="0"/>
        <w:pageBreakBefore w:val="0"/>
        <w:widowControl w:val="0"/>
        <w:kinsoku/>
        <w:wordWrap/>
        <w:overflowPunct/>
        <w:topLinePunct w:val="0"/>
        <w:autoSpaceDE/>
        <w:autoSpaceDN/>
        <w:bidi w:val="0"/>
        <w:adjustRightInd/>
        <w:snapToGrid/>
        <w:spacing w:line="420" w:lineRule="exact"/>
        <w:ind w:firstLine="482"/>
        <w:textAlignment w:val="auto"/>
        <w:rPr>
          <w:rFonts w:hint="eastAsia" w:ascii="宋体" w:hAnsi="宋体" w:eastAsia="宋体" w:cs="宋体"/>
          <w:b/>
          <w:bCs/>
          <w:sz w:val="32"/>
          <w:szCs w:val="32"/>
          <w:lang w:val="en-US" w:eastAsia="zh-CN"/>
        </w:rPr>
      </w:pPr>
      <w:r>
        <w:rPr>
          <w:rFonts w:hint="eastAsia" w:ascii="宋体" w:hAnsi="宋体" w:eastAsia="宋体" w:cs="宋体"/>
          <w:color w:val="auto"/>
          <w:sz w:val="28"/>
          <w:szCs w:val="28"/>
        </w:rPr>
        <w:t>该项目</w:t>
      </w:r>
      <w:r>
        <w:rPr>
          <w:rFonts w:hint="eastAsia" w:ascii="宋体" w:hAnsi="宋体" w:eastAsia="宋体" w:cs="宋体"/>
          <w:color w:val="auto"/>
          <w:sz w:val="28"/>
          <w:szCs w:val="28"/>
          <w:lang w:val="en-US" w:eastAsia="zh-CN"/>
        </w:rPr>
        <w:t>35kV六氟化硫</w:t>
      </w:r>
      <w:r>
        <w:rPr>
          <w:rFonts w:hint="eastAsia" w:ascii="宋体" w:hAnsi="宋体" w:eastAsia="宋体" w:cs="宋体"/>
          <w:color w:val="auto"/>
          <w:sz w:val="28"/>
          <w:szCs w:val="28"/>
          <w:vertAlign w:val="baseline"/>
          <w:lang w:val="en-US" w:eastAsia="zh-CN"/>
        </w:rPr>
        <w:t>气体开关柜、GIS</w:t>
      </w:r>
      <w:r>
        <w:rPr>
          <w:rFonts w:hint="eastAsia" w:ascii="宋体" w:hAnsi="宋体" w:eastAsia="宋体" w:cs="宋体"/>
          <w:color w:val="auto"/>
          <w:sz w:val="28"/>
          <w:szCs w:val="28"/>
          <w:lang w:val="en-US" w:eastAsia="zh-CN"/>
        </w:rPr>
        <w:t>均含有六氟化硫。</w:t>
      </w:r>
      <w:r>
        <w:rPr>
          <w:rFonts w:hint="eastAsia" w:ascii="宋体" w:hAnsi="宋体" w:eastAsia="宋体" w:cs="宋体"/>
          <w:color w:val="auto"/>
          <w:sz w:val="28"/>
          <w:szCs w:val="28"/>
        </w:rPr>
        <w:t>高压电器中的六氟化硫气体本身无毒、无味、不燃，并具有优良的冷却特性和良好的绝缘特性。六氟化硫的化学性质比较稳定，但在电弧作用下会发生分解，产生多种有毒、腐蚀性气体及固体分解产物，如SF</w:t>
      </w:r>
      <w:r>
        <w:rPr>
          <w:rFonts w:hint="eastAsia" w:ascii="宋体" w:hAnsi="宋体" w:eastAsia="宋体" w:cs="宋体"/>
          <w:color w:val="auto"/>
          <w:sz w:val="28"/>
          <w:szCs w:val="28"/>
          <w:vertAlign w:val="subscript"/>
        </w:rPr>
        <w:t>4</w:t>
      </w:r>
      <w:r>
        <w:rPr>
          <w:rFonts w:hint="eastAsia" w:ascii="宋体" w:hAnsi="宋体" w:eastAsia="宋体" w:cs="宋体"/>
          <w:color w:val="auto"/>
          <w:sz w:val="28"/>
          <w:szCs w:val="28"/>
        </w:rPr>
        <w:t>等，在密封不严或设备大修解体时，容易被释放出来，且SF4密度大，是空气的5倍，一旦泄漏易沉积不易扩散，SF4将对运行人员或检修人员健康产生危害，甚至引发窒息伤亡等事故。SF4属于危险化学品有毒气体类别，危险货物编号为23019。纯净的SF6气体无色、无味、不燃，但在电弧及局部放电、高温等因素影响下，SF6气体会进行分解，分解物遇水份后变成腐蚀性电解质，尤其是某些高毒性分解物，如SF4、S2F2、HF、SO2等，大量吸入人体会引起头晕和肺水肿，甚至昏迷及死亡。</w:t>
      </w:r>
    </w:p>
    <w:p w14:paraId="5591172D">
      <w:pPr>
        <w:keepNext w:val="0"/>
        <w:keepLines w:val="0"/>
        <w:pageBreakBefore w:val="0"/>
        <w:widowControl/>
        <w:numPr>
          <w:ilvl w:val="0"/>
          <w:numId w:val="0"/>
        </w:numPr>
        <w:suppressLineNumbers w:val="0"/>
        <w:kinsoku/>
        <w:wordWrap/>
        <w:overflowPunct/>
        <w:topLinePunct w:val="0"/>
        <w:autoSpaceDE/>
        <w:autoSpaceDN/>
        <w:bidi w:val="0"/>
        <w:adjustRightInd/>
        <w:snapToGrid/>
        <w:spacing w:line="420" w:lineRule="exact"/>
        <w:jc w:val="both"/>
        <w:textAlignment w:val="auto"/>
        <w:outlineLvl w:val="1"/>
        <w:rPr>
          <w:rFonts w:hint="eastAsia" w:ascii="宋体" w:hAnsi="宋体" w:eastAsia="宋体" w:cs="宋体"/>
          <w:b/>
          <w:bCs/>
          <w:sz w:val="30"/>
          <w:szCs w:val="30"/>
          <w:lang w:val="en-US" w:eastAsia="zh-CN"/>
        </w:rPr>
      </w:pPr>
      <w:bookmarkStart w:id="245" w:name="_Toc14713"/>
      <w:r>
        <w:rPr>
          <w:rFonts w:hint="eastAsia" w:ascii="宋体" w:hAnsi="宋体" w:eastAsia="宋体" w:cs="宋体"/>
          <w:b/>
          <w:bCs/>
          <w:sz w:val="32"/>
          <w:szCs w:val="32"/>
          <w:lang w:val="en-US" w:eastAsia="zh-CN"/>
        </w:rPr>
        <w:t>3.4危险有害因素产生的原因</w:t>
      </w:r>
      <w:bookmarkEnd w:id="245"/>
    </w:p>
    <w:p w14:paraId="07A3E1A3">
      <w:pPr>
        <w:pageBreakBefore w:val="0"/>
        <w:kinsoku/>
        <w:wordWrap/>
        <w:overflowPunct/>
        <w:topLinePunct w:val="0"/>
        <w:autoSpaceDE/>
        <w:autoSpaceDN/>
        <w:bidi w:val="0"/>
        <w:spacing w:line="420" w:lineRule="exact"/>
        <w:jc w:val="left"/>
        <w:textAlignment w:val="auto"/>
        <w:outlineLvl w:val="2"/>
        <w:rPr>
          <w:rFonts w:hint="eastAsia" w:ascii="宋体" w:hAnsi="宋体" w:eastAsia="宋体" w:cs="宋体"/>
          <w:b/>
          <w:bCs/>
          <w:kern w:val="2"/>
          <w:sz w:val="30"/>
          <w:szCs w:val="30"/>
          <w:lang w:val="en-US" w:eastAsia="zh-CN" w:bidi="ar-SA"/>
        </w:rPr>
      </w:pPr>
      <w:bookmarkStart w:id="246" w:name="_Toc9477"/>
      <w:r>
        <w:rPr>
          <w:rFonts w:hint="eastAsia" w:ascii="宋体" w:hAnsi="宋体" w:eastAsia="宋体" w:cs="宋体"/>
          <w:b/>
          <w:bCs/>
          <w:kern w:val="2"/>
          <w:sz w:val="30"/>
          <w:szCs w:val="30"/>
          <w:lang w:val="en-US" w:eastAsia="zh-CN" w:bidi="ar-SA"/>
        </w:rPr>
        <w:t>3.4.1运行失控与设备故障</w:t>
      </w:r>
      <w:bookmarkEnd w:id="246"/>
    </w:p>
    <w:p w14:paraId="17DF5117">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运行失控是指装置运行过程中偏离或超过了正常的工艺技术条件，出现危险状态。故障是指设备、元件等在运行过程中由于性能低下而不能实现预期功能的现象。在生产过程中运行失控故障的发生是可能的，故障具有随机性和突发性，故障的发生一般是随机事件。造成故障发生的原因很复杂（如设计、制造、安装、腐蚀、疲劳、检查和检修保养、人员失误、环境及其它系统的影响等），但故障发生的规律是可知的，通过定期检查、维修、保养可使故障在预定期间内得到控制、避免、减少。</w:t>
      </w:r>
    </w:p>
    <w:p w14:paraId="4EF9D223">
      <w:pPr>
        <w:pStyle w:val="4"/>
        <w:pageBreakBefore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247" w:name="_Toc201697584"/>
      <w:bookmarkStart w:id="248" w:name="_Toc31188"/>
      <w:bookmarkStart w:id="249" w:name="_Toc337672145"/>
      <w:bookmarkStart w:id="250" w:name="_Toc6874"/>
      <w:bookmarkStart w:id="251" w:name="_Toc290986928"/>
      <w:bookmarkStart w:id="252" w:name="_Toc32219"/>
      <w:bookmarkStart w:id="253" w:name="_Toc291600214"/>
      <w:r>
        <w:rPr>
          <w:rFonts w:hint="eastAsia" w:ascii="宋体" w:hAnsi="宋体" w:eastAsia="宋体" w:cs="宋体"/>
          <w:b/>
          <w:bCs w:val="0"/>
          <w:color w:val="000000" w:themeColor="text1"/>
          <w:sz w:val="30"/>
          <w:szCs w:val="30"/>
          <w:lang w:val="en-US" w:eastAsia="zh-CN"/>
          <w14:textFill>
            <w14:solidFill>
              <w14:schemeClr w14:val="tx1"/>
            </w14:solidFill>
          </w14:textFill>
        </w:rPr>
        <w:t>3.4.2</w:t>
      </w:r>
      <w:r>
        <w:rPr>
          <w:rFonts w:hint="eastAsia" w:ascii="宋体" w:hAnsi="宋体" w:eastAsia="宋体" w:cs="宋体"/>
          <w:b/>
          <w:bCs w:val="0"/>
          <w:color w:val="000000" w:themeColor="text1"/>
          <w:sz w:val="30"/>
          <w:szCs w:val="30"/>
          <w14:textFill>
            <w14:solidFill>
              <w14:schemeClr w14:val="tx1"/>
            </w14:solidFill>
          </w14:textFill>
        </w:rPr>
        <w:t>人员失误</w:t>
      </w:r>
      <w:bookmarkEnd w:id="247"/>
      <w:bookmarkEnd w:id="248"/>
      <w:bookmarkEnd w:id="249"/>
      <w:bookmarkEnd w:id="250"/>
      <w:bookmarkEnd w:id="251"/>
      <w:bookmarkEnd w:id="252"/>
      <w:bookmarkEnd w:id="253"/>
    </w:p>
    <w:p w14:paraId="18C3C2BD">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人员失误系指不安全行为（指职工在劳动过程中违反劳动纪律、操作程序、方法等具有危险性的做法）产生不良后果的行为。人员失误在生产过程中是不可避免的，它具有随机性和偶然性，往往是不可预测的意外行为。影响人员失误的因素很多，但发生人员失误的规律和失误率通过大量的观测、统计分析是可以预测的。</w:t>
      </w:r>
    </w:p>
    <w:p w14:paraId="5FE87D6F">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在生产过程中，人员自身或人为性质的危险和有害因素即为人的不安全行为，造成人的不安全行为的主要原因有：从业人员负荷超限、健康状况异常、从事禁忌作业、心理异常、辨识功能缺陷、指挥错误、操作错误、监护失误。</w:t>
      </w:r>
    </w:p>
    <w:p w14:paraId="28AC2EF7">
      <w:pPr>
        <w:keepNext w:val="0"/>
        <w:keepLines w:val="0"/>
        <w:pageBreakBefore w:val="0"/>
        <w:widowControl w:val="0"/>
        <w:numPr>
          <w:ilvl w:val="0"/>
          <w:numId w:val="17"/>
        </w:numPr>
        <w:kinsoku/>
        <w:wordWrap/>
        <w:overflowPunct/>
        <w:topLinePunct w:val="0"/>
        <w:autoSpaceDE/>
        <w:autoSpaceDN/>
        <w:bidi w:val="0"/>
        <w:spacing w:line="420" w:lineRule="exact"/>
        <w:ind w:left="0" w:leftChars="0"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人为的不安全行为(如放火、故意拉闸等)；</w:t>
      </w:r>
    </w:p>
    <w:p w14:paraId="552AB875">
      <w:pPr>
        <w:keepNext w:val="0"/>
        <w:keepLines w:val="0"/>
        <w:pageBreakBefore w:val="0"/>
        <w:widowControl w:val="0"/>
        <w:numPr>
          <w:ilvl w:val="0"/>
          <w:numId w:val="17"/>
        </w:numPr>
        <w:kinsoku/>
        <w:wordWrap/>
        <w:overflowPunct/>
        <w:topLinePunct w:val="0"/>
        <w:autoSpaceDE/>
        <w:autoSpaceDN/>
        <w:bidi w:val="0"/>
        <w:spacing w:line="420" w:lineRule="exact"/>
        <w:ind w:left="0" w:leftChars="0"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违反劳动纪律、操作程序和方法等，导致事故停机、脱网等；</w:t>
      </w:r>
    </w:p>
    <w:p w14:paraId="20291A0D">
      <w:pPr>
        <w:keepNext w:val="0"/>
        <w:keepLines w:val="0"/>
        <w:pageBreakBefore w:val="0"/>
        <w:widowControl w:val="0"/>
        <w:numPr>
          <w:ilvl w:val="0"/>
          <w:numId w:val="17"/>
        </w:numPr>
        <w:kinsoku/>
        <w:wordWrap/>
        <w:overflowPunct/>
        <w:topLinePunct w:val="0"/>
        <w:autoSpaceDE/>
        <w:autoSpaceDN/>
        <w:bidi w:val="0"/>
        <w:spacing w:line="420" w:lineRule="exact"/>
        <w:ind w:left="0" w:leftChars="0"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未经培训上岗，对操作规程不熟悉，导致误操作，引发事故；</w:t>
      </w:r>
    </w:p>
    <w:p w14:paraId="37263FA5">
      <w:pPr>
        <w:keepNext w:val="0"/>
        <w:keepLines w:val="0"/>
        <w:pageBreakBefore w:val="0"/>
        <w:widowControl w:val="0"/>
        <w:numPr>
          <w:ilvl w:val="0"/>
          <w:numId w:val="17"/>
        </w:numPr>
        <w:kinsoku/>
        <w:wordWrap/>
        <w:overflowPunct/>
        <w:topLinePunct w:val="0"/>
        <w:autoSpaceDE/>
        <w:autoSpaceDN/>
        <w:bidi w:val="0"/>
        <w:spacing w:line="420" w:lineRule="exact"/>
        <w:ind w:left="0" w:leftChars="0"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受以往操作事故的影响，造成心理过度紧张，导致操作失误，引发事故；</w:t>
      </w:r>
    </w:p>
    <w:p w14:paraId="62A6E038">
      <w:pPr>
        <w:keepNext w:val="0"/>
        <w:keepLines w:val="0"/>
        <w:pageBreakBefore w:val="0"/>
        <w:widowControl w:val="0"/>
        <w:numPr>
          <w:ilvl w:val="0"/>
          <w:numId w:val="17"/>
        </w:numPr>
        <w:kinsoku/>
        <w:wordWrap/>
        <w:overflowPunct/>
        <w:topLinePunct w:val="0"/>
        <w:autoSpaceDE/>
        <w:autoSpaceDN/>
        <w:bidi w:val="0"/>
        <w:spacing w:line="420" w:lineRule="exact"/>
        <w:ind w:left="0" w:leftChars="0"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因体力、视力等因素，精力不集中，导致操作失误，引发事故；</w:t>
      </w:r>
    </w:p>
    <w:p w14:paraId="3710A890">
      <w:pPr>
        <w:keepNext w:val="0"/>
        <w:keepLines w:val="0"/>
        <w:pageBreakBefore w:val="0"/>
        <w:widowControl w:val="0"/>
        <w:numPr>
          <w:ilvl w:val="0"/>
          <w:numId w:val="0"/>
        </w:numPr>
        <w:kinsoku/>
        <w:wordWrap/>
        <w:overflowPunct/>
        <w:topLinePunct w:val="0"/>
        <w:autoSpaceDE/>
        <w:autoSpaceDN/>
        <w:bidi w:val="0"/>
        <w:spacing w:line="420" w:lineRule="exact"/>
        <w:ind w:leftChars="200" w:firstLine="280" w:firstLineChars="100"/>
        <w:textAlignment w:val="auto"/>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6.违章指挥、指挥错误、指挥失误，导致事故发生。</w:t>
      </w:r>
    </w:p>
    <w:p w14:paraId="684C30AC">
      <w:pPr>
        <w:pStyle w:val="4"/>
        <w:pageBreakBefore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254" w:name="_Toc18578"/>
      <w:bookmarkStart w:id="255" w:name="_Toc20799"/>
      <w:bookmarkStart w:id="256" w:name="_Toc290986929"/>
      <w:bookmarkStart w:id="257" w:name="_Toc337672146"/>
      <w:bookmarkStart w:id="258" w:name="_Toc201697585"/>
      <w:bookmarkStart w:id="259" w:name="_Toc16989"/>
      <w:bookmarkStart w:id="260" w:name="_Toc291600215"/>
      <w:r>
        <w:rPr>
          <w:rFonts w:hint="eastAsia" w:ascii="宋体" w:hAnsi="宋体" w:eastAsia="宋体" w:cs="宋体"/>
          <w:b/>
          <w:bCs w:val="0"/>
          <w:color w:val="000000" w:themeColor="text1"/>
          <w:sz w:val="30"/>
          <w:szCs w:val="30"/>
          <w:lang w:val="en-US" w:eastAsia="zh-CN"/>
          <w14:textFill>
            <w14:solidFill>
              <w14:schemeClr w14:val="tx1"/>
            </w14:solidFill>
          </w14:textFill>
        </w:rPr>
        <w:t>3.4.3</w:t>
      </w:r>
      <w:r>
        <w:rPr>
          <w:rFonts w:hint="eastAsia" w:ascii="宋体" w:hAnsi="宋体" w:eastAsia="宋体" w:cs="宋体"/>
          <w:b/>
          <w:bCs w:val="0"/>
          <w:color w:val="000000" w:themeColor="text1"/>
          <w:sz w:val="30"/>
          <w:szCs w:val="30"/>
          <w14:textFill>
            <w14:solidFill>
              <w14:schemeClr w14:val="tx1"/>
            </w14:solidFill>
          </w14:textFill>
        </w:rPr>
        <w:t>管理缺陷</w:t>
      </w:r>
      <w:bookmarkEnd w:id="254"/>
      <w:bookmarkEnd w:id="255"/>
      <w:bookmarkEnd w:id="256"/>
      <w:bookmarkEnd w:id="257"/>
      <w:bookmarkEnd w:id="258"/>
      <w:bookmarkEnd w:id="259"/>
      <w:bookmarkEnd w:id="260"/>
    </w:p>
    <w:p w14:paraId="422D7292">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安全管理是为保证及时、有效地实现既定的安全目标，是在预测、分析的基础上进行的计划、组织、协调、检查等工作，是预防故障和人员失误发生的有效手段，因此，管理缺陷是影响运行失控发生的重要因素。</w:t>
      </w:r>
    </w:p>
    <w:p w14:paraId="067E79F0">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lang w:val="en-US" w:eastAsia="zh-CN"/>
          <w14:textFill>
            <w14:solidFill>
              <w14:schemeClr w14:val="tx1"/>
            </w14:solidFill>
          </w14:textFill>
        </w:rPr>
        <w:t>管理和管理责任缺失所致的危险和有害因素为管理因素，管理因素存在的危险有害因素分析如下：</w:t>
      </w:r>
    </w:p>
    <w:p w14:paraId="5003F6A2">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cs="Times New Roman"/>
          <w:color w:val="000000" w:themeColor="text1"/>
          <w:sz w:val="28"/>
          <w:szCs w:val="28"/>
          <w:lang w:val="en-US" w:eastAsia="zh-CN"/>
          <w14:textFill>
            <w14:solidFill>
              <w14:schemeClr w14:val="tx1"/>
            </w14:solidFill>
          </w14:textFill>
        </w:rPr>
        <w:t>安全</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组织机构不健全，无组织、无管理，导致无责任主体，在生产过程中无部门、无专职人员负责安全生产管理工作。</w:t>
      </w:r>
    </w:p>
    <w:p w14:paraId="6F2AD19F">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安全责任制未落实，导致责任部门、责任人员不明确自己的责任，不会对责任负责，责任制度未起到作用。</w:t>
      </w:r>
    </w:p>
    <w:p w14:paraId="7B6E4969">
      <w:pPr>
        <w:keepNext w:val="0"/>
        <w:keepLines w:val="0"/>
        <w:pageBreakBefore w:val="0"/>
        <w:widowControl w:val="0"/>
        <w:kinsoku/>
        <w:wordWrap/>
        <w:overflowPunct/>
        <w:topLinePunct w:val="0"/>
        <w:autoSpaceDE/>
        <w:autoSpaceDN/>
        <w:bidi w:val="0"/>
        <w:spacing w:line="420" w:lineRule="exact"/>
        <w:textAlignment w:val="auto"/>
        <w:rPr>
          <w:rFonts w:hint="eastAsia"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安全管理规章制度不完善，（建设项目“三同时”制度未落实、操作规程不规范、事故应急预案及响应缺陷、培训制度不完善等），导致关键岗位、关键人员无章可行。</w:t>
      </w:r>
    </w:p>
    <w:p w14:paraId="04D130F8">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lang w:val="en-US" w:eastAsia="zh-CN"/>
          <w14:textFill>
            <w14:solidFill>
              <w14:schemeClr w14:val="tx1"/>
            </w14:solidFill>
          </w14:textFill>
        </w:rPr>
        <w:t>操作规程不规范，没有实际指导意义，严重的可能导致操作失误，导致事故发生。</w:t>
      </w:r>
    </w:p>
    <w:p w14:paraId="64D5B5CF">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lang w:val="en-US" w:eastAsia="zh-CN"/>
          <w14:textFill>
            <w14:solidFill>
              <w14:schemeClr w14:val="tx1"/>
            </w14:solidFill>
          </w14:textFill>
        </w:rPr>
        <w:t>事故应急预案及响应缺陷，在发生事故时，不知所措，导致事故扩大、增加财产损失、人员伤亡。</w:t>
      </w:r>
    </w:p>
    <w:p w14:paraId="71779662">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培训制度不完善、未按要求进行培训，导致作业人员不能完全掌握场区管理制度、主要设备操作规程、安全责任制，增加了事故率。</w:t>
      </w:r>
    </w:p>
    <w:p w14:paraId="6F15536A">
      <w:pPr>
        <w:keepNext w:val="0"/>
        <w:keepLines w:val="0"/>
        <w:pageBreakBefore w:val="0"/>
        <w:widowControl w:val="0"/>
        <w:kinsoku/>
        <w:wordWrap/>
        <w:overflowPunct/>
        <w:topLinePunct w:val="0"/>
        <w:autoSpaceDE/>
        <w:autoSpaceDN/>
        <w:bidi w:val="0"/>
        <w:spacing w:line="420" w:lineRule="exact"/>
        <w:textAlignment w:val="auto"/>
        <w:rPr>
          <w:rFonts w:hint="eastAsia"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lang w:val="en-US" w:eastAsia="zh-CN"/>
          <w14:textFill>
            <w14:solidFill>
              <w14:schemeClr w14:val="tx1"/>
            </w14:solidFill>
          </w14:textFill>
        </w:rPr>
        <w:t>职业安全卫生投入不足、职业健康管理不完善，导致各生产场所安全防护装置缺失、安全标志缺失、安全工器具未能定期校验，在生产过程和检修过程中存在危险。</w:t>
      </w:r>
    </w:p>
    <w:p w14:paraId="06D9F4DE">
      <w:pPr>
        <w:pStyle w:val="4"/>
        <w:pageBreakBefore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261" w:name="_Toc290969336"/>
      <w:bookmarkStart w:id="262" w:name="_Toc28571"/>
      <w:bookmarkStart w:id="263" w:name="_Toc337672147"/>
      <w:bookmarkStart w:id="264" w:name="_Toc6020"/>
      <w:bookmarkStart w:id="265" w:name="_Toc291600216"/>
      <w:bookmarkStart w:id="266" w:name="_Toc25469"/>
      <w:r>
        <w:rPr>
          <w:rFonts w:hint="eastAsia" w:ascii="宋体" w:hAnsi="宋体" w:eastAsia="宋体" w:cs="宋体"/>
          <w:b/>
          <w:bCs w:val="0"/>
          <w:color w:val="000000" w:themeColor="text1"/>
          <w:sz w:val="30"/>
          <w:szCs w:val="30"/>
          <w:lang w:val="en-US" w:eastAsia="zh-CN"/>
          <w14:textFill>
            <w14:solidFill>
              <w14:schemeClr w14:val="tx1"/>
            </w14:solidFill>
          </w14:textFill>
        </w:rPr>
        <w:t>3.4.4</w:t>
      </w:r>
      <w:r>
        <w:rPr>
          <w:rFonts w:hint="eastAsia" w:ascii="宋体" w:hAnsi="宋体" w:eastAsia="宋体" w:cs="宋体"/>
          <w:b/>
          <w:bCs w:val="0"/>
          <w:color w:val="000000" w:themeColor="text1"/>
          <w:sz w:val="30"/>
          <w:szCs w:val="30"/>
          <w14:textFill>
            <w14:solidFill>
              <w14:schemeClr w14:val="tx1"/>
            </w14:solidFill>
          </w14:textFill>
        </w:rPr>
        <w:t>环境原因</w:t>
      </w:r>
      <w:bookmarkEnd w:id="261"/>
      <w:bookmarkEnd w:id="262"/>
      <w:bookmarkEnd w:id="263"/>
      <w:bookmarkEnd w:id="264"/>
      <w:bookmarkEnd w:id="265"/>
      <w:bookmarkEnd w:id="266"/>
    </w:p>
    <w:p w14:paraId="6DE67CCA">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不安全的环境是引起事故的物质基础。环境包括室内（中控室）、室外等作业场所。是事故的直接原因，通常指的是：</w:t>
      </w:r>
    </w:p>
    <w:p w14:paraId="77CFD682">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1．室内作业场所环境不良，即室内地面滑，室内作业场所狭窄，室内作业场所杂乱，室内地面不平，室内梯架缺陷，安全通道缺陷，房屋安全出口缺陷，采光照明不良，作业场所空气不良，室内温度、湿度、气压不适等方面的缺陷。</w:t>
      </w:r>
    </w:p>
    <w:p w14:paraId="06A01E40">
      <w:pPr>
        <w:pageBreakBefore w:val="0"/>
        <w:kinsoku/>
        <w:wordWrap/>
        <w:overflowPunct/>
        <w:topLinePunct w:val="0"/>
        <w:autoSpaceDE/>
        <w:autoSpaceDN/>
        <w:bidi w:val="0"/>
        <w:spacing w:line="420" w:lineRule="exact"/>
        <w:ind w:firstLine="560" w:firstLineChars="200"/>
        <w:jc w:val="lef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室外作业场地环境不良，即恶劣气候与环境（包括大风、极端温度、雷电、冰雹、冰冻、暴雨雪、地震等），作业场地和交通设施湿滑，作业场地不平，脚手架、阶梯和活动梯架缺陷，门和围栏缺陷，作业场地安全通道缺陷，作业场地安全出口缺陷等方面的缺陷。</w:t>
      </w:r>
    </w:p>
    <w:p w14:paraId="5F22A6A6">
      <w:pPr>
        <w:pStyle w:val="3"/>
        <w:pageBreakBefore w:val="0"/>
        <w:widowControl w:val="0"/>
        <w:tabs>
          <w:tab w:val="left" w:pos="0"/>
        </w:tabs>
        <w:kinsoku/>
        <w:wordWrap/>
        <w:overflowPunct/>
        <w:topLinePunct w:val="0"/>
        <w:autoSpaceDE/>
        <w:autoSpaceDN/>
        <w:bidi w:val="0"/>
        <w:spacing w:line="420" w:lineRule="exact"/>
        <w:textAlignment w:val="auto"/>
        <w:rPr>
          <w:color w:val="000000" w:themeColor="text1"/>
          <w14:textFill>
            <w14:solidFill>
              <w14:schemeClr w14:val="tx1"/>
            </w14:solidFill>
          </w14:textFill>
        </w:rPr>
      </w:pPr>
      <w:bookmarkStart w:id="267" w:name="_Toc14628"/>
      <w:bookmarkStart w:id="268" w:name="_Toc16150"/>
      <w:bookmarkStart w:id="269" w:name="_Toc11271"/>
      <w:bookmarkStart w:id="270" w:name="_Toc24857"/>
      <w:r>
        <w:rPr>
          <w:rFonts w:hint="eastAsia" w:ascii="宋体" w:hAnsi="宋体" w:eastAsia="宋体" w:cs="宋体"/>
          <w:color w:val="000000" w:themeColor="text1"/>
          <w:sz w:val="32"/>
          <w:szCs w:val="32"/>
          <w:lang w:val="en-US" w:eastAsia="zh-CN"/>
          <w14:textFill>
            <w14:solidFill>
              <w14:schemeClr w14:val="tx1"/>
            </w14:solidFill>
          </w14:textFill>
        </w:rPr>
        <w:t>3.5</w:t>
      </w:r>
      <w:r>
        <w:rPr>
          <w:rFonts w:hint="eastAsia" w:ascii="宋体" w:hAnsi="宋体" w:eastAsia="宋体" w:cs="宋体"/>
          <w:color w:val="000000" w:themeColor="text1"/>
          <w:sz w:val="32"/>
          <w:szCs w:val="32"/>
          <w14:textFill>
            <w14:solidFill>
              <w14:schemeClr w14:val="tx1"/>
            </w14:solidFill>
          </w14:textFill>
        </w:rPr>
        <w:t>总平面布置及周边环境危险有害因素辨识分析</w:t>
      </w:r>
      <w:bookmarkEnd w:id="267"/>
      <w:bookmarkEnd w:id="268"/>
      <w:bookmarkEnd w:id="269"/>
      <w:bookmarkEnd w:id="270"/>
    </w:p>
    <w:p w14:paraId="17B42A96">
      <w:pPr>
        <w:pStyle w:val="4"/>
        <w:pageBreakBefore w:val="0"/>
        <w:widowControl w:val="0"/>
        <w:kinsoku/>
        <w:wordWrap/>
        <w:overflowPunct/>
        <w:topLinePunct w:val="0"/>
        <w:autoSpaceDE/>
        <w:autoSpaceDN/>
        <w:bidi w:val="0"/>
        <w:spacing w:line="420" w:lineRule="exact"/>
        <w:textAlignment w:val="auto"/>
        <w:rPr>
          <w:rFonts w:hint="eastAsia"/>
          <w:color w:val="000000" w:themeColor="text1"/>
          <w14:textFill>
            <w14:solidFill>
              <w14:schemeClr w14:val="tx1"/>
            </w14:solidFill>
          </w14:textFill>
        </w:rPr>
      </w:pPr>
      <w:bookmarkStart w:id="271" w:name="_Toc3451"/>
      <w:bookmarkStart w:id="272" w:name="_Toc32383"/>
      <w:r>
        <w:rPr>
          <w:rFonts w:hint="eastAsia" w:ascii="宋体" w:hAnsi="宋体" w:eastAsia="宋体" w:cs="宋体"/>
          <w:b/>
          <w:bCs w:val="0"/>
          <w:color w:val="000000" w:themeColor="text1"/>
          <w:sz w:val="32"/>
          <w:szCs w:val="32"/>
          <w:lang w:val="en-US" w:eastAsia="zh-CN"/>
          <w14:textFill>
            <w14:solidFill>
              <w14:schemeClr w14:val="tx1"/>
            </w14:solidFill>
          </w14:textFill>
        </w:rPr>
        <w:t>3.5.1</w:t>
      </w:r>
      <w:r>
        <w:rPr>
          <w:rFonts w:hint="eastAsia" w:ascii="宋体" w:hAnsi="宋体" w:eastAsia="宋体" w:cs="宋体"/>
          <w:b/>
          <w:bCs w:val="0"/>
          <w:color w:val="000000" w:themeColor="text1"/>
          <w:sz w:val="32"/>
          <w:szCs w:val="32"/>
          <w14:textFill>
            <w14:solidFill>
              <w14:schemeClr w14:val="tx1"/>
            </w14:solidFill>
          </w14:textFill>
        </w:rPr>
        <w:t>周边环境对建设项目的影响</w:t>
      </w:r>
      <w:bookmarkEnd w:id="271"/>
      <w:bookmarkEnd w:id="272"/>
    </w:p>
    <w:p w14:paraId="77B77B8D">
      <w:pPr>
        <w:keepNext w:val="0"/>
        <w:keepLines w:val="0"/>
        <w:pageBreakBefore w:val="0"/>
        <w:widowControl w:val="0"/>
        <w:kinsoku/>
        <w:wordWrap/>
        <w:overflowPunct/>
        <w:topLinePunct w:val="0"/>
        <w:autoSpaceDE/>
        <w:autoSpaceDN/>
        <w:bidi w:val="0"/>
        <w:adjustRightInd/>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光伏组件区内无居民区，周边社会环境和外部事件等社会环境条件对 本建设项目可能造成的危险、有害因素及危险如下：</w:t>
      </w:r>
    </w:p>
    <w:p w14:paraId="477B2892">
      <w:pPr>
        <w:keepNext w:val="0"/>
        <w:keepLines w:val="0"/>
        <w:pageBreakBefore w:val="0"/>
        <w:widowControl w:val="0"/>
        <w:kinsoku/>
        <w:wordWrap/>
        <w:overflowPunct/>
        <w:topLinePunct w:val="0"/>
        <w:autoSpaceDE/>
        <w:autoSpaceDN/>
        <w:bidi w:val="0"/>
        <w:adjustRightInd/>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(1)周边环境火灾对项目运行安全造成威胁。</w:t>
      </w:r>
    </w:p>
    <w:p w14:paraId="7DCDA8C3">
      <w:pPr>
        <w:keepNext w:val="0"/>
        <w:keepLines w:val="0"/>
        <w:pageBreakBefore w:val="0"/>
        <w:widowControl w:val="0"/>
        <w:kinsoku/>
        <w:wordWrap/>
        <w:overflowPunct/>
        <w:topLinePunct w:val="0"/>
        <w:autoSpaceDE/>
        <w:autoSpaceDN/>
        <w:bidi w:val="0"/>
        <w:adjustRightInd/>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(2)周边山林内的动物(蛇、昆、虫、鸟等)可对项目内的输电线路啃咬破坏，从而导致生产故障，甚至火灾。</w:t>
      </w:r>
    </w:p>
    <w:p w14:paraId="08DF8980">
      <w:pPr>
        <w:keepNext w:val="0"/>
        <w:keepLines w:val="0"/>
        <w:pageBreakBefore w:val="0"/>
        <w:widowControl w:val="0"/>
        <w:kinsoku/>
        <w:wordWrap/>
        <w:overflowPunct/>
        <w:topLinePunct w:val="0"/>
        <w:autoSpaceDE/>
        <w:autoSpaceDN/>
        <w:bidi w:val="0"/>
        <w:adjustRightInd/>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(3)周边山林、荒地、田地内杂草丛生，若发生火灾，可能引燃光伏组件，影响电站的安全运行。</w:t>
      </w:r>
    </w:p>
    <w:p w14:paraId="17BCC3C7">
      <w:pPr>
        <w:pStyle w:val="10"/>
        <w:keepNext w:val="0"/>
        <w:keepLines w:val="0"/>
        <w:pageBreakBefore w:val="0"/>
        <w:widowControl w:val="0"/>
        <w:kinsoku/>
        <w:wordWrap/>
        <w:overflowPunct/>
        <w:topLinePunct w:val="0"/>
        <w:autoSpaceDE/>
        <w:autoSpaceDN/>
        <w:bidi w:val="0"/>
        <w:adjustRightInd/>
        <w:snapToGrid/>
        <w:spacing w:after="0" w:afterLines="0" w:line="420" w:lineRule="exact"/>
        <w:ind w:firstLine="560" w:firstLineChars="200"/>
        <w:jc w:val="lef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光伏阵列区太阳能电池板支架下方草长势较好，秋冬季节干燥，若未采取除草措施，一旦发生电火花等放电现象或其他设备着火可能引燃枯燥，造成火灾，加之场区风力加大，一旦发生火灾不易扑灭，可能会烧毁太阳能电池板或者其他设备，造成设备损害、人员伤害和财产顺势的严重后果。此外若光伏区周边无防火隔离带或隔离带缺陷，周边山林火灾会对光伏区产生较大的影响。</w:t>
      </w:r>
    </w:p>
    <w:p w14:paraId="35C1B688">
      <w:pPr>
        <w:keepNext w:val="0"/>
        <w:keepLines w:val="0"/>
        <w:pageBreakBefore w:val="0"/>
        <w:widowControl w:val="0"/>
        <w:kinsoku/>
        <w:wordWrap/>
        <w:overflowPunct/>
        <w:topLinePunct w:val="0"/>
        <w:autoSpaceDE/>
        <w:autoSpaceDN/>
        <w:bidi w:val="0"/>
        <w:adjustRightInd/>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本项目位于山坡上，周边无其它的生产企业，因此不存在周边企业对本项目的影响。</w:t>
      </w:r>
    </w:p>
    <w:p w14:paraId="1B972FEC">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273" w:name="_Toc19797"/>
      <w:bookmarkStart w:id="274" w:name="_Toc30734"/>
      <w:r>
        <w:rPr>
          <w:rFonts w:hint="eastAsia" w:ascii="宋体" w:hAnsi="宋体" w:eastAsia="宋体" w:cs="宋体"/>
          <w:b/>
          <w:bCs w:val="0"/>
          <w:color w:val="000000" w:themeColor="text1"/>
          <w:sz w:val="30"/>
          <w:szCs w:val="30"/>
          <w:lang w:val="en-US" w:eastAsia="zh-CN"/>
          <w14:textFill>
            <w14:solidFill>
              <w14:schemeClr w14:val="tx1"/>
            </w14:solidFill>
          </w14:textFill>
        </w:rPr>
        <w:t>3.5.2</w:t>
      </w:r>
      <w:r>
        <w:rPr>
          <w:rFonts w:hint="eastAsia" w:ascii="宋体" w:hAnsi="宋体" w:eastAsia="宋体" w:cs="宋体"/>
          <w:b/>
          <w:bCs w:val="0"/>
          <w:color w:val="000000" w:themeColor="text1"/>
          <w:sz w:val="30"/>
          <w:szCs w:val="30"/>
          <w14:textFill>
            <w14:solidFill>
              <w14:schemeClr w14:val="tx1"/>
            </w14:solidFill>
          </w14:textFill>
        </w:rPr>
        <w:t>建设项目对周边环境的影响</w:t>
      </w:r>
      <w:bookmarkEnd w:id="273"/>
      <w:bookmarkEnd w:id="274"/>
    </w:p>
    <w:p w14:paraId="776A714B">
      <w:pPr>
        <w:keepNext w:val="0"/>
        <w:keepLines w:val="0"/>
        <w:pageBreakBefore w:val="0"/>
        <w:widowControl w:val="0"/>
        <w:kinsoku/>
        <w:wordWrap/>
        <w:overflowPunct/>
        <w:topLinePunct w:val="0"/>
        <w:autoSpaceDE/>
        <w:autoSpaceDN/>
        <w:bidi w:val="0"/>
        <w:adjustRightInd/>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光伏组件区内无居民区，场区附近有少量灌木、少数林地分布。建设 项目为清洁能源，对周边的影响不大，主要是施工期的噪声、粉尘影响。</w:t>
      </w:r>
    </w:p>
    <w:p w14:paraId="78FF4D05">
      <w:pPr>
        <w:keepNext w:val="0"/>
        <w:keepLines w:val="0"/>
        <w:pageBreakBefore w:val="0"/>
        <w:widowControl w:val="0"/>
        <w:kinsoku/>
        <w:wordWrap/>
        <w:overflowPunct/>
        <w:topLinePunct w:val="0"/>
        <w:autoSpaceDE/>
        <w:autoSpaceDN/>
        <w:bidi w:val="0"/>
        <w:adjustRightInd/>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(1)施工对流动的人员可能产生安全方面的影响，主要表现在基础开挖、场内道路开挖时由于安全设施设置不足，安全警示标志不明显或施工人员对安全认识不足，流动的人员进入施工区或运行区而发生高处 坠落、物体打击、噪声、触电、火灾、机械伤害等危害。</w:t>
      </w:r>
    </w:p>
    <w:p w14:paraId="714D0FCB">
      <w:pPr>
        <w:keepNext w:val="0"/>
        <w:keepLines w:val="0"/>
        <w:pageBreakBefore w:val="0"/>
        <w:widowControl w:val="0"/>
        <w:kinsoku/>
        <w:wordWrap/>
        <w:overflowPunct/>
        <w:topLinePunct w:val="0"/>
        <w:autoSpaceDE/>
        <w:autoSpaceDN/>
        <w:bidi w:val="0"/>
        <w:adjustRightInd/>
        <w:spacing w:line="420" w:lineRule="exact"/>
        <w:ind w:firstLine="560" w:firstLineChars="200"/>
        <w:textAlignment w:val="auto"/>
        <w:rPr>
          <w:rFonts w:hint="eastAsia"/>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(2)施工期只有少量污水、废水排放，对环境影响很小。施工期问的同定废弃物主要是建筑垃圾和生活垃圾，集中收集后外运，对环境影响很小。</w:t>
      </w:r>
    </w:p>
    <w:p w14:paraId="1C2F3C58">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lang w:val="en-US" w:eastAsia="zh-CN"/>
          <w14:textFill>
            <w14:solidFill>
              <w14:schemeClr w14:val="tx1"/>
            </w14:solidFill>
          </w14:textFill>
        </w:rPr>
      </w:pPr>
      <w:bookmarkStart w:id="275" w:name="_Toc23961"/>
      <w:bookmarkStart w:id="276" w:name="_Toc6349"/>
      <w:r>
        <w:rPr>
          <w:rFonts w:hint="eastAsia" w:ascii="宋体" w:hAnsi="宋体" w:eastAsia="宋体" w:cs="宋体"/>
          <w:b/>
          <w:bCs w:val="0"/>
          <w:color w:val="000000" w:themeColor="text1"/>
          <w:sz w:val="30"/>
          <w:szCs w:val="30"/>
          <w:lang w:val="en-US" w:eastAsia="zh-CN"/>
          <w14:textFill>
            <w14:solidFill>
              <w14:schemeClr w14:val="tx1"/>
            </w14:solidFill>
          </w14:textFill>
        </w:rPr>
        <w:t>3.5.3总平面布置</w:t>
      </w:r>
      <w:bookmarkEnd w:id="275"/>
      <w:bookmarkEnd w:id="276"/>
    </w:p>
    <w:p w14:paraId="242A3328">
      <w:pPr>
        <w:pStyle w:val="10"/>
        <w:keepNext w:val="0"/>
        <w:keepLines w:val="0"/>
        <w:pageBreakBefore w:val="0"/>
        <w:widowControl w:val="0"/>
        <w:kinsoku/>
        <w:wordWrap/>
        <w:overflowPunct/>
        <w:topLinePunct w:val="0"/>
        <w:autoSpaceDE/>
        <w:autoSpaceDN/>
        <w:bidi w:val="0"/>
        <w:adjustRightInd/>
        <w:snapToGrid/>
        <w:spacing w:after="0" w:line="420" w:lineRule="exact"/>
        <w:ind w:left="0" w:right="0" w:firstLine="479"/>
        <w:jc w:val="both"/>
        <w:textAlignment w:val="auto"/>
        <w:rPr>
          <w:color w:val="000000" w:themeColor="text1"/>
          <w:sz w:val="28"/>
          <w:szCs w:val="28"/>
          <w14:textFill>
            <w14:solidFill>
              <w14:schemeClr w14:val="tx1"/>
            </w14:solidFill>
          </w14:textFill>
        </w:rPr>
      </w:pPr>
      <w:r>
        <w:rPr>
          <w:color w:val="000000" w:themeColor="text1"/>
          <w:spacing w:val="-3"/>
          <w:sz w:val="28"/>
          <w:szCs w:val="28"/>
          <w14:textFill>
            <w14:solidFill>
              <w14:schemeClr w14:val="tx1"/>
            </w14:solidFill>
          </w14:textFill>
        </w:rPr>
        <w:t>根据光伏电站实际的布置来看，管理范围较大，给整个光</w:t>
      </w:r>
      <w:r>
        <w:rPr>
          <w:color w:val="000000" w:themeColor="text1"/>
          <w:spacing w:val="-4"/>
          <w:sz w:val="28"/>
          <w:szCs w:val="28"/>
          <w14:textFill>
            <w14:solidFill>
              <w14:schemeClr w14:val="tx1"/>
            </w14:solidFill>
          </w14:textFill>
        </w:rPr>
        <w:t>伏电站的安全管理带来不</w:t>
      </w:r>
      <w:r>
        <w:rPr>
          <w:color w:val="000000" w:themeColor="text1"/>
          <w:spacing w:val="-3"/>
          <w:sz w:val="28"/>
          <w:szCs w:val="28"/>
          <w14:textFill>
            <w14:solidFill>
              <w14:schemeClr w14:val="tx1"/>
            </w14:solidFill>
          </w14:textFill>
        </w:rPr>
        <w:t>便。如设备布置、安全距离、消防系统布局不合理，站内道路路面宽度、</w:t>
      </w:r>
      <w:r>
        <w:rPr>
          <w:color w:val="000000" w:themeColor="text1"/>
          <w:spacing w:val="-4"/>
          <w:sz w:val="28"/>
          <w:szCs w:val="28"/>
          <w14:textFill>
            <w14:solidFill>
              <w14:schemeClr w14:val="tx1"/>
            </w14:solidFill>
          </w14:textFill>
        </w:rPr>
        <w:t>曲率半径以及</w:t>
      </w:r>
      <w:r>
        <w:rPr>
          <w:color w:val="000000" w:themeColor="text1"/>
          <w:sz w:val="28"/>
          <w:szCs w:val="28"/>
          <w14:textFill>
            <w14:solidFill>
              <w14:schemeClr w14:val="tx1"/>
            </w14:solidFill>
          </w14:textFill>
        </w:rPr>
        <w:t>路标指示牌布置不合理，均有可能造成火灾、触电</w:t>
      </w:r>
      <w:r>
        <w:rPr>
          <w:color w:val="000000" w:themeColor="text1"/>
          <w:spacing w:val="-1"/>
          <w:sz w:val="28"/>
          <w:szCs w:val="28"/>
          <w14:textFill>
            <w14:solidFill>
              <w14:schemeClr w14:val="tx1"/>
            </w14:solidFill>
          </w14:textFill>
        </w:rPr>
        <w:t>、车辆伤害等事故的发生。</w:t>
      </w:r>
    </w:p>
    <w:p w14:paraId="64D55417">
      <w:pPr>
        <w:pStyle w:val="10"/>
        <w:keepNext w:val="0"/>
        <w:keepLines w:val="0"/>
        <w:pageBreakBefore w:val="0"/>
        <w:widowControl w:val="0"/>
        <w:kinsoku/>
        <w:wordWrap/>
        <w:overflowPunct/>
        <w:topLinePunct w:val="0"/>
        <w:autoSpaceDE/>
        <w:autoSpaceDN/>
        <w:bidi w:val="0"/>
        <w:adjustRightInd/>
        <w:snapToGrid/>
        <w:spacing w:after="0" w:line="420" w:lineRule="exact"/>
        <w:ind w:left="0" w:right="0" w:firstLine="482"/>
        <w:jc w:val="both"/>
        <w:textAlignment w:val="auto"/>
        <w:rPr>
          <w:rFonts w:hint="eastAsia"/>
          <w:color w:val="000000" w:themeColor="text1"/>
          <w:spacing w:val="-3"/>
          <w:sz w:val="28"/>
          <w:szCs w:val="28"/>
          <w:lang w:val="en-US" w:eastAsia="zh-CN"/>
          <w14:textFill>
            <w14:solidFill>
              <w14:schemeClr w14:val="tx1"/>
            </w14:solidFill>
          </w14:textFill>
        </w:rPr>
      </w:pPr>
      <w:r>
        <w:rPr>
          <w:color w:val="000000" w:themeColor="text1"/>
          <w:spacing w:val="-3"/>
          <w:sz w:val="28"/>
          <w:szCs w:val="28"/>
          <w14:textFill>
            <w14:solidFill>
              <w14:schemeClr w14:val="tx1"/>
            </w14:solidFill>
          </w14:textFill>
        </w:rPr>
        <w:t>光伏阵列平面布置直接关系到本光伏电站的发电效率</w:t>
      </w:r>
      <w:r>
        <w:rPr>
          <w:color w:val="000000" w:themeColor="text1"/>
          <w:spacing w:val="-4"/>
          <w:sz w:val="28"/>
          <w:szCs w:val="28"/>
          <w14:textFill>
            <w14:solidFill>
              <w14:schemeClr w14:val="tx1"/>
            </w14:solidFill>
          </w14:textFill>
        </w:rPr>
        <w:t>、投资造价以及收益率。光伏</w:t>
      </w:r>
      <w:r>
        <w:rPr>
          <w:color w:val="000000" w:themeColor="text1"/>
          <w:spacing w:val="-8"/>
          <w:sz w:val="28"/>
          <w:szCs w:val="28"/>
          <w14:textFill>
            <w14:solidFill>
              <w14:schemeClr w14:val="tx1"/>
            </w14:solidFill>
          </w14:textFill>
        </w:rPr>
        <w:t>组件间距的确定是总平布置合理的首要因素。组件前后距离过大，会造成土地资源浪费，</w:t>
      </w:r>
      <w:r>
        <w:rPr>
          <w:color w:val="000000" w:themeColor="text1"/>
          <w:spacing w:val="-3"/>
          <w:sz w:val="28"/>
          <w:szCs w:val="28"/>
          <w14:textFill>
            <w14:solidFill>
              <w14:schemeClr w14:val="tx1"/>
            </w14:solidFill>
          </w14:textFill>
        </w:rPr>
        <w:t>投资增加，从而直接影响本光伏电站的经济性；组件前后距离过小，会造成光</w:t>
      </w:r>
      <w:r>
        <w:rPr>
          <w:color w:val="000000" w:themeColor="text1"/>
          <w:spacing w:val="-4"/>
          <w:sz w:val="28"/>
          <w:szCs w:val="28"/>
          <w14:textFill>
            <w14:solidFill>
              <w14:schemeClr w14:val="tx1"/>
            </w14:solidFill>
          </w14:textFill>
        </w:rPr>
        <w:t>伏组件出</w:t>
      </w:r>
      <w:r>
        <w:rPr>
          <w:color w:val="000000" w:themeColor="text1"/>
          <w:spacing w:val="-3"/>
          <w:sz w:val="28"/>
          <w:szCs w:val="28"/>
          <w14:textFill>
            <w14:solidFill>
              <w14:schemeClr w14:val="tx1"/>
            </w14:solidFill>
          </w14:textFill>
        </w:rPr>
        <w:t>现阴影，降低发电量，甚至造成光伏组件热斑效应。由于局部阴影的存在，太</w:t>
      </w:r>
      <w:r>
        <w:rPr>
          <w:color w:val="000000" w:themeColor="text1"/>
          <w:spacing w:val="-4"/>
          <w:sz w:val="28"/>
          <w:szCs w:val="28"/>
          <w14:textFill>
            <w14:solidFill>
              <w14:schemeClr w14:val="tx1"/>
            </w14:solidFill>
          </w14:textFill>
        </w:rPr>
        <w:t>阳电池组</w:t>
      </w:r>
      <w:r>
        <w:rPr>
          <w:color w:val="000000" w:themeColor="text1"/>
          <w:spacing w:val="-3"/>
          <w:sz w:val="28"/>
          <w:szCs w:val="28"/>
          <w14:textFill>
            <w14:solidFill>
              <w14:schemeClr w14:val="tx1"/>
            </w14:solidFill>
          </w14:textFill>
        </w:rPr>
        <w:t>件中某些电池单片的电流、电压发生了变化。其结果使太阳电池组件局部电流</w:t>
      </w:r>
      <w:r>
        <w:rPr>
          <w:color w:val="000000" w:themeColor="text1"/>
          <w:spacing w:val="-4"/>
          <w:sz w:val="28"/>
          <w:szCs w:val="28"/>
          <w14:textFill>
            <w14:solidFill>
              <w14:schemeClr w14:val="tx1"/>
            </w14:solidFill>
          </w14:textFill>
        </w:rPr>
        <w:t>与电压之</w:t>
      </w:r>
      <w:r>
        <w:rPr>
          <w:color w:val="000000" w:themeColor="text1"/>
          <w:spacing w:val="-3"/>
          <w:sz w:val="28"/>
          <w:szCs w:val="28"/>
          <w14:textFill>
            <w14:solidFill>
              <w14:schemeClr w14:val="tx1"/>
            </w14:solidFill>
          </w14:textFill>
        </w:rPr>
        <w:t>积增大，从而在这些电池组件上产生了局部温升。</w:t>
      </w:r>
      <w:r>
        <w:rPr>
          <w:rFonts w:hint="eastAsia"/>
          <w:color w:val="000000" w:themeColor="text1"/>
          <w:spacing w:val="-3"/>
          <w:sz w:val="28"/>
          <w:szCs w:val="28"/>
          <w:lang w:val="en-US" w:eastAsia="zh-CN"/>
          <w14:textFill>
            <w14:solidFill>
              <w14:schemeClr w14:val="tx1"/>
            </w14:solidFill>
          </w14:textFill>
        </w:rPr>
        <w:t xml:space="preserve">          </w:t>
      </w:r>
    </w:p>
    <w:p w14:paraId="0B126FA6">
      <w:pPr>
        <w:pStyle w:val="10"/>
        <w:keepNext w:val="0"/>
        <w:keepLines w:val="0"/>
        <w:pageBreakBefore w:val="0"/>
        <w:widowControl w:val="0"/>
        <w:kinsoku/>
        <w:wordWrap/>
        <w:overflowPunct/>
        <w:topLinePunct w:val="0"/>
        <w:autoSpaceDE/>
        <w:autoSpaceDN/>
        <w:bidi w:val="0"/>
        <w:adjustRightInd/>
        <w:snapToGrid/>
        <w:spacing w:after="0" w:line="420" w:lineRule="exact"/>
        <w:ind w:left="0" w:right="0" w:firstLine="482"/>
        <w:jc w:val="both"/>
        <w:textAlignment w:val="auto"/>
        <w:rPr>
          <w:color w:val="000000" w:themeColor="text1"/>
          <w:sz w:val="28"/>
          <w:szCs w:val="28"/>
          <w14:textFill>
            <w14:solidFill>
              <w14:schemeClr w14:val="tx1"/>
            </w14:solidFill>
          </w14:textFill>
        </w:rPr>
      </w:pPr>
      <w:r>
        <w:rPr>
          <w:color w:val="000000" w:themeColor="text1"/>
          <w:spacing w:val="-3"/>
          <w:sz w:val="28"/>
          <w:szCs w:val="28"/>
          <w14:textFill>
            <w14:solidFill>
              <w14:schemeClr w14:val="tx1"/>
            </w14:solidFill>
          </w14:textFill>
        </w:rPr>
        <w:t>太阳电池组件中某些电池单</w:t>
      </w:r>
      <w:r>
        <w:rPr>
          <w:color w:val="000000" w:themeColor="text1"/>
          <w:spacing w:val="-4"/>
          <w:sz w:val="28"/>
          <w:szCs w:val="28"/>
          <w14:textFill>
            <w14:solidFill>
              <w14:schemeClr w14:val="tx1"/>
            </w14:solidFill>
          </w14:textFill>
        </w:rPr>
        <w:t>片本身缺</w:t>
      </w:r>
      <w:r>
        <w:rPr>
          <w:color w:val="000000" w:themeColor="text1"/>
          <w:sz w:val="28"/>
          <w:szCs w:val="28"/>
          <w14:textFill>
            <w14:solidFill>
              <w14:schemeClr w14:val="tx1"/>
            </w14:solidFill>
          </w14:textFill>
        </w:rPr>
        <w:t>陷也可能使组件在工作时局部发热，这种效应能</w:t>
      </w:r>
      <w:r>
        <w:rPr>
          <w:color w:val="000000" w:themeColor="text1"/>
          <w:spacing w:val="-1"/>
          <w:sz w:val="28"/>
          <w:szCs w:val="28"/>
          <w14:textFill>
            <w14:solidFill>
              <w14:schemeClr w14:val="tx1"/>
            </w14:solidFill>
          </w14:textFill>
        </w:rPr>
        <w:t>严重的破坏太阳电池。</w:t>
      </w:r>
    </w:p>
    <w:p w14:paraId="7007C686">
      <w:pPr>
        <w:pStyle w:val="3"/>
        <w:pageBreakBefore w:val="0"/>
        <w:widowControl w:val="0"/>
        <w:tabs>
          <w:tab w:val="left" w:pos="0"/>
        </w:tabs>
        <w:kinsoku/>
        <w:wordWrap/>
        <w:overflowPunct/>
        <w:topLinePunct w:val="0"/>
        <w:autoSpaceDE/>
        <w:autoSpaceDN/>
        <w:bidi w:val="0"/>
        <w:spacing w:line="420" w:lineRule="exact"/>
        <w:textAlignment w:val="auto"/>
        <w:rPr>
          <w:rFonts w:hint="eastAsia" w:ascii="宋体" w:hAnsi="宋体" w:eastAsia="宋体" w:cs="宋体"/>
          <w:color w:val="000000" w:themeColor="text1"/>
          <w14:textFill>
            <w14:solidFill>
              <w14:schemeClr w14:val="tx1"/>
            </w14:solidFill>
          </w14:textFill>
        </w:rPr>
      </w:pPr>
      <w:bookmarkStart w:id="277" w:name="_Toc8108"/>
      <w:bookmarkStart w:id="278" w:name="_Toc2051"/>
      <w:bookmarkStart w:id="279" w:name="_Toc17978"/>
      <w:bookmarkStart w:id="280" w:name="_Toc32362"/>
      <w:r>
        <w:rPr>
          <w:rFonts w:hint="eastAsia" w:ascii="宋体" w:hAnsi="宋体" w:eastAsia="宋体" w:cs="宋体"/>
          <w:color w:val="000000" w:themeColor="text1"/>
          <w:lang w:val="en-US" w:eastAsia="zh-CN"/>
          <w14:textFill>
            <w14:solidFill>
              <w14:schemeClr w14:val="tx1"/>
            </w14:solidFill>
          </w14:textFill>
        </w:rPr>
        <w:t>3.6</w:t>
      </w:r>
      <w:r>
        <w:rPr>
          <w:rFonts w:hint="eastAsia" w:ascii="宋体" w:hAnsi="宋体" w:eastAsia="宋体" w:cs="宋体"/>
          <w:color w:val="000000" w:themeColor="text1"/>
          <w14:textFill>
            <w14:solidFill>
              <w14:schemeClr w14:val="tx1"/>
            </w14:solidFill>
          </w14:textFill>
        </w:rPr>
        <w:t>主要建（构）筑物</w:t>
      </w:r>
      <w:r>
        <w:rPr>
          <w:rFonts w:hint="eastAsia" w:ascii="宋体" w:hAnsi="宋体" w:eastAsia="宋体" w:cs="宋体"/>
          <w:color w:val="000000" w:themeColor="text1"/>
          <w:lang w:eastAsia="zh-CN"/>
          <w14:textFill>
            <w14:solidFill>
              <w14:schemeClr w14:val="tx1"/>
            </w14:solidFill>
          </w14:textFill>
        </w:rPr>
        <w:t>危险有害因素</w:t>
      </w:r>
      <w:r>
        <w:rPr>
          <w:rFonts w:hint="eastAsia" w:ascii="宋体" w:hAnsi="宋体" w:eastAsia="宋体" w:cs="宋体"/>
          <w:color w:val="000000" w:themeColor="text1"/>
          <w14:textFill>
            <w14:solidFill>
              <w14:schemeClr w14:val="tx1"/>
            </w14:solidFill>
          </w14:textFill>
        </w:rPr>
        <w:t>辨识分析</w:t>
      </w:r>
      <w:bookmarkEnd w:id="277"/>
      <w:bookmarkEnd w:id="278"/>
      <w:bookmarkEnd w:id="279"/>
      <w:bookmarkEnd w:id="280"/>
    </w:p>
    <w:p w14:paraId="747E5C4C">
      <w:pPr>
        <w:keepNext w:val="0"/>
        <w:keepLines w:val="0"/>
        <w:pageBreakBefore w:val="0"/>
        <w:numPr>
          <w:ilvl w:val="0"/>
          <w:numId w:val="0"/>
        </w:numPr>
        <w:kinsoku/>
        <w:wordWrap/>
        <w:overflowPunct/>
        <w:topLinePunct w:val="0"/>
        <w:autoSpaceDE/>
        <w:autoSpaceDN/>
        <w:bidi w:val="0"/>
        <w:adjustRightInd/>
        <w:snapToGrid/>
        <w:spacing w:line="420" w:lineRule="exact"/>
        <w:jc w:val="both"/>
        <w:textAlignment w:val="auto"/>
        <w:outlineLvl w:val="2"/>
        <w:rPr>
          <w:rFonts w:hint="eastAsia" w:ascii="宋体" w:hAnsi="宋体" w:eastAsia="宋体" w:cs="宋体"/>
          <w:b/>
          <w:bCs w:val="0"/>
          <w:color w:val="000000" w:themeColor="text1"/>
          <w:sz w:val="30"/>
          <w:szCs w:val="30"/>
          <w:lang w:val="en-US" w:eastAsia="zh-CN"/>
          <w14:textFill>
            <w14:solidFill>
              <w14:schemeClr w14:val="tx1"/>
            </w14:solidFill>
          </w14:textFill>
        </w:rPr>
      </w:pPr>
      <w:bookmarkStart w:id="281" w:name="_Toc7993"/>
      <w:bookmarkStart w:id="282" w:name="_Toc10025"/>
      <w:r>
        <w:rPr>
          <w:rFonts w:hint="eastAsia" w:ascii="宋体" w:hAnsi="宋体" w:eastAsia="宋体" w:cs="宋体"/>
          <w:b/>
          <w:bCs w:val="0"/>
          <w:color w:val="000000" w:themeColor="text1"/>
          <w:sz w:val="30"/>
          <w:szCs w:val="30"/>
          <w:lang w:val="en-US" w:eastAsia="zh-CN"/>
          <w14:textFill>
            <w14:solidFill>
              <w14:schemeClr w14:val="tx1"/>
            </w14:solidFill>
          </w14:textFill>
        </w:rPr>
        <w:t>3.6.1光伏支架及基础危险有害因素分析</w:t>
      </w:r>
      <w:bookmarkEnd w:id="281"/>
      <w:bookmarkEnd w:id="282"/>
    </w:p>
    <w:p w14:paraId="7418375D">
      <w:pPr>
        <w:keepNext w:val="0"/>
        <w:keepLines w:val="0"/>
        <w:pageBreakBefore w:val="0"/>
        <w:widowControl w:val="0"/>
        <w:kinsoku/>
        <w:wordWrap/>
        <w:overflowPunct/>
        <w:topLinePunct w:val="0"/>
        <w:autoSpaceDE/>
        <w:autoSpaceDN/>
        <w:bidi w:val="0"/>
        <w:adjustRightInd/>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光伏支架存在的危险有害因素包括：不良地质、施工安装质量、支架材料缺陷等。</w:t>
      </w:r>
    </w:p>
    <w:p w14:paraId="67E53018">
      <w:pPr>
        <w:keepNext w:val="0"/>
        <w:keepLines w:val="0"/>
        <w:pageBreakBefore w:val="0"/>
        <w:widowControl w:val="0"/>
        <w:kinsoku/>
        <w:wordWrap/>
        <w:overflowPunct/>
        <w:topLinePunct w:val="0"/>
        <w:autoSpaceDE/>
        <w:autoSpaceDN/>
        <w:bidi w:val="0"/>
        <w:adjustRightInd/>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光伏支架基础如存在不良地质且未处理或处理后不能满足设计要求，基础地基处理、混凝土不满足设计和规范要求的强度要求，可能发生基础沉降、变形；支架材料质量不合格，在遇大风天气时损坏；支架安装质量存在缺陷，在遇恶劣天气时导致光伏组件被吹飞、支架散开等导致设备损坏。</w:t>
      </w:r>
    </w:p>
    <w:p w14:paraId="4240B21D">
      <w:pPr>
        <w:pStyle w:val="4"/>
        <w:pageBreakBefore w:val="0"/>
        <w:widowControl w:val="0"/>
        <w:kinsoku/>
        <w:wordWrap/>
        <w:overflowPunct/>
        <w:topLinePunct w:val="0"/>
        <w:autoSpaceDE/>
        <w:autoSpaceDN/>
        <w:bidi w:val="0"/>
        <w:spacing w:line="420" w:lineRule="exact"/>
        <w:textAlignment w:val="auto"/>
        <w:rPr>
          <w:rFonts w:hint="eastAsia"/>
          <w:color w:val="000000" w:themeColor="text1"/>
          <w:lang w:val="en-US" w:eastAsia="zh-CN"/>
          <w14:textFill>
            <w14:solidFill>
              <w14:schemeClr w14:val="tx1"/>
            </w14:solidFill>
          </w14:textFill>
        </w:rPr>
      </w:pPr>
      <w:bookmarkStart w:id="283" w:name="_Toc1412"/>
      <w:bookmarkStart w:id="284" w:name="_Toc16422"/>
      <w:bookmarkStart w:id="285" w:name="_Toc1596"/>
      <w:r>
        <w:rPr>
          <w:rFonts w:hint="eastAsia" w:ascii="宋体" w:hAnsi="宋体" w:eastAsia="宋体" w:cs="宋体"/>
          <w:b/>
          <w:bCs w:val="0"/>
          <w:color w:val="000000" w:themeColor="text1"/>
          <w:sz w:val="30"/>
          <w:szCs w:val="30"/>
          <w:lang w:val="en-US" w:eastAsia="zh-CN"/>
          <w14:textFill>
            <w14:solidFill>
              <w14:schemeClr w14:val="tx1"/>
            </w14:solidFill>
          </w14:textFill>
        </w:rPr>
        <w:t>3.6.2逆变配电箱和箱式升压变压器基础危险有害因素分析</w:t>
      </w:r>
      <w:bookmarkEnd w:id="283"/>
      <w:bookmarkEnd w:id="284"/>
    </w:p>
    <w:bookmarkEnd w:id="285"/>
    <w:p w14:paraId="6B366B09">
      <w:pPr>
        <w:pStyle w:val="10"/>
        <w:keepNext w:val="0"/>
        <w:keepLines w:val="0"/>
        <w:pageBreakBefore w:val="0"/>
        <w:widowControl w:val="0"/>
        <w:kinsoku/>
        <w:wordWrap/>
        <w:overflowPunct/>
        <w:topLinePunct w:val="0"/>
        <w:autoSpaceDE/>
        <w:autoSpaceDN/>
        <w:bidi w:val="0"/>
        <w:adjustRightInd/>
        <w:snapToGrid/>
        <w:spacing w:after="0" w:line="420" w:lineRule="exact"/>
        <w:ind w:left="0" w:right="0" w:firstLine="560" w:firstLineChars="200"/>
        <w:jc w:val="left"/>
        <w:textAlignment w:val="auto"/>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kern w:val="2"/>
          <w:sz w:val="28"/>
          <w:szCs w:val="28"/>
          <w:lang w:val="en-US" w:eastAsia="zh-CN" w:bidi="ar-SA"/>
          <w14:textFill>
            <w14:solidFill>
              <w14:schemeClr w14:val="tx1"/>
            </w14:solidFill>
          </w14:textFill>
        </w:rPr>
        <w:t>逆变器箱和升压变压器基础存在的危险有害因素包括：施工质量等。</w:t>
      </w:r>
    </w:p>
    <w:p w14:paraId="60EF958A">
      <w:pPr>
        <w:pStyle w:val="10"/>
        <w:keepNext w:val="0"/>
        <w:keepLines w:val="0"/>
        <w:pageBreakBefore w:val="0"/>
        <w:widowControl w:val="0"/>
        <w:kinsoku/>
        <w:wordWrap/>
        <w:overflowPunct/>
        <w:topLinePunct w:val="0"/>
        <w:autoSpaceDE/>
        <w:autoSpaceDN/>
        <w:bidi w:val="0"/>
        <w:adjustRightInd/>
        <w:snapToGrid/>
        <w:spacing w:after="0" w:line="420" w:lineRule="exact"/>
        <w:ind w:right="0" w:firstLine="560" w:firstLineChars="200"/>
        <w:textAlignment w:val="auto"/>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kern w:val="2"/>
          <w:sz w:val="28"/>
          <w:szCs w:val="28"/>
          <w:lang w:val="en-US" w:eastAsia="zh-CN" w:bidi="ar-SA"/>
          <w14:textFill>
            <w14:solidFill>
              <w14:schemeClr w14:val="tx1"/>
            </w14:solidFill>
          </w14:textFill>
        </w:rPr>
        <w:t>场区内布置逆变配电箱和箱式升压变压器。由于逆变配电箱、升压变 压器的重量相对较轻，采用钢筋混凝土箱型基础。施工质量满足设计和规 范要求。</w:t>
      </w:r>
    </w:p>
    <w:p w14:paraId="197EA3F0">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lang w:val="en-US" w:eastAsia="zh-CN"/>
          <w14:textFill>
            <w14:solidFill>
              <w14:schemeClr w14:val="tx1"/>
            </w14:solidFill>
          </w14:textFill>
        </w:rPr>
      </w:pPr>
      <w:bookmarkStart w:id="286" w:name="_Toc13421"/>
      <w:bookmarkStart w:id="287" w:name="_Toc7039"/>
      <w:r>
        <w:rPr>
          <w:rFonts w:hint="eastAsia" w:ascii="宋体" w:hAnsi="宋体" w:eastAsia="宋体" w:cs="宋体"/>
          <w:b/>
          <w:bCs w:val="0"/>
          <w:color w:val="000000" w:themeColor="text1"/>
          <w:sz w:val="30"/>
          <w:szCs w:val="30"/>
          <w:lang w:val="en-US" w:eastAsia="zh-CN"/>
          <w14:textFill>
            <w14:solidFill>
              <w14:schemeClr w14:val="tx1"/>
            </w14:solidFill>
          </w14:textFill>
        </w:rPr>
        <w:t>3.6.3电缆沟危险有害因素分析</w:t>
      </w:r>
      <w:bookmarkEnd w:id="286"/>
      <w:bookmarkEnd w:id="287"/>
    </w:p>
    <w:p w14:paraId="68C4947F">
      <w:pPr>
        <w:keepNext w:val="0"/>
        <w:keepLines w:val="0"/>
        <w:pageBreakBefore w:val="0"/>
        <w:widowControl w:val="0"/>
        <w:kinsoku/>
        <w:wordWrap/>
        <w:overflowPunct/>
        <w:topLinePunct w:val="0"/>
        <w:autoSpaceDE/>
        <w:autoSpaceDN/>
        <w:bidi w:val="0"/>
        <w:adjustRightInd/>
        <w:spacing w:line="420" w:lineRule="exact"/>
        <w:ind w:firstLine="560" w:firstLineChars="200"/>
        <w:textAlignment w:val="auto"/>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场内集电线路采用直埋壕沟。直接在原地面进行开挖，埋设电缆，再用软砂和土回填。</w:t>
      </w:r>
    </w:p>
    <w:p w14:paraId="16E68357">
      <w:pPr>
        <w:keepNext w:val="0"/>
        <w:keepLines w:val="0"/>
        <w:pageBreakBefore w:val="0"/>
        <w:widowControl w:val="0"/>
        <w:kinsoku/>
        <w:wordWrap/>
        <w:overflowPunct/>
        <w:topLinePunct w:val="0"/>
        <w:autoSpaceDE/>
        <w:autoSpaceDN/>
        <w:bidi w:val="0"/>
        <w:adjustRightInd/>
        <w:spacing w:line="420" w:lineRule="exact"/>
        <w:ind w:firstLine="560" w:firstLineChars="200"/>
        <w:textAlignment w:val="auto"/>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不良地质及恶劣气候如地基塌陷、滑坡、雨水冲刷等影响电缆的安全运行。</w:t>
      </w:r>
    </w:p>
    <w:p w14:paraId="62FC1797">
      <w:pPr>
        <w:pStyle w:val="4"/>
        <w:pageBreakBefore w:val="0"/>
        <w:widowControl w:val="0"/>
        <w:kinsoku/>
        <w:wordWrap/>
        <w:overflowPunct/>
        <w:topLinePunct w:val="0"/>
        <w:autoSpaceDE/>
        <w:autoSpaceDN/>
        <w:bidi w:val="0"/>
        <w:spacing w:line="420" w:lineRule="exact"/>
        <w:textAlignment w:val="auto"/>
        <w:rPr>
          <w:color w:val="000000" w:themeColor="text1"/>
          <w:spacing w:val="-2"/>
          <w:sz w:val="28"/>
          <w:szCs w:val="28"/>
          <w14:textFill>
            <w14:solidFill>
              <w14:schemeClr w14:val="tx1"/>
            </w14:solidFill>
          </w14:textFill>
        </w:rPr>
      </w:pPr>
      <w:bookmarkStart w:id="288" w:name="_Toc18804"/>
      <w:r>
        <w:rPr>
          <w:rFonts w:hint="eastAsia" w:ascii="宋体" w:hAnsi="宋体" w:eastAsia="宋体" w:cs="宋体"/>
          <w:b/>
          <w:bCs w:val="0"/>
          <w:color w:val="000000" w:themeColor="text1"/>
          <w:sz w:val="30"/>
          <w:szCs w:val="30"/>
          <w:lang w:val="en-US" w:eastAsia="zh-CN"/>
          <w14:textFill>
            <w14:solidFill>
              <w14:schemeClr w14:val="tx1"/>
            </w14:solidFill>
          </w14:textFill>
        </w:rPr>
        <w:t>3.6.4安全监测设施危险有害因素分析</w:t>
      </w:r>
      <w:bookmarkEnd w:id="288"/>
    </w:p>
    <w:p w14:paraId="6F766A34">
      <w:pPr>
        <w:pStyle w:val="10"/>
        <w:keepNext w:val="0"/>
        <w:keepLines w:val="0"/>
        <w:pageBreakBefore w:val="0"/>
        <w:widowControl w:val="0"/>
        <w:kinsoku/>
        <w:wordWrap/>
        <w:overflowPunct/>
        <w:topLinePunct w:val="0"/>
        <w:autoSpaceDE/>
        <w:autoSpaceDN/>
        <w:bidi w:val="0"/>
        <w:adjustRightInd/>
        <w:snapToGrid/>
        <w:spacing w:after="0" w:line="420" w:lineRule="exact"/>
        <w:ind w:left="0" w:right="0" w:firstLine="556" w:firstLineChars="200"/>
        <w:textAlignment w:val="auto"/>
        <w:rPr>
          <w:rFonts w:hint="eastAsia" w:ascii="宋体" w:hAnsi="宋体" w:eastAsia="宋体" w:cs="宋体"/>
          <w:color w:val="000000" w:themeColor="text1"/>
          <w:spacing w:val="-1"/>
          <w:sz w:val="28"/>
          <w:szCs w:val="28"/>
          <w14:textFill>
            <w14:solidFill>
              <w14:schemeClr w14:val="tx1"/>
            </w14:solidFill>
          </w14:textFill>
        </w:rPr>
      </w:pPr>
      <w:r>
        <w:rPr>
          <w:rFonts w:hint="eastAsia" w:ascii="宋体" w:hAnsi="宋体" w:eastAsia="宋体" w:cs="宋体"/>
          <w:color w:val="000000" w:themeColor="text1"/>
          <w:spacing w:val="-1"/>
          <w:sz w:val="28"/>
          <w:szCs w:val="28"/>
          <w14:textFill>
            <w14:solidFill>
              <w14:schemeClr w14:val="tx1"/>
            </w14:solidFill>
          </w14:textFill>
        </w:rPr>
        <w:t>本项目观测重点是支架基础、场区道路、开关站等，结合工程实际采 用人工巡视检查方式，如未定期巡检、巡查不到位，则可能不能及时发现 山体、基础出现位移、沉降、裂缝、倾斜等问题，如不能及时处理整改， 会导致光伏支架倾倒、建筑物沉降、道路沉陷导致车辆事故等。</w:t>
      </w:r>
    </w:p>
    <w:p w14:paraId="1064D5E7">
      <w:pPr>
        <w:pStyle w:val="4"/>
        <w:pageBreakBefore w:val="0"/>
        <w:widowControl w:val="0"/>
        <w:kinsoku/>
        <w:wordWrap/>
        <w:overflowPunct/>
        <w:topLinePunct w:val="0"/>
        <w:autoSpaceDE/>
        <w:autoSpaceDN/>
        <w:bidi w:val="0"/>
        <w:spacing w:line="420" w:lineRule="exact"/>
        <w:textAlignment w:val="auto"/>
        <w:rPr>
          <w:rFonts w:hint="eastAsia"/>
          <w:color w:val="000000" w:themeColor="text1"/>
          <w:lang w:val="en-US" w:eastAsia="zh-CN"/>
          <w14:textFill>
            <w14:solidFill>
              <w14:schemeClr w14:val="tx1"/>
            </w14:solidFill>
          </w14:textFill>
        </w:rPr>
      </w:pPr>
      <w:bookmarkStart w:id="289" w:name="_Toc27808"/>
      <w:bookmarkStart w:id="290" w:name="_Toc9925"/>
      <w:r>
        <w:rPr>
          <w:rFonts w:hint="eastAsia" w:ascii="宋体" w:hAnsi="宋体" w:eastAsia="宋体" w:cs="宋体"/>
          <w:b/>
          <w:bCs w:val="0"/>
          <w:color w:val="000000" w:themeColor="text1"/>
          <w:sz w:val="30"/>
          <w:szCs w:val="30"/>
          <w:lang w:val="en-US" w:eastAsia="zh-CN"/>
          <w14:textFill>
            <w14:solidFill>
              <w14:schemeClr w14:val="tx1"/>
            </w14:solidFill>
          </w14:textFill>
        </w:rPr>
        <w:t>3.6.5场内道路危险有害因素分析</w:t>
      </w:r>
      <w:bookmarkEnd w:id="289"/>
      <w:bookmarkEnd w:id="290"/>
    </w:p>
    <w:p w14:paraId="42A6804C">
      <w:pPr>
        <w:keepNext w:val="0"/>
        <w:keepLines w:val="0"/>
        <w:pageBreakBefore w:val="0"/>
        <w:widowControl w:val="0"/>
        <w:kinsoku/>
        <w:wordWrap/>
        <w:overflowPunct/>
        <w:topLinePunct w:val="0"/>
        <w:autoSpaceDE/>
        <w:autoSpaceDN/>
        <w:bidi w:val="0"/>
        <w:adjustRightInd/>
        <w:spacing w:line="420" w:lineRule="exact"/>
        <w:ind w:firstLine="560" w:firstLineChars="200"/>
        <w:textAlignment w:val="auto"/>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进厂公路、场区道路，如开挖坡度高，地形较陡，地质情况复杂，局部自然地形起伏较大，边坡未进行支护，在暴晒、暴雨及长时间降雨后，形成水土流失、局部路面路基塌陷，临空面产生坍塌等危害。</w:t>
      </w:r>
    </w:p>
    <w:p w14:paraId="59118ACD">
      <w:pPr>
        <w:pStyle w:val="3"/>
        <w:pageBreakBefore w:val="0"/>
        <w:widowControl w:val="0"/>
        <w:tabs>
          <w:tab w:val="left" w:pos="0"/>
        </w:tabs>
        <w:kinsoku/>
        <w:wordWrap/>
        <w:overflowPunct/>
        <w:topLinePunct w:val="0"/>
        <w:autoSpaceDE/>
        <w:autoSpaceDN/>
        <w:bidi w:val="0"/>
        <w:spacing w:line="420" w:lineRule="exact"/>
        <w:textAlignment w:val="auto"/>
        <w:rPr>
          <w:rFonts w:hint="default"/>
          <w:color w:val="000000" w:themeColor="text1"/>
          <w:lang w:val="en-US" w:eastAsia="zh-CN"/>
          <w14:textFill>
            <w14:solidFill>
              <w14:schemeClr w14:val="tx1"/>
            </w14:solidFill>
          </w14:textFill>
        </w:rPr>
      </w:pPr>
      <w:bookmarkStart w:id="291" w:name="_Toc13879"/>
      <w:bookmarkStart w:id="292" w:name="_Toc9139"/>
      <w:bookmarkStart w:id="293" w:name="_Toc30239"/>
      <w:r>
        <w:rPr>
          <w:rFonts w:hint="eastAsia" w:ascii="宋体" w:hAnsi="宋体" w:eastAsia="宋体" w:cs="宋体"/>
          <w:color w:val="000000" w:themeColor="text1"/>
          <w:lang w:val="en-US" w:eastAsia="zh-CN"/>
          <w14:textFill>
            <w14:solidFill>
              <w14:schemeClr w14:val="tx1"/>
            </w14:solidFill>
          </w14:textFill>
        </w:rPr>
        <w:t>3.7主要设备危险有害因素辨识与分析</w:t>
      </w:r>
      <w:bookmarkEnd w:id="291"/>
      <w:bookmarkEnd w:id="292"/>
      <w:bookmarkEnd w:id="293"/>
    </w:p>
    <w:p w14:paraId="693F4378">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lang w:val="en-US" w:eastAsia="zh-CN"/>
          <w14:textFill>
            <w14:solidFill>
              <w14:schemeClr w14:val="tx1"/>
            </w14:solidFill>
          </w14:textFill>
        </w:rPr>
      </w:pPr>
      <w:bookmarkStart w:id="294" w:name="_Toc1817"/>
      <w:bookmarkStart w:id="295" w:name="_Toc20217"/>
      <w:r>
        <w:rPr>
          <w:rFonts w:hint="eastAsia" w:ascii="宋体" w:hAnsi="宋体" w:eastAsia="宋体" w:cs="宋体"/>
          <w:b/>
          <w:bCs w:val="0"/>
          <w:color w:val="000000" w:themeColor="text1"/>
          <w:sz w:val="30"/>
          <w:szCs w:val="30"/>
          <w:lang w:val="en-US" w:eastAsia="zh-CN"/>
          <w14:textFill>
            <w14:solidFill>
              <w14:schemeClr w14:val="tx1"/>
            </w14:solidFill>
          </w14:textFill>
        </w:rPr>
        <w:t>3.7.1光伏组件危险有害因素分析</w:t>
      </w:r>
      <w:bookmarkEnd w:id="294"/>
      <w:bookmarkEnd w:id="295"/>
    </w:p>
    <w:p w14:paraId="1DB85BAA">
      <w:pPr>
        <w:keepNext w:val="0"/>
        <w:keepLines w:val="0"/>
        <w:pageBreakBefore w:val="0"/>
        <w:widowControl w:val="0"/>
        <w:kinsoku/>
        <w:wordWrap/>
        <w:overflowPunct/>
        <w:topLinePunct w:val="0"/>
        <w:autoSpaceDE/>
        <w:autoSpaceDN/>
        <w:bidi w:val="0"/>
        <w:adjustRightInd/>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影响光伏组件的主要危险有害因素包括：设计缺陷、质量缺陷、腐蚀、电性能衰减、热斑等。具体分析如下：</w:t>
      </w:r>
    </w:p>
    <w:p w14:paraId="4955ACD9">
      <w:pPr>
        <w:keepNext w:val="0"/>
        <w:keepLines w:val="0"/>
        <w:pageBreakBefore w:val="0"/>
        <w:widowControl w:val="0"/>
        <w:kinsoku/>
        <w:wordWrap/>
        <w:overflowPunct/>
        <w:topLinePunct w:val="0"/>
        <w:autoSpaceDE/>
        <w:autoSpaceDN/>
        <w:bidi w:val="0"/>
        <w:adjustRightInd/>
        <w:spacing w:line="420" w:lineRule="exact"/>
        <w:ind w:firstLine="560" w:firstLineChars="200"/>
        <w:textAlignment w:val="auto"/>
        <w:rPr>
          <w:rFonts w:hint="default"/>
          <w:color w:val="000000" w:themeColor="text1"/>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光伏组件工作寿命达不到设计要求；无良好的封装和电绝缘性能；无足够的机械强度，运输和使用中发生的振动、冲击和热应力损坏；紫外辐照下的稳定性不好；因光伏组件组合引起的效率损失；可靠性不高；光伏组件封装不良好或封装材料与电池分离，不能满足防风、防尘、防潮、防腐蚀等导致电池失效；雷电、雨、雪、冰雹等恶劣气候对光伏组件的损害；结构上存在缺陷、产品质量、安全和保护系统不完善、安全系统设计缺陷、高原气候条件、安装和维护时存在缺陷等；如树叶、杂草等附着物或因附近物体的阴影在光伏组件上，产生热斑效应；如方阵的组串之间产生输出电压不平衡，输出电流分配发生变化，产生逆流；光伏组件上因灰尘、鸟粪等导致热斑效应，导致光伏组件发热，影响发电、损坏光伏组件；光伏组件场区如杂草、低矮灌木未及时修剪，一旦发生山火，则可能烧毁光伏组件；如光伏场区未设置防火隔离带等，可能在发生山火导致山火扩大和蔓延，损坏大面积光伏组件；光伏组件基础支架沉降，导致光伏组件损坏；光伏组件电性能衰减，光电参数未不定期或定期按照有关方法进行检测，发现问题未及时解除更换，导致影响发电效益，光伏组件发热损坏。</w:t>
      </w:r>
    </w:p>
    <w:p w14:paraId="2ED4A3CD">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lang w:val="en-US" w:eastAsia="zh-CN"/>
          <w14:textFill>
            <w14:solidFill>
              <w14:schemeClr w14:val="tx1"/>
            </w14:solidFill>
          </w14:textFill>
        </w:rPr>
      </w:pPr>
      <w:bookmarkStart w:id="296" w:name="_Toc1257"/>
      <w:bookmarkStart w:id="297" w:name="_Toc31154"/>
      <w:r>
        <w:rPr>
          <w:rFonts w:hint="eastAsia" w:ascii="宋体" w:hAnsi="宋体" w:eastAsia="宋体" w:cs="宋体"/>
          <w:b/>
          <w:bCs w:val="0"/>
          <w:color w:val="000000" w:themeColor="text1"/>
          <w:sz w:val="30"/>
          <w:szCs w:val="30"/>
          <w:lang w:val="en-US" w:eastAsia="zh-CN"/>
          <w14:textFill>
            <w14:solidFill>
              <w14:schemeClr w14:val="tx1"/>
            </w14:solidFill>
          </w14:textFill>
        </w:rPr>
        <w:t>3.7.2直流汇流箱危险有害因素分析</w:t>
      </w:r>
      <w:bookmarkEnd w:id="296"/>
      <w:bookmarkEnd w:id="297"/>
    </w:p>
    <w:p w14:paraId="3F2BC634">
      <w:pPr>
        <w:keepNext w:val="0"/>
        <w:keepLines w:val="0"/>
        <w:pageBreakBefore w:val="0"/>
        <w:widowControl w:val="0"/>
        <w:kinsoku/>
        <w:wordWrap/>
        <w:overflowPunct/>
        <w:topLinePunct w:val="0"/>
        <w:autoSpaceDE/>
        <w:autoSpaceDN/>
        <w:bidi w:val="0"/>
        <w:adjustRightInd/>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直流汇流箱出来电缆套管腐蚀，接线堵管空，虫子可能沿电缆进入直流汇流箱而影响通讯板，导致通讯板损坏；直流汇流箱潮湿、防水除湿措施未设置或损坏，导致湿度过大；直流汇流箱如接地设备不完善，可能因雷击而损坏。</w:t>
      </w:r>
    </w:p>
    <w:p w14:paraId="252F3831">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lang w:val="en-US" w:eastAsia="zh-CN"/>
          <w14:textFill>
            <w14:solidFill>
              <w14:schemeClr w14:val="tx1"/>
            </w14:solidFill>
          </w14:textFill>
        </w:rPr>
      </w:pPr>
      <w:bookmarkStart w:id="298" w:name="_Toc26522"/>
      <w:bookmarkStart w:id="299" w:name="_Toc8702"/>
      <w:r>
        <w:rPr>
          <w:rFonts w:hint="eastAsia" w:ascii="宋体" w:hAnsi="宋体" w:eastAsia="宋体" w:cs="宋体"/>
          <w:b/>
          <w:bCs w:val="0"/>
          <w:color w:val="000000" w:themeColor="text1"/>
          <w:sz w:val="30"/>
          <w:szCs w:val="30"/>
          <w:lang w:val="en-US" w:eastAsia="zh-CN"/>
          <w14:textFill>
            <w14:solidFill>
              <w14:schemeClr w14:val="tx1"/>
            </w14:solidFill>
          </w14:textFill>
        </w:rPr>
        <w:t>3.7.3逆变器危险有害因素分析</w:t>
      </w:r>
      <w:bookmarkEnd w:id="298"/>
      <w:bookmarkEnd w:id="299"/>
    </w:p>
    <w:p w14:paraId="0614435E">
      <w:pPr>
        <w:keepNext w:val="0"/>
        <w:keepLines w:val="0"/>
        <w:pageBreakBefore w:val="0"/>
        <w:widowControl w:val="0"/>
        <w:kinsoku/>
        <w:wordWrap/>
        <w:overflowPunct/>
        <w:topLinePunct w:val="0"/>
        <w:autoSpaceDE/>
        <w:autoSpaceDN/>
        <w:bidi w:val="0"/>
        <w:adjustRightInd/>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逆变器由将直流转变为交流电的逆变器和保护系统的并网保护装置构成。具有：转换效率高、启动快；安全性能好：产品具备短路、过载、过/欠电压、超温5种保护功能；物理性能良好：产品采用全铝质外壳，散热性能好，表面硬氧化处理，耐摩擦性能好，并可抗一定外力的挤压或碰击；带负载适应性与稳定性强的特点。</w:t>
      </w:r>
    </w:p>
    <w:p w14:paraId="6B62BE8A">
      <w:pPr>
        <w:keepNext w:val="0"/>
        <w:keepLines w:val="0"/>
        <w:pageBreakBefore w:val="0"/>
        <w:widowControl w:val="0"/>
        <w:kinsoku/>
        <w:wordWrap/>
        <w:overflowPunct/>
        <w:topLinePunct w:val="0"/>
        <w:autoSpaceDE/>
        <w:autoSpaceDN/>
        <w:bidi w:val="0"/>
        <w:adjustRightInd/>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逆变器连续使用后，壳体表面温度会上升到60℃，如逆变器附近有可燃物品则可能发生火灾；如通风条件不佳、室外温度过高等则会影响逆变器设备的正常使用，损坏设备。</w:t>
      </w:r>
    </w:p>
    <w:p w14:paraId="5764C764">
      <w:pPr>
        <w:keepNext w:val="0"/>
        <w:keepLines w:val="0"/>
        <w:pageBreakBefore w:val="0"/>
        <w:widowControl w:val="0"/>
        <w:kinsoku/>
        <w:wordWrap/>
        <w:overflowPunct/>
        <w:topLinePunct w:val="0"/>
        <w:autoSpaceDE/>
        <w:autoSpaceDN/>
        <w:bidi w:val="0"/>
        <w:adjustRightInd/>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逆变器箱设配电装置，通风状态需人工巡视，如巡视不到位则可能因通风设备损坏而导致逆变配电箱超温工作，性能下降损坏设备；逆变配电箱设置的通讯线路损坏时，通讯信号将中断，需考虑如何继续监视设备的措施。</w:t>
      </w:r>
    </w:p>
    <w:p w14:paraId="78F09ECF">
      <w:pPr>
        <w:keepNext w:val="0"/>
        <w:keepLines w:val="0"/>
        <w:pageBreakBefore w:val="0"/>
        <w:widowControl w:val="0"/>
        <w:kinsoku/>
        <w:wordWrap/>
        <w:overflowPunct/>
        <w:topLinePunct w:val="0"/>
        <w:autoSpaceDE/>
        <w:autoSpaceDN/>
        <w:bidi w:val="0"/>
        <w:adjustRightInd/>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逆变器存在的危险有害因素包括：</w:t>
      </w:r>
    </w:p>
    <w:p w14:paraId="6D0D40E8">
      <w:pPr>
        <w:keepNext w:val="0"/>
        <w:keepLines w:val="0"/>
        <w:pageBreakBefore w:val="0"/>
        <w:widowControl w:val="0"/>
        <w:numPr>
          <w:ilvl w:val="0"/>
          <w:numId w:val="18"/>
        </w:numPr>
        <w:kinsoku/>
        <w:wordWrap/>
        <w:overflowPunct/>
        <w:topLinePunct w:val="0"/>
        <w:autoSpaceDE/>
        <w:autoSpaceDN/>
        <w:bidi w:val="0"/>
        <w:adjustRightInd/>
        <w:spacing w:line="420" w:lineRule="exact"/>
        <w:ind w:left="0" w:leftChars="0"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逆变器发生故障，不能有效地取出受天气变化影响的光伏组件的输出功率，不能执行自动运行停止功能及最大功率跟踪控制功能，导致运行开始与停止不能正常控制或不能自动调节输出功率，影响输出功率。</w:t>
      </w:r>
    </w:p>
    <w:p w14:paraId="52CB6590">
      <w:pPr>
        <w:keepNext w:val="0"/>
        <w:keepLines w:val="0"/>
        <w:pageBreakBefore w:val="0"/>
        <w:widowControl w:val="0"/>
        <w:numPr>
          <w:ilvl w:val="0"/>
          <w:numId w:val="18"/>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逆变器发生故障，不能执行单独（孤岛）运行防止功能及自动电压调整功能，电站继续向已与配电网断开的电力线供电，给维护检测人员带来危害。</w:t>
      </w:r>
    </w:p>
    <w:p w14:paraId="6380A01F">
      <w:pPr>
        <w:keepNext w:val="0"/>
        <w:keepLines w:val="0"/>
        <w:pageBreakBefore w:val="0"/>
        <w:widowControl w:val="0"/>
        <w:numPr>
          <w:ilvl w:val="0"/>
          <w:numId w:val="18"/>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在光伏发电系统与系统连接进行逆潮流运行的场合，由于电能反相输送，受电点的电压升高，超出电网规定运行范围，逆变器自动电压调整功能失效，导致并网点电压上升影响电网及设备。</w:t>
      </w:r>
    </w:p>
    <w:p w14:paraId="125A870B">
      <w:pPr>
        <w:keepNext w:val="0"/>
        <w:keepLines w:val="0"/>
        <w:pageBreakBefore w:val="0"/>
        <w:widowControl w:val="0"/>
        <w:numPr>
          <w:ilvl w:val="0"/>
          <w:numId w:val="18"/>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运行过程中不能输出抑制谐波电流，对电网造成不利影响。</w:t>
      </w:r>
    </w:p>
    <w:p w14:paraId="65C0C7D6">
      <w:pPr>
        <w:keepNext w:val="0"/>
        <w:keepLines w:val="0"/>
        <w:pageBreakBefore w:val="0"/>
        <w:widowControl w:val="0"/>
        <w:numPr>
          <w:ilvl w:val="0"/>
          <w:numId w:val="18"/>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逆变器直流检测功能失效，位于功率调节器的输出直接与系统连接在一起，存在直流分量，对系统侧带来柱上变压器的磁饱和等严重的影响。</w:t>
      </w:r>
    </w:p>
    <w:p w14:paraId="63E8D2F8">
      <w:pPr>
        <w:keepNext w:val="0"/>
        <w:keepLines w:val="0"/>
        <w:pageBreakBefore w:val="0"/>
        <w:widowControl w:val="0"/>
        <w:numPr>
          <w:ilvl w:val="0"/>
          <w:numId w:val="18"/>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在无变压器方式的功率调节器中，因为光伏组件和系统侧没有绝缘，如果光伏组件一接地，接地电流中叠加有直流充分，用普通的漏电断路器不能进行保护，加之逆变器直流接地检测失效，光伏组件和系统侧失去检测保护装置。</w:t>
      </w:r>
    </w:p>
    <w:p w14:paraId="67CA4C8A">
      <w:pPr>
        <w:keepNext w:val="0"/>
        <w:keepLines w:val="0"/>
        <w:pageBreakBefore w:val="0"/>
        <w:widowControl w:val="0"/>
        <w:numPr>
          <w:ilvl w:val="0"/>
          <w:numId w:val="18"/>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与系统并网运行的光伏发电系统，在系统侧和逆变器侧发生异常时，一旦检测到异常，不能迅速停止逆变器，不能确保系统侧安全。</w:t>
      </w:r>
    </w:p>
    <w:p w14:paraId="0ED6377C">
      <w:pPr>
        <w:keepNext w:val="0"/>
        <w:keepLines w:val="0"/>
        <w:pageBreakBefore w:val="0"/>
        <w:widowControl w:val="0"/>
        <w:numPr>
          <w:ilvl w:val="0"/>
          <w:numId w:val="18"/>
        </w:numPr>
        <w:kinsoku/>
        <w:wordWrap/>
        <w:overflowPunct/>
        <w:topLinePunct w:val="0"/>
        <w:autoSpaceDE/>
        <w:autoSpaceDN/>
        <w:bidi w:val="0"/>
        <w:adjustRightInd/>
        <w:spacing w:line="420" w:lineRule="exact"/>
        <w:ind w:left="0" w:leftChars="0"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逆变配电箱自然通风条件不良或机械通风失效，逆变器发热量高，室内温度过高，造成设备损坏，严重时引发火灾。</w:t>
      </w:r>
    </w:p>
    <w:p w14:paraId="10EF7982">
      <w:pPr>
        <w:pStyle w:val="4"/>
        <w:pageBreakBefore w:val="0"/>
        <w:widowControl w:val="0"/>
        <w:kinsoku/>
        <w:wordWrap/>
        <w:overflowPunct/>
        <w:topLinePunct w:val="0"/>
        <w:autoSpaceDE/>
        <w:autoSpaceDN/>
        <w:bidi w:val="0"/>
        <w:spacing w:line="420" w:lineRule="exact"/>
        <w:textAlignment w:val="auto"/>
        <w:rPr>
          <w:rFonts w:hint="default"/>
          <w:color w:val="000000" w:themeColor="text1"/>
          <w:lang w:val="en-US" w:eastAsia="zh-CN"/>
          <w14:textFill>
            <w14:solidFill>
              <w14:schemeClr w14:val="tx1"/>
            </w14:solidFill>
          </w14:textFill>
        </w:rPr>
      </w:pPr>
      <w:bookmarkStart w:id="300" w:name="_Toc11383"/>
      <w:bookmarkStart w:id="301" w:name="_Toc7041"/>
      <w:r>
        <w:rPr>
          <w:rFonts w:hint="eastAsia" w:ascii="宋体" w:hAnsi="宋体" w:eastAsia="宋体" w:cs="宋体"/>
          <w:b/>
          <w:bCs w:val="0"/>
          <w:color w:val="000000" w:themeColor="text1"/>
          <w:sz w:val="30"/>
          <w:szCs w:val="30"/>
          <w:lang w:val="en-US" w:eastAsia="zh-CN"/>
          <w14:textFill>
            <w14:solidFill>
              <w14:schemeClr w14:val="tx1"/>
            </w14:solidFill>
          </w14:textFill>
        </w:rPr>
        <w:t>3.7.4集电线路危险有害因素分析</w:t>
      </w:r>
      <w:bookmarkEnd w:id="300"/>
      <w:bookmarkEnd w:id="301"/>
    </w:p>
    <w:p w14:paraId="6AEFE692">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如果电缆制造时存在隐患、电缆运行过负荷、过热等原因使电缆老化，绝缘强度降低等原因引起电缆相间或相对地击穿短路；过电压使电缆击穿短路。安装不当、电缆敷设时曲率半径过小，致使绝缘损坏。这些故障均可引发电缆系统着火。同时，电缆系统还存在以下危险因素：</w:t>
      </w:r>
    </w:p>
    <w:p w14:paraId="2AEE73E0">
      <w:pPr>
        <w:keepNext w:val="0"/>
        <w:keepLines w:val="0"/>
        <w:pageBreakBefore w:val="0"/>
        <w:widowControl w:val="0"/>
        <w:numPr>
          <w:ilvl w:val="0"/>
          <w:numId w:val="19"/>
        </w:numPr>
        <w:kinsoku/>
        <w:wordWrap/>
        <w:overflowPunct/>
        <w:topLinePunct w:val="0"/>
        <w:autoSpaceDE/>
        <w:autoSpaceDN/>
        <w:bidi w:val="0"/>
        <w:spacing w:line="420" w:lineRule="exact"/>
        <w:ind w:left="0" w:leftChars="0"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如电缆沟进水、进入小动物及其它原因，使绝缘强度降低，绝缘层击穿短路，绝缘层和填料燃烧起火。</w:t>
      </w:r>
    </w:p>
    <w:p w14:paraId="6D8CA35D">
      <w:pPr>
        <w:keepNext w:val="0"/>
        <w:keepLines w:val="0"/>
        <w:pageBreakBefore w:val="0"/>
        <w:widowControl w:val="0"/>
        <w:numPr>
          <w:ilvl w:val="0"/>
          <w:numId w:val="19"/>
        </w:numPr>
        <w:kinsoku/>
        <w:wordWrap/>
        <w:overflowPunct/>
        <w:topLinePunct w:val="0"/>
        <w:autoSpaceDE/>
        <w:autoSpaceDN/>
        <w:bidi w:val="0"/>
        <w:spacing w:line="420" w:lineRule="exact"/>
        <w:ind w:left="0" w:leftChars="0"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电缆的终端头和中间接头是电缆绝缘的薄弱环节。电缆因接头盒密封不良，水、湿气进入或灌注的绝缘剂不符合要求，内部留有气孔，均可使绝缘强度降低，导致穿击短路。</w:t>
      </w:r>
    </w:p>
    <w:p w14:paraId="5CEFDDBC">
      <w:pPr>
        <w:keepNext w:val="0"/>
        <w:keepLines w:val="0"/>
        <w:pageBreakBefore w:val="0"/>
        <w:widowControl w:val="0"/>
        <w:numPr>
          <w:ilvl w:val="0"/>
          <w:numId w:val="19"/>
        </w:numPr>
        <w:kinsoku/>
        <w:wordWrap/>
        <w:overflowPunct/>
        <w:topLinePunct w:val="0"/>
        <w:autoSpaceDE/>
        <w:autoSpaceDN/>
        <w:bidi w:val="0"/>
        <w:spacing w:line="420" w:lineRule="exact"/>
        <w:ind w:left="0" w:leftChars="0"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电缆的管理、维护、检查、定期测温、定期预防性试验及消除缺陷、反事故措施、技术培训不严；对电缆未采取隔离防火、阻燃措施；施工、检修、运行未严格遵守质量标准；对易引起电缆着火的场所没有设置火灾自动报警和灭火装置。</w:t>
      </w:r>
    </w:p>
    <w:p w14:paraId="25D3E564">
      <w:pPr>
        <w:keepNext w:val="0"/>
        <w:keepLines w:val="0"/>
        <w:pageBreakBefore w:val="0"/>
        <w:widowControl w:val="0"/>
        <w:numPr>
          <w:ilvl w:val="0"/>
          <w:numId w:val="19"/>
        </w:numPr>
        <w:kinsoku/>
        <w:wordWrap/>
        <w:overflowPunct/>
        <w:topLinePunct w:val="0"/>
        <w:autoSpaceDE/>
        <w:autoSpaceDN/>
        <w:bidi w:val="0"/>
        <w:spacing w:line="420" w:lineRule="exact"/>
        <w:ind w:left="0" w:leftChars="0"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老鼠等小动物对电缆的损坏，导致电缆绝缘损坏，线路接地等故障等，影响电缆供电。</w:t>
      </w:r>
    </w:p>
    <w:p w14:paraId="27F7C45D">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lang w:val="en-US" w:eastAsia="zh-CN"/>
          <w14:textFill>
            <w14:solidFill>
              <w14:schemeClr w14:val="tx1"/>
            </w14:solidFill>
          </w14:textFill>
        </w:rPr>
      </w:pPr>
      <w:bookmarkStart w:id="302" w:name="_Toc21268"/>
      <w:bookmarkStart w:id="303" w:name="_Toc21602"/>
      <w:r>
        <w:rPr>
          <w:rFonts w:hint="eastAsia" w:ascii="宋体" w:hAnsi="宋体" w:eastAsia="宋体" w:cs="宋体"/>
          <w:b/>
          <w:bCs w:val="0"/>
          <w:color w:val="000000" w:themeColor="text1"/>
          <w:sz w:val="30"/>
          <w:szCs w:val="30"/>
          <w:lang w:val="en-US" w:eastAsia="zh-CN"/>
          <w14:textFill>
            <w14:solidFill>
              <w14:schemeClr w14:val="tx1"/>
            </w14:solidFill>
          </w14:textFill>
        </w:rPr>
        <w:t>3.7.5油浸式变压器危险有害因素分析</w:t>
      </w:r>
      <w:bookmarkEnd w:id="302"/>
      <w:bookmarkEnd w:id="303"/>
    </w:p>
    <w:p w14:paraId="0FBDD83D">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变压器如保护缺陷或保护故障则可能发生主变因过电流、过电压、绝缘受损、局部放电、绕组损坏等原因导致变压器不能正常运行；变压器受潮后，绝缘强度下降，可能发生绝缘击穿事故；变压器进入小动物，易引起电缆</w:t>
      </w:r>
      <w:r>
        <w:rPr>
          <w:rFonts w:hint="eastAsia"/>
          <w:color w:val="000000" w:themeColor="text1"/>
          <w:sz w:val="28"/>
          <w:szCs w:val="28"/>
          <w:lang w:val="en-US" w:eastAsia="zh-CN"/>
          <w14:textFill>
            <w14:solidFill>
              <w14:schemeClr w14:val="tx1"/>
            </w14:solidFill>
          </w14:textFill>
        </w:rPr>
        <w:t>绝缘能力降低</w:t>
      </w:r>
      <w:r>
        <w:rPr>
          <w:rFonts w:hint="default"/>
          <w:color w:val="000000" w:themeColor="text1"/>
          <w:sz w:val="28"/>
          <w:szCs w:val="28"/>
          <w:lang w:val="en-US" w:eastAsia="zh-CN"/>
          <w14:textFill>
            <w14:solidFill>
              <w14:schemeClr w14:val="tx1"/>
            </w14:solidFill>
          </w14:textFill>
        </w:rPr>
        <w:t>和电缆短路事故；变压器为油浸式变压器，存在火灾、爆炸危险。</w:t>
      </w:r>
    </w:p>
    <w:p w14:paraId="0C1B6688">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lang w:val="en-US" w:eastAsia="zh-CN"/>
          <w14:textFill>
            <w14:solidFill>
              <w14:schemeClr w14:val="tx1"/>
            </w14:solidFill>
          </w14:textFill>
        </w:rPr>
      </w:pPr>
      <w:bookmarkStart w:id="304" w:name="_Toc12915"/>
      <w:bookmarkStart w:id="305" w:name="_Toc23759"/>
      <w:r>
        <w:rPr>
          <w:rFonts w:hint="eastAsia" w:ascii="宋体" w:hAnsi="宋体" w:eastAsia="宋体" w:cs="宋体"/>
          <w:b/>
          <w:bCs w:val="0"/>
          <w:color w:val="000000" w:themeColor="text1"/>
          <w:sz w:val="30"/>
          <w:szCs w:val="30"/>
          <w:lang w:val="en-US" w:eastAsia="zh-CN"/>
          <w14:textFill>
            <w14:solidFill>
              <w14:schemeClr w14:val="tx1"/>
            </w14:solidFill>
          </w14:textFill>
        </w:rPr>
        <w:t>3.7.6配电装置危险有害因素分析</w:t>
      </w:r>
      <w:bookmarkEnd w:id="304"/>
      <w:bookmarkEnd w:id="305"/>
    </w:p>
    <w:p w14:paraId="16402618">
      <w:pPr>
        <w:keepNext w:val="0"/>
        <w:keepLines w:val="0"/>
        <w:pageBreakBefore w:val="0"/>
        <w:widowControl w:val="0"/>
        <w:kinsoku/>
        <w:wordWrap/>
        <w:overflowPunct/>
        <w:topLinePunct w:val="0"/>
        <w:autoSpaceDE/>
        <w:autoSpaceDN/>
        <w:bidi w:val="0"/>
        <w:adjustRightInd/>
        <w:snapToGrid/>
        <w:spacing w:line="420" w:lineRule="exact"/>
        <w:ind w:left="0" w:right="0" w:firstLine="544" w:firstLineChars="200"/>
        <w:textAlignment w:val="auto"/>
        <w:rPr>
          <w:rFonts w:ascii="宋体" w:hAnsi="宋体" w:eastAsia="宋体" w:cs="宋体"/>
          <w:color w:val="000000" w:themeColor="text1"/>
          <w:spacing w:val="-4"/>
          <w:sz w:val="28"/>
          <w:szCs w:val="28"/>
          <w14:textFill>
            <w14:solidFill>
              <w14:schemeClr w14:val="tx1"/>
            </w14:solidFill>
          </w14:textFill>
        </w:rPr>
      </w:pPr>
      <w:r>
        <w:rPr>
          <w:rFonts w:ascii="宋体" w:hAnsi="宋体" w:eastAsia="宋体" w:cs="宋体"/>
          <w:color w:val="000000" w:themeColor="text1"/>
          <w:spacing w:val="-4"/>
          <w:sz w:val="28"/>
          <w:szCs w:val="28"/>
          <w14:textFill>
            <w14:solidFill>
              <w14:schemeClr w14:val="tx1"/>
            </w14:solidFill>
          </w14:textFill>
        </w:rPr>
        <w:t>配电装置的危险、有害因素包括：触电、电弧灼伤、火灾爆炸等。</w:t>
      </w:r>
    </w:p>
    <w:p w14:paraId="25680162">
      <w:pPr>
        <w:keepNext w:val="0"/>
        <w:keepLines w:val="0"/>
        <w:pageBreakBefore w:val="0"/>
        <w:widowControl w:val="0"/>
        <w:kinsoku/>
        <w:wordWrap/>
        <w:overflowPunct/>
        <w:topLinePunct w:val="0"/>
        <w:autoSpaceDE/>
        <w:autoSpaceDN/>
        <w:bidi w:val="0"/>
        <w:adjustRightInd/>
        <w:snapToGrid/>
        <w:spacing w:line="420" w:lineRule="exact"/>
        <w:ind w:left="0" w:leftChars="0" w:right="0" w:firstLine="0" w:firstLineChars="0"/>
        <w:textAlignment w:val="auto"/>
        <w:rPr>
          <w:rFonts w:ascii="宋体" w:hAnsi="宋体" w:eastAsia="宋体" w:cs="宋体"/>
          <w:color w:val="000000" w:themeColor="text1"/>
          <w:sz w:val="28"/>
          <w:szCs w:val="28"/>
          <w14:textFill>
            <w14:solidFill>
              <w14:schemeClr w14:val="tx1"/>
            </w14:solidFill>
          </w14:textFill>
        </w:rPr>
      </w:pPr>
      <w:r>
        <w:rPr>
          <w:rFonts w:ascii="宋体" w:hAnsi="宋体" w:eastAsia="宋体" w:cs="宋体"/>
          <w:color w:val="000000" w:themeColor="text1"/>
          <w:spacing w:val="-11"/>
          <w:sz w:val="28"/>
          <w:szCs w:val="28"/>
          <w14:textFill>
            <w14:solidFill>
              <w14:schemeClr w14:val="tx1"/>
            </w14:solidFill>
          </w14:textFill>
        </w:rPr>
        <w:t>主要引发原因分析：</w:t>
      </w:r>
    </w:p>
    <w:p w14:paraId="2F348C26">
      <w:pPr>
        <w:keepNext w:val="0"/>
        <w:keepLines w:val="0"/>
        <w:pageBreakBefore w:val="0"/>
        <w:widowControl w:val="0"/>
        <w:kinsoku/>
        <w:wordWrap/>
        <w:overflowPunct/>
        <w:topLinePunct w:val="0"/>
        <w:autoSpaceDE/>
        <w:autoSpaceDN/>
        <w:bidi w:val="0"/>
        <w:adjustRightInd/>
        <w:snapToGrid/>
        <w:spacing w:line="420" w:lineRule="exact"/>
        <w:ind w:right="0" w:firstLine="564" w:firstLineChars="200"/>
        <w:textAlignment w:val="auto"/>
        <w:rPr>
          <w:rFonts w:ascii="宋体" w:hAnsi="宋体" w:eastAsia="宋体" w:cs="宋体"/>
          <w:color w:val="000000" w:themeColor="text1"/>
          <w:sz w:val="28"/>
          <w:szCs w:val="28"/>
          <w14:textFill>
            <w14:solidFill>
              <w14:schemeClr w14:val="tx1"/>
            </w14:solidFill>
          </w14:textFill>
        </w:rPr>
      </w:pPr>
      <w:r>
        <w:rPr>
          <w:rFonts w:ascii="宋体" w:hAnsi="宋体" w:eastAsia="宋体" w:cs="宋体"/>
          <w:color w:val="000000" w:themeColor="text1"/>
          <w:spacing w:val="1"/>
          <w:sz w:val="28"/>
          <w:szCs w:val="28"/>
          <w14:textFill>
            <w14:solidFill>
              <w14:schemeClr w14:val="tx1"/>
            </w14:solidFill>
          </w14:textFill>
        </w:rPr>
        <w:t>(1)检修工艺不良，操作机构调整不当、部件失灵，合闸接触不良；</w:t>
      </w:r>
      <w:r>
        <w:rPr>
          <w:rFonts w:ascii="宋体" w:hAnsi="宋体" w:eastAsia="宋体" w:cs="宋体"/>
          <w:color w:val="000000" w:themeColor="text1"/>
          <w:spacing w:val="6"/>
          <w:sz w:val="28"/>
          <w:szCs w:val="28"/>
          <w14:textFill>
            <w14:solidFill>
              <w14:schemeClr w14:val="tx1"/>
            </w14:solidFill>
          </w14:textFill>
        </w:rPr>
        <w:t>断路器失灵，操作机构卡涩，跳(合)闸线圈烧毁等，</w:t>
      </w:r>
      <w:r>
        <w:rPr>
          <w:rFonts w:ascii="宋体" w:hAnsi="宋体" w:eastAsia="宋体" w:cs="宋体"/>
          <w:color w:val="000000" w:themeColor="text1"/>
          <w:spacing w:val="5"/>
          <w:sz w:val="28"/>
          <w:szCs w:val="28"/>
          <w14:textFill>
            <w14:solidFill>
              <w14:schemeClr w14:val="tx1"/>
            </w14:solidFill>
          </w14:textFill>
        </w:rPr>
        <w:t>引起拒分或误动。</w:t>
      </w:r>
    </w:p>
    <w:p w14:paraId="749479A6">
      <w:pPr>
        <w:keepNext w:val="0"/>
        <w:keepLines w:val="0"/>
        <w:pageBreakBefore w:val="0"/>
        <w:widowControl w:val="0"/>
        <w:kinsoku/>
        <w:wordWrap/>
        <w:overflowPunct/>
        <w:topLinePunct w:val="0"/>
        <w:autoSpaceDE/>
        <w:autoSpaceDN/>
        <w:bidi w:val="0"/>
        <w:adjustRightInd/>
        <w:snapToGrid/>
        <w:spacing w:line="420" w:lineRule="exact"/>
        <w:ind w:right="0" w:firstLine="568" w:firstLineChars="200"/>
        <w:textAlignment w:val="auto"/>
        <w:rPr>
          <w:rFonts w:ascii="宋体" w:hAnsi="宋体" w:eastAsia="宋体" w:cs="宋体"/>
          <w:color w:val="000000" w:themeColor="text1"/>
          <w:sz w:val="28"/>
          <w:szCs w:val="28"/>
          <w14:textFill>
            <w14:solidFill>
              <w14:schemeClr w14:val="tx1"/>
            </w14:solidFill>
          </w14:textFill>
        </w:rPr>
      </w:pPr>
      <w:r>
        <w:rPr>
          <w:rFonts w:ascii="宋体" w:hAnsi="宋体" w:eastAsia="宋体" w:cs="宋体"/>
          <w:color w:val="000000" w:themeColor="text1"/>
          <w:spacing w:val="2"/>
          <w:sz w:val="28"/>
          <w:szCs w:val="28"/>
          <w14:textFill>
            <w14:solidFill>
              <w14:schemeClr w14:val="tx1"/>
            </w14:solidFill>
          </w14:textFill>
        </w:rPr>
        <w:t>(2)小动物、金属杂物跨接或单相接地，引起闪弧、</w:t>
      </w:r>
      <w:r>
        <w:rPr>
          <w:rFonts w:ascii="宋体" w:hAnsi="宋体" w:eastAsia="宋体" w:cs="宋体"/>
          <w:color w:val="000000" w:themeColor="text1"/>
          <w:spacing w:val="1"/>
          <w:sz w:val="28"/>
          <w:szCs w:val="28"/>
          <w14:textFill>
            <w14:solidFill>
              <w14:schemeClr w14:val="tx1"/>
            </w14:solidFill>
          </w14:textFill>
        </w:rPr>
        <w:t>过电压、相问短</w:t>
      </w:r>
      <w:r>
        <w:rPr>
          <w:rFonts w:ascii="宋体" w:hAnsi="宋体" w:eastAsia="宋体" w:cs="宋体"/>
          <w:color w:val="000000" w:themeColor="text1"/>
          <w:sz w:val="28"/>
          <w:szCs w:val="28"/>
          <w14:textFill>
            <w14:solidFill>
              <w14:schemeClr w14:val="tx1"/>
            </w14:solidFill>
          </w14:textFill>
        </w:rPr>
        <w:t xml:space="preserve"> </w:t>
      </w:r>
      <w:r>
        <w:rPr>
          <w:rFonts w:ascii="宋体" w:hAnsi="宋体" w:eastAsia="宋体" w:cs="宋体"/>
          <w:color w:val="000000" w:themeColor="text1"/>
          <w:spacing w:val="-6"/>
          <w:sz w:val="28"/>
          <w:szCs w:val="28"/>
          <w14:textFill>
            <w14:solidFill>
              <w14:schemeClr w14:val="tx1"/>
            </w14:solidFill>
          </w14:textFill>
        </w:rPr>
        <w:t>路，使断路器爆炸。</w:t>
      </w:r>
    </w:p>
    <w:p w14:paraId="63815880">
      <w:pPr>
        <w:keepNext w:val="0"/>
        <w:keepLines w:val="0"/>
        <w:pageBreakBefore w:val="0"/>
        <w:widowControl w:val="0"/>
        <w:kinsoku/>
        <w:wordWrap/>
        <w:overflowPunct/>
        <w:topLinePunct w:val="0"/>
        <w:autoSpaceDE/>
        <w:autoSpaceDN/>
        <w:bidi w:val="0"/>
        <w:adjustRightInd/>
        <w:snapToGrid/>
        <w:spacing w:line="420" w:lineRule="exact"/>
        <w:ind w:right="0" w:firstLine="564" w:firstLineChars="200"/>
        <w:jc w:val="both"/>
        <w:textAlignment w:val="auto"/>
        <w:rPr>
          <w:rFonts w:ascii="宋体" w:hAnsi="宋体" w:eastAsia="宋体" w:cs="宋体"/>
          <w:color w:val="000000" w:themeColor="text1"/>
          <w:sz w:val="28"/>
          <w:szCs w:val="28"/>
          <w14:textFill>
            <w14:solidFill>
              <w14:schemeClr w14:val="tx1"/>
            </w14:solidFill>
          </w14:textFill>
        </w:rPr>
      </w:pPr>
      <w:r>
        <w:rPr>
          <w:rFonts w:ascii="宋体" w:hAnsi="宋体" w:eastAsia="宋体" w:cs="宋体"/>
          <w:color w:val="000000" w:themeColor="text1"/>
          <w:spacing w:val="1"/>
          <w:sz w:val="28"/>
          <w:szCs w:val="28"/>
          <w14:textFill>
            <w14:solidFill>
              <w14:schemeClr w14:val="tx1"/>
            </w14:solidFill>
          </w14:textFill>
        </w:rPr>
        <w:t>(3)产生感应电压的电气设备外壳和构架导致电气及人员安全伤害。</w:t>
      </w:r>
    </w:p>
    <w:p w14:paraId="30100EA0">
      <w:pPr>
        <w:keepNext w:val="0"/>
        <w:keepLines w:val="0"/>
        <w:pageBreakBefore w:val="0"/>
        <w:widowControl w:val="0"/>
        <w:kinsoku/>
        <w:wordWrap/>
        <w:overflowPunct/>
        <w:topLinePunct w:val="0"/>
        <w:autoSpaceDE/>
        <w:autoSpaceDN/>
        <w:bidi w:val="0"/>
        <w:adjustRightInd/>
        <w:snapToGrid/>
        <w:spacing w:line="420" w:lineRule="exact"/>
        <w:ind w:right="0" w:firstLine="568" w:firstLineChars="200"/>
        <w:textAlignment w:val="auto"/>
        <w:rPr>
          <w:rFonts w:ascii="宋体" w:hAnsi="宋体" w:eastAsia="宋体" w:cs="宋体"/>
          <w:color w:val="000000" w:themeColor="text1"/>
          <w:sz w:val="28"/>
          <w:szCs w:val="28"/>
          <w14:textFill>
            <w14:solidFill>
              <w14:schemeClr w14:val="tx1"/>
            </w14:solidFill>
          </w14:textFill>
        </w:rPr>
      </w:pPr>
      <w:r>
        <w:rPr>
          <w:rFonts w:ascii="宋体" w:hAnsi="宋体" w:eastAsia="宋体" w:cs="宋体"/>
          <w:color w:val="000000" w:themeColor="text1"/>
          <w:spacing w:val="2"/>
          <w:sz w:val="28"/>
          <w:szCs w:val="28"/>
          <w14:textFill>
            <w14:solidFill>
              <w14:schemeClr w14:val="tx1"/>
            </w14:solidFill>
          </w14:textFill>
        </w:rPr>
        <w:t>(4)电气设备的外壳和钢构架在运行中的超标温升会导致</w:t>
      </w:r>
      <w:r>
        <w:rPr>
          <w:rFonts w:ascii="宋体" w:hAnsi="宋体" w:eastAsia="宋体" w:cs="宋体"/>
          <w:color w:val="000000" w:themeColor="text1"/>
          <w:spacing w:val="1"/>
          <w:sz w:val="28"/>
          <w:szCs w:val="28"/>
          <w14:textFill>
            <w14:solidFill>
              <w14:schemeClr w14:val="tx1"/>
            </w14:solidFill>
          </w14:textFill>
        </w:rPr>
        <w:t>人员人身伤</w:t>
      </w:r>
      <w:r>
        <w:rPr>
          <w:rFonts w:ascii="宋体" w:hAnsi="宋体" w:eastAsia="宋体" w:cs="宋体"/>
          <w:color w:val="000000" w:themeColor="text1"/>
          <w:spacing w:val="-9"/>
          <w:sz w:val="28"/>
          <w:szCs w:val="28"/>
          <w14:textFill>
            <w14:solidFill>
              <w14:schemeClr w14:val="tx1"/>
            </w14:solidFill>
          </w14:textFill>
        </w:rPr>
        <w:t>害。</w:t>
      </w:r>
    </w:p>
    <w:p w14:paraId="6EA84937">
      <w:pPr>
        <w:keepNext w:val="0"/>
        <w:keepLines w:val="0"/>
        <w:pageBreakBefore w:val="0"/>
        <w:widowControl w:val="0"/>
        <w:kinsoku/>
        <w:wordWrap/>
        <w:overflowPunct/>
        <w:topLinePunct w:val="0"/>
        <w:autoSpaceDE/>
        <w:autoSpaceDN/>
        <w:bidi w:val="0"/>
        <w:adjustRightInd/>
        <w:snapToGrid/>
        <w:spacing w:line="420" w:lineRule="exact"/>
        <w:ind w:right="0" w:firstLine="568" w:firstLineChars="200"/>
        <w:textAlignment w:val="auto"/>
        <w:rPr>
          <w:rFonts w:ascii="宋体" w:hAnsi="宋体" w:eastAsia="宋体" w:cs="宋体"/>
          <w:color w:val="000000" w:themeColor="text1"/>
          <w:sz w:val="28"/>
          <w:szCs w:val="28"/>
          <w14:textFill>
            <w14:solidFill>
              <w14:schemeClr w14:val="tx1"/>
            </w14:solidFill>
          </w14:textFill>
        </w:rPr>
      </w:pPr>
      <w:r>
        <w:rPr>
          <w:rFonts w:ascii="宋体" w:hAnsi="宋体" w:eastAsia="宋体" w:cs="宋体"/>
          <w:color w:val="000000" w:themeColor="text1"/>
          <w:spacing w:val="2"/>
          <w:sz w:val="28"/>
          <w:szCs w:val="28"/>
          <w14:textFill>
            <w14:solidFill>
              <w14:schemeClr w14:val="tx1"/>
            </w14:solidFill>
          </w14:textFill>
        </w:rPr>
        <w:t>(5)电气设备的外壳和钢构架在运行中的超标温升会导致</w:t>
      </w:r>
      <w:r>
        <w:rPr>
          <w:rFonts w:ascii="宋体" w:hAnsi="宋体" w:eastAsia="宋体" w:cs="宋体"/>
          <w:color w:val="000000" w:themeColor="text1"/>
          <w:spacing w:val="1"/>
          <w:sz w:val="28"/>
          <w:szCs w:val="28"/>
          <w14:textFill>
            <w14:solidFill>
              <w14:schemeClr w14:val="tx1"/>
            </w14:solidFill>
          </w14:textFill>
        </w:rPr>
        <w:t>人员人身伤</w:t>
      </w:r>
      <w:r>
        <w:rPr>
          <w:rFonts w:ascii="宋体" w:hAnsi="宋体" w:eastAsia="宋体" w:cs="宋体"/>
          <w:color w:val="000000" w:themeColor="text1"/>
          <w:spacing w:val="-9"/>
          <w:sz w:val="28"/>
          <w:szCs w:val="28"/>
          <w14:textFill>
            <w14:solidFill>
              <w14:schemeClr w14:val="tx1"/>
            </w14:solidFill>
          </w14:textFill>
        </w:rPr>
        <w:t>害。</w:t>
      </w:r>
    </w:p>
    <w:p w14:paraId="3F4F2EFF">
      <w:pPr>
        <w:keepNext w:val="0"/>
        <w:keepLines w:val="0"/>
        <w:pageBreakBefore w:val="0"/>
        <w:widowControl w:val="0"/>
        <w:kinsoku/>
        <w:wordWrap/>
        <w:overflowPunct/>
        <w:topLinePunct w:val="0"/>
        <w:autoSpaceDE/>
        <w:autoSpaceDN/>
        <w:bidi w:val="0"/>
        <w:adjustRightInd/>
        <w:snapToGrid/>
        <w:spacing w:line="420" w:lineRule="exact"/>
        <w:ind w:right="0" w:firstLine="564" w:firstLineChars="200"/>
        <w:textAlignment w:val="auto"/>
        <w:rPr>
          <w:rFonts w:ascii="宋体" w:hAnsi="宋体" w:eastAsia="宋体" w:cs="宋体"/>
          <w:color w:val="000000" w:themeColor="text1"/>
          <w:sz w:val="28"/>
          <w:szCs w:val="28"/>
          <w14:textFill>
            <w14:solidFill>
              <w14:schemeClr w14:val="tx1"/>
            </w14:solidFill>
          </w14:textFill>
        </w:rPr>
      </w:pPr>
      <w:r>
        <w:rPr>
          <w:rFonts w:ascii="宋体" w:hAnsi="宋体" w:eastAsia="宋体" w:cs="宋体"/>
          <w:color w:val="000000" w:themeColor="text1"/>
          <w:spacing w:val="1"/>
          <w:sz w:val="28"/>
          <w:szCs w:val="28"/>
          <w14:textFill>
            <w14:solidFill>
              <w14:schemeClr w14:val="tx1"/>
            </w14:solidFill>
          </w14:textFill>
        </w:rPr>
        <w:t>(6)设备或回路的误操作可能带来的人身触电或伤害事故。</w:t>
      </w:r>
    </w:p>
    <w:p w14:paraId="7017610B">
      <w:pPr>
        <w:keepNext w:val="0"/>
        <w:keepLines w:val="0"/>
        <w:pageBreakBefore w:val="0"/>
        <w:widowControl w:val="0"/>
        <w:kinsoku/>
        <w:wordWrap/>
        <w:overflowPunct/>
        <w:topLinePunct w:val="0"/>
        <w:autoSpaceDE/>
        <w:autoSpaceDN/>
        <w:bidi w:val="0"/>
        <w:adjustRightInd/>
        <w:snapToGrid/>
        <w:spacing w:line="420" w:lineRule="exact"/>
        <w:ind w:right="0" w:firstLine="568" w:firstLineChars="200"/>
        <w:textAlignment w:val="auto"/>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2"/>
          <w:sz w:val="28"/>
          <w:szCs w:val="28"/>
          <w14:textFill>
            <w14:solidFill>
              <w14:schemeClr w14:val="tx1"/>
            </w14:solidFill>
          </w14:textFill>
        </w:rPr>
        <w:t>(7)配也装置的电气安全净距不够，引发的触电事故。</w:t>
      </w:r>
      <w:r>
        <w:rPr>
          <w:rFonts w:ascii="宋体" w:hAnsi="宋体" w:eastAsia="宋体" w:cs="宋体"/>
          <w:color w:val="000000" w:themeColor="text1"/>
          <w:sz w:val="24"/>
          <w:szCs w:val="24"/>
          <w14:textFill>
            <w14:solidFill>
              <w14:schemeClr w14:val="tx1"/>
            </w14:solidFill>
          </w14:textFill>
        </w:rPr>
        <w:t xml:space="preserve"> </w:t>
      </w:r>
    </w:p>
    <w:p w14:paraId="16D12394">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lang w:val="en-US" w:eastAsia="zh-CN"/>
          <w14:textFill>
            <w14:solidFill>
              <w14:schemeClr w14:val="tx1"/>
            </w14:solidFill>
          </w14:textFill>
        </w:rPr>
      </w:pPr>
      <w:bookmarkStart w:id="306" w:name="_Toc28511"/>
      <w:bookmarkStart w:id="307" w:name="_Toc21332"/>
      <w:r>
        <w:rPr>
          <w:rFonts w:hint="eastAsia" w:ascii="宋体" w:hAnsi="宋体" w:eastAsia="宋体" w:cs="宋体"/>
          <w:b/>
          <w:bCs w:val="0"/>
          <w:color w:val="000000" w:themeColor="text1"/>
          <w:sz w:val="30"/>
          <w:szCs w:val="30"/>
          <w:lang w:val="en-US" w:eastAsia="zh-CN"/>
          <w14:textFill>
            <w14:solidFill>
              <w14:schemeClr w14:val="tx1"/>
            </w14:solidFill>
          </w14:textFill>
        </w:rPr>
        <w:t>3.7.7油浸式变压器危险有害因素分析</w:t>
      </w:r>
      <w:bookmarkEnd w:id="306"/>
      <w:bookmarkEnd w:id="307"/>
    </w:p>
    <w:p w14:paraId="46A8F6DA">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变压器如保护缺陷或保护故障则可能发生主变因过电流、过电压、绝 缘受损、局部放电、绕组损坏等原因导致变压器不能正常运行；变压器受 潮后，绝缘强度下降，可能发生绝缘击穿事故；变压器进入小动物，易引</w:t>
      </w:r>
      <w:r>
        <w:rPr>
          <w:rFonts w:hint="eastAsia" w:ascii="宋体" w:hAnsi="宋体" w:eastAsia="宋体" w:cs="宋体"/>
          <w:color w:val="000000" w:themeColor="text1"/>
          <w:sz w:val="28"/>
          <w:szCs w:val="28"/>
          <w:lang w:val="en-US" w:eastAsia="zh-CN"/>
          <w14:textFill>
            <w14:solidFill>
              <w14:schemeClr w14:val="tx1"/>
            </w14:solidFill>
          </w14:textFill>
        </w:rPr>
        <mc:AlternateContent>
          <mc:Choice Requires="wps">
            <w:drawing>
              <wp:anchor distT="0" distB="0" distL="114300" distR="114300" simplePos="0" relativeHeight="251661312" behindDoc="0" locked="0" layoutInCell="0" allowOverlap="1">
                <wp:simplePos x="0" y="0"/>
                <wp:positionH relativeFrom="page">
                  <wp:posOffset>1007745</wp:posOffset>
                </wp:positionH>
                <wp:positionV relativeFrom="page">
                  <wp:posOffset>897890</wp:posOffset>
                </wp:positionV>
                <wp:extent cx="5653405" cy="9525"/>
                <wp:effectExtent l="0" t="0" r="0" b="0"/>
                <wp:wrapNone/>
                <wp:docPr id="13" name="任意多边形 13"/>
                <wp:cNvGraphicFramePr/>
                <a:graphic xmlns:a="http://schemas.openxmlformats.org/drawingml/2006/main">
                  <a:graphicData uri="http://schemas.microsoft.com/office/word/2010/wordprocessingShape">
                    <wps:wsp>
                      <wps:cNvSpPr/>
                      <wps:spPr>
                        <a:xfrm>
                          <a:off x="0" y="0"/>
                          <a:ext cx="5653405" cy="9525"/>
                        </a:xfrm>
                        <a:custGeom>
                          <a:avLst/>
                          <a:gdLst/>
                          <a:ahLst/>
                          <a:cxnLst/>
                          <a:pathLst>
                            <a:path w="8902" h="15">
                              <a:moveTo>
                                <a:pt x="0" y="0"/>
                              </a:moveTo>
                              <a:lnTo>
                                <a:pt x="8902" y="0"/>
                              </a:lnTo>
                              <a:lnTo>
                                <a:pt x="8902" y="14"/>
                              </a:lnTo>
                              <a:lnTo>
                                <a:pt x="0" y="14"/>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9.35pt;margin-top:70.7pt;height:0.75pt;width:445.15pt;mso-position-horizontal-relative:page;mso-position-vertical-relative:page;z-index:251661312;mso-width-relative:page;mso-height-relative:page;" fillcolor="#000000" filled="t" stroked="f" coordsize="8902,15" o:allowincell="f" o:gfxdata="UEsDBAoAAAAAAIdO4kAAAAAAAAAAAAAAAAAEAAAAZHJzL1BLAwQUAAAACACHTuJA0iOstdkAAAAM&#10;AQAADwAAAGRycy9kb3ducmV2LnhtbE2PQUvDQBCF74L/YRnBm92kJNqk2fQgCIIgtgpeJ7tjEprd&#10;DdltU/31Tk56mzfzePO9anexgzjTFHrvFKSrBAQ57U3vWgUf7093GxAhojM4eEcKvinArr6+qrA0&#10;fnZ7Oh9iKzjEhRIVdDGOpZRBd2QxrPxIjm9ffrIYWU6tNBPOHG4HuU6Se2mxd/yhw5EeO9LHw8kq&#10;0M+fbz9FbPJR6ryd93Pxgq9GqdubNNmCiHSJf2ZY8BkdamZq/MmZIAbW+eaBrTxkaQZicSRZwfWa&#10;ZbUuQNaV/F+i/gVQSwMEFAAAAAgAh07iQM1izeYUAgAAfQQAAA4AAABkcnMvZTJvRG9jLnhtbK1U&#10;zY7TMBC+I/EOlu80aXez2q2a7oFquSBYaZcHcB2nseQ/edymvXPnzhHxEmgFT8MiHoOxk7SlXHqg&#10;h3js+fLNfJ8nnd1utSIb4UFaU9LxKKdEGG4raVYl/fB49+qaEgjMVExZI0q6E0Bv5y9fzFo3FRPb&#10;WFUJT5DEwLR1JW1CcNMsA94IzWBknTCYrK3XLODWr7LKsxbZtcomeX6VtdZXzlsuAPB00SVpz+jP&#10;IbR1LblYWL7WwoSO1QvFAkqCRjqg89RtXQse3tc1iEBUSVFpSE8sgvEyPrP5jE1XnrlG8r4Fdk4L&#10;J5o0kwaL7qkWLDCy9vIfKi25t2DrMOJWZ52Q5AiqGOcn3jw0zImkBa0Gtzcd/h8tf7e590RWOAkX&#10;lBim8cZ/Pj39+vjp+evn3z++PX//QjCDNrUOpoh+cPe+3wGGUfO29jquqIZsk7W7vbViGwjHw+Kq&#10;uLjMC0o45m6KSREps8O7fA3hjbCJh23eQuguphoi1gwR35ohdCzE41g7hqQt6fVNPqGkQTlFug9t&#10;N+LRJkQ4aQ6rH7LKHKM6lkEFAof0sLpEtoeNL3s5Q35YOxwOG3KdBUoTeVSQKwuisypKTJ7tZSPu&#10;2DewSlZ3UqkoF/xq+Vp5smFx8tOv7/EvmDIRbGx8rSsTT7J42d31xmhpqx1Oydp5uWrwExonppjB&#10;qUwt9V9QHPvjfWI6/GvM/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SI6y12QAAAAwBAAAPAAAA&#10;AAAAAAEAIAAAACIAAABkcnMvZG93bnJldi54bWxQSwECFAAUAAAACACHTuJAzWLN5hQCAAB9BAAA&#10;DgAAAAAAAAABACAAAAAoAQAAZHJzL2Uyb0RvYy54bWxQSwUGAAAAAAYABgBZAQAArgUAAAAA&#10;" path="m0,0l8902,0,8902,14,0,14,0,0xe">
                <v:fill on="t" focussize="0,0"/>
                <v:stroke on="f"/>
                <v:imagedata o:title=""/>
                <o:lock v:ext="edit" aspectratio="f"/>
              </v:shape>
            </w:pict>
          </mc:Fallback>
        </mc:AlternateContent>
      </w:r>
      <w:r>
        <w:rPr>
          <w:rFonts w:hint="eastAsia" w:ascii="宋体" w:hAnsi="宋体" w:eastAsia="宋体" w:cs="宋体"/>
          <w:color w:val="000000" w:themeColor="text1"/>
          <w:sz w:val="28"/>
          <w:szCs w:val="28"/>
          <w:lang w:val="en-US" w:eastAsia="zh-CN"/>
          <w14:textFill>
            <w14:solidFill>
              <w14:schemeClr w14:val="tx1"/>
            </w14:solidFill>
          </w14:textFill>
        </w:rPr>
        <w:t>起电缆绝缘能力降低和电缆短路事故；变压器为油浸式变压器，存在火灾、 爆炸危险。</w:t>
      </w:r>
    </w:p>
    <w:p w14:paraId="2B4B5C82">
      <w:pPr>
        <w:pStyle w:val="4"/>
        <w:pageBreakBefore w:val="0"/>
        <w:widowControl w:val="0"/>
        <w:kinsoku/>
        <w:wordWrap/>
        <w:overflowPunct/>
        <w:topLinePunct w:val="0"/>
        <w:autoSpaceDE/>
        <w:autoSpaceDN/>
        <w:bidi w:val="0"/>
        <w:spacing w:line="420" w:lineRule="exact"/>
        <w:textAlignment w:val="auto"/>
        <w:rPr>
          <w:rFonts w:hint="default"/>
          <w:color w:val="000000" w:themeColor="text1"/>
          <w:lang w:val="en-US" w:eastAsia="zh-CN"/>
          <w14:textFill>
            <w14:solidFill>
              <w14:schemeClr w14:val="tx1"/>
            </w14:solidFill>
          </w14:textFill>
        </w:rPr>
      </w:pPr>
      <w:bookmarkStart w:id="308" w:name="_Toc28441"/>
      <w:bookmarkStart w:id="309" w:name="_Toc32739"/>
      <w:r>
        <w:rPr>
          <w:rFonts w:hint="eastAsia" w:ascii="宋体" w:hAnsi="宋体" w:eastAsia="宋体" w:cs="宋体"/>
          <w:b/>
          <w:bCs w:val="0"/>
          <w:color w:val="000000" w:themeColor="text1"/>
          <w:sz w:val="30"/>
          <w:szCs w:val="30"/>
          <w:lang w:val="en-US" w:eastAsia="zh-CN"/>
          <w14:textFill>
            <w14:solidFill>
              <w14:schemeClr w14:val="tx1"/>
            </w14:solidFill>
          </w14:textFill>
        </w:rPr>
        <w:t>3.7.8电气接地网</w:t>
      </w:r>
      <w:bookmarkEnd w:id="308"/>
      <w:r>
        <w:rPr>
          <w:rFonts w:hint="eastAsia" w:ascii="宋体" w:hAnsi="宋体" w:eastAsia="宋体" w:cs="宋体"/>
          <w:b/>
          <w:bCs w:val="0"/>
          <w:color w:val="000000" w:themeColor="text1"/>
          <w:sz w:val="30"/>
          <w:szCs w:val="30"/>
          <w:lang w:val="en-US" w:eastAsia="zh-CN"/>
          <w14:textFill>
            <w14:solidFill>
              <w14:schemeClr w14:val="tx1"/>
            </w14:solidFill>
          </w14:textFill>
        </w:rPr>
        <w:t>危险有害因素分析</w:t>
      </w:r>
      <w:bookmarkEnd w:id="309"/>
    </w:p>
    <w:p w14:paraId="08D7D782">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接地网若发生故障，在遭受雷击时将产生严重的事故后果，比如人身伤害、保护系统失灵、设备严重损坏等，引起此项故障的原因有以下几个方面：</w:t>
      </w:r>
    </w:p>
    <w:p w14:paraId="39B8EF4F">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（1）接地电阻不合格；</w:t>
      </w:r>
    </w:p>
    <w:p w14:paraId="4C3BCF33">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（2）接地引下线腐蚀断裂；</w:t>
      </w:r>
    </w:p>
    <w:p w14:paraId="31626B80">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（3）接地引下线动、热稳定不满足要求；</w:t>
      </w:r>
    </w:p>
    <w:p w14:paraId="115FA7A9">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color w:val="000000" w:themeColor="text1"/>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（4）未按规定敷设铜质等电位接地网或连接方法不当，引发二次设备事故。</w:t>
      </w:r>
    </w:p>
    <w:p w14:paraId="1ED2690B">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lang w:val="en-US" w:eastAsia="zh-CN"/>
          <w14:textFill>
            <w14:solidFill>
              <w14:schemeClr w14:val="tx1"/>
            </w14:solidFill>
          </w14:textFill>
        </w:rPr>
      </w:pPr>
      <w:bookmarkStart w:id="310" w:name="_Toc3376"/>
      <w:bookmarkStart w:id="311" w:name="_Toc19286"/>
      <w:r>
        <w:rPr>
          <w:rFonts w:hint="eastAsia" w:ascii="宋体" w:hAnsi="宋体" w:eastAsia="宋体" w:cs="宋体"/>
          <w:b/>
          <w:bCs w:val="0"/>
          <w:color w:val="000000" w:themeColor="text1"/>
          <w:sz w:val="30"/>
          <w:szCs w:val="30"/>
          <w:lang w:val="en-US" w:eastAsia="zh-CN"/>
          <w14:textFill>
            <w14:solidFill>
              <w14:schemeClr w14:val="tx1"/>
            </w14:solidFill>
          </w14:textFill>
        </w:rPr>
        <w:t>3.7.9电缆分接箱</w:t>
      </w:r>
      <w:bookmarkEnd w:id="310"/>
      <w:r>
        <w:rPr>
          <w:rFonts w:hint="eastAsia" w:ascii="宋体" w:hAnsi="宋体" w:eastAsia="宋体" w:cs="宋体"/>
          <w:b/>
          <w:bCs w:val="0"/>
          <w:color w:val="000000" w:themeColor="text1"/>
          <w:sz w:val="30"/>
          <w:szCs w:val="30"/>
          <w:lang w:val="en-US" w:eastAsia="zh-CN"/>
          <w14:textFill>
            <w14:solidFill>
              <w14:schemeClr w14:val="tx1"/>
            </w14:solidFill>
          </w14:textFill>
        </w:rPr>
        <w:t>危险有害因素分析</w:t>
      </w:r>
      <w:bookmarkEnd w:id="311"/>
    </w:p>
    <w:p w14:paraId="004AB9F7">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color w:val="000000" w:themeColor="text1"/>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本项目场内35kV集电线路采用电缆直埋形式，在箱变与35kV集电线路之间设有电缆分接箱。电缆分接箱内的电缆头若材料和施工质量满足不了要求，则可能引发火灾，烧毁设备，造成财产损失。</w:t>
      </w:r>
    </w:p>
    <w:p w14:paraId="74CBD9B5">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lang w:val="en-US" w:eastAsia="zh-CN"/>
          <w14:textFill>
            <w14:solidFill>
              <w14:schemeClr w14:val="tx1"/>
            </w14:solidFill>
          </w14:textFill>
        </w:rPr>
      </w:pPr>
      <w:bookmarkStart w:id="312" w:name="_Toc17497"/>
      <w:bookmarkStart w:id="313" w:name="_Toc14731"/>
      <w:r>
        <w:rPr>
          <w:rFonts w:hint="eastAsia" w:ascii="宋体" w:hAnsi="宋体" w:eastAsia="宋体" w:cs="宋体"/>
          <w:b/>
          <w:bCs w:val="0"/>
          <w:color w:val="000000" w:themeColor="text1"/>
          <w:sz w:val="30"/>
          <w:szCs w:val="30"/>
          <w:lang w:val="en-US" w:eastAsia="zh-CN"/>
          <w14:textFill>
            <w14:solidFill>
              <w14:schemeClr w14:val="tx1"/>
            </w14:solidFill>
          </w14:textFill>
        </w:rPr>
        <w:t>3.7.10安全标志缺陷危害性分析</w:t>
      </w:r>
      <w:bookmarkEnd w:id="312"/>
      <w:bookmarkEnd w:id="313"/>
    </w:p>
    <w:p w14:paraId="31EF492A">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标志缺陷包含有无标志、标志不清晰、标志不规范、标志采用不当、标志位置不当和其他标志缺陷。</w:t>
      </w:r>
    </w:p>
    <w:p w14:paraId="689FA609">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color w:val="000000" w:themeColor="text1"/>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如存在标志缺陷，可能误导人员，引发人员伤害等事故。</w:t>
      </w:r>
    </w:p>
    <w:p w14:paraId="5E82506F">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lang w:val="en-US" w:eastAsia="zh-CN"/>
          <w14:textFill>
            <w14:solidFill>
              <w14:schemeClr w14:val="tx1"/>
            </w14:solidFill>
          </w14:textFill>
        </w:rPr>
      </w:pPr>
      <w:bookmarkStart w:id="314" w:name="_Toc29038"/>
      <w:r>
        <w:rPr>
          <w:rFonts w:hint="eastAsia" w:ascii="宋体" w:hAnsi="宋体" w:eastAsia="宋体" w:cs="宋体"/>
          <w:b/>
          <w:bCs w:val="0"/>
          <w:color w:val="000000" w:themeColor="text1"/>
          <w:sz w:val="30"/>
          <w:szCs w:val="30"/>
          <w:lang w:val="en-US" w:eastAsia="zh-CN"/>
          <w14:textFill>
            <w14:solidFill>
              <w14:schemeClr w14:val="tx1"/>
            </w14:solidFill>
          </w14:textFill>
        </w:rPr>
        <w:t>3.7.11并网安全性危险有害因素分析</w:t>
      </w:r>
      <w:bookmarkEnd w:id="314"/>
    </w:p>
    <w:p w14:paraId="67073793">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1．如果光伏组件质量不合格，给并网运行带来隐患。电力系统对电能质量的要求非常严格，要求电源运行性能达到相应的标准。如果不满足 电力系统对电能的质量要求，将会给电力系统带来很大问题。</w:t>
      </w:r>
    </w:p>
    <w:p w14:paraId="7BE16461">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2．光伏发电受太阳辐照度、环境温度、风速等多元气象因素影响的电源，其出力具有明显的波动性和间歇性。随着越来越多的光伏发电并网 运行，将给电力系统的功率平衡、安全稳定与经济运行带来巨大挑战。在光伏电站配置光功率预测系统能够提高电网接纳波动性间歇式电源的能力。光伏发电功率预测系统可向电网调度机构提供光伏电站准确的超短期 和短期发电功率预测曲线，不仅能够为电网的发电计划制定、调峰调频、潮流优化和安全控制等调度决策行为提供可靠依据，而且可为风、光、水、储的多能互补协调控制提供技术支撑，使电网最大限度地利用光伏发电资 源。如未设置光功率预测系统，影响电力系统接纳的能力，对运行计划安</w:t>
      </w:r>
      <w:r>
        <w:rPr>
          <w:rFonts w:hint="eastAsia" w:ascii="宋体" w:hAnsi="宋体" w:eastAsia="宋体" w:cs="宋体"/>
          <w:color w:val="000000" w:themeColor="text1"/>
          <w:sz w:val="28"/>
          <w:szCs w:val="28"/>
          <w:lang w:val="en-US" w:eastAsia="zh-CN"/>
          <w14:textFill>
            <w14:solidFill>
              <w14:schemeClr w14:val="tx1"/>
            </w14:solidFill>
          </w14:textFill>
        </w:rPr>
        <mc:AlternateContent>
          <mc:Choice Requires="wps">
            <w:drawing>
              <wp:anchor distT="0" distB="0" distL="114300" distR="114300" simplePos="0" relativeHeight="251660288" behindDoc="0" locked="0" layoutInCell="0" allowOverlap="1">
                <wp:simplePos x="0" y="0"/>
                <wp:positionH relativeFrom="page">
                  <wp:posOffset>1007745</wp:posOffset>
                </wp:positionH>
                <wp:positionV relativeFrom="page">
                  <wp:posOffset>897890</wp:posOffset>
                </wp:positionV>
                <wp:extent cx="5653405" cy="9525"/>
                <wp:effectExtent l="0" t="0" r="0" b="0"/>
                <wp:wrapNone/>
                <wp:docPr id="12" name="任意多边形 12"/>
                <wp:cNvGraphicFramePr/>
                <a:graphic xmlns:a="http://schemas.openxmlformats.org/drawingml/2006/main">
                  <a:graphicData uri="http://schemas.microsoft.com/office/word/2010/wordprocessingShape">
                    <wps:wsp>
                      <wps:cNvSpPr/>
                      <wps:spPr>
                        <a:xfrm>
                          <a:off x="0" y="0"/>
                          <a:ext cx="5653405" cy="9525"/>
                        </a:xfrm>
                        <a:custGeom>
                          <a:avLst/>
                          <a:gdLst/>
                          <a:ahLst/>
                          <a:cxnLst/>
                          <a:pathLst>
                            <a:path w="8902" h="15">
                              <a:moveTo>
                                <a:pt x="0" y="0"/>
                              </a:moveTo>
                              <a:lnTo>
                                <a:pt x="8902" y="0"/>
                              </a:lnTo>
                              <a:lnTo>
                                <a:pt x="8902" y="14"/>
                              </a:lnTo>
                              <a:lnTo>
                                <a:pt x="0" y="14"/>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9.35pt;margin-top:70.7pt;height:0.75pt;width:445.15pt;mso-position-horizontal-relative:page;mso-position-vertical-relative:page;z-index:251660288;mso-width-relative:page;mso-height-relative:page;" fillcolor="#000000" filled="t" stroked="f" coordsize="8902,15" o:allowincell="f" o:gfxdata="UEsDBAoAAAAAAIdO4kAAAAAAAAAAAAAAAAAEAAAAZHJzL1BLAwQUAAAACACHTuJA0iOstdkAAAAM&#10;AQAADwAAAGRycy9kb3ducmV2LnhtbE2PQUvDQBCF74L/YRnBm92kJNqk2fQgCIIgtgpeJ7tjEprd&#10;DdltU/31Tk56mzfzePO9anexgzjTFHrvFKSrBAQ57U3vWgUf7093GxAhojM4eEcKvinArr6+qrA0&#10;fnZ7Oh9iKzjEhRIVdDGOpZRBd2QxrPxIjm9ffrIYWU6tNBPOHG4HuU6Se2mxd/yhw5EeO9LHw8kq&#10;0M+fbz9FbPJR6ryd93Pxgq9GqdubNNmCiHSJf2ZY8BkdamZq/MmZIAbW+eaBrTxkaQZicSRZwfWa&#10;ZbUuQNaV/F+i/gVQSwMEFAAAAAgAh07iQMqgK7YTAgAAfQQAAA4AAABkcnMvZTJvRG9jLnhtbK1U&#10;wY7TMBC9I/EPlu80admsdqume6BaLghW2uUDXMdpLNkey3ab9s6dO0fET6AVfM0u4jMYO0lbyqUH&#10;eojHnpc3854nnd1stSIb4bwEU9LxKKdEGA6VNKuSfny4fXVFiQ/MVEyBESXdCU9v5i9fzFo7FRNo&#10;QFXCESQxftrakjYh2GmWed4IzfwIrDCYrMFpFnDrVlnlWIvsWmWTPL/MWnCVdcCF93i66JK0Z3Tn&#10;EEJdSy4WwNdamNCxOqFYQEm+kdbTeeq2rgUPH+rai0BUSVFpSE8sgvEyPrP5jE1XjtlG8r4Fdk4L&#10;J5o0kwaL7qkWLDCydvIfKi25Aw91GHHQWSckOYIqxvmJN/cNsyJpQau93Zvu/x8tf7+5c0RWOAkT&#10;SgzTeONPj4+/Pn1+/vbl98/vzz++EsygTa31U0Tf2zvX7zyGUfO2djquqIZsk7W7vbViGwjHw+Ky&#10;eH2RF5RwzF0XkyJSZod3+dqHtwISD9u886G7mGqIWDNEfGuG0LIQj2PtGJK2pFfXOepoUE6R7kPD&#10;RjxAQoST5rD6IavMMapjGVQgcEgPq01ke9j4opcz5Ie1w+GwIddZoDSRRwW5Ai86q6LE5NleNuKO&#10;ffOgZHUrlYpyvVst3yhHNixOfvr1Pf4FUyaCDcTXujLxJIuX3V1vjJZQ7XBK1tbJVYOf0DgxxQxO&#10;ZWqp/4Li2B/vE9PhX2P+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NIjrLXZAAAADAEAAA8AAAAA&#10;AAAAAQAgAAAAIgAAAGRycy9kb3ducmV2LnhtbFBLAQIUABQAAAAIAIdO4kDKoCu2EwIAAH0EAAAO&#10;AAAAAAAAAAEAIAAAACgBAABkcnMvZTJvRG9jLnhtbFBLBQYAAAAABgAGAFkBAACtBQAAAAA=&#10;" path="m0,0l8902,0,8902,14,0,14,0,0xe">
                <v:fill on="t" focussize="0,0"/>
                <v:stroke on="f"/>
                <v:imagedata o:title=""/>
                <o:lock v:ext="edit" aspectratio="f"/>
              </v:shape>
            </w:pict>
          </mc:Fallback>
        </mc:AlternateContent>
      </w:r>
      <w:r>
        <w:rPr>
          <w:rFonts w:hint="eastAsia" w:ascii="宋体" w:hAnsi="宋体" w:eastAsia="宋体" w:cs="宋体"/>
          <w:color w:val="000000" w:themeColor="text1"/>
          <w:sz w:val="28"/>
          <w:szCs w:val="28"/>
          <w:lang w:val="en-US" w:eastAsia="zh-CN"/>
          <w14:textFill>
            <w14:solidFill>
              <w14:schemeClr w14:val="tx1"/>
            </w14:solidFill>
          </w14:textFill>
        </w:rPr>
        <w:t>排、调峰调频工作带来困难。</w:t>
      </w:r>
    </w:p>
    <w:p w14:paraId="2A6A2751">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3．光伏发电站发生电压波动、频率、谐波和波形畸变的分析在并网持续运行过程中，造成输出功率的波动，并且在启动、停止和切换过程中也会产生电压波动，谐波导致的电压和电流的畸变也是影响电能质量的重要方面。</w:t>
      </w:r>
    </w:p>
    <w:p w14:paraId="29E63E07">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光能资源的不确定性使输出功率呈波动性，影响电网的电能质量，如电压偏差、电压波动、谐波等。随着光伏发电在实际系统中比例提高，电压波动、频率和谐波是对电网电能质量的主要负面影响之一。</w:t>
      </w:r>
    </w:p>
    <w:p w14:paraId="3D25961D">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4 ．低电压穿越分析</w:t>
      </w:r>
    </w:p>
    <w:p w14:paraId="4D8D881F">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color w:val="000000" w:themeColor="text1"/>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光伏电站如不具备低电压穿越能力；如动态无功补偿容量不足；如电网频率异常时的响应特性不够，可能导致光伏电站脱网事故</w:t>
      </w:r>
      <w:r>
        <w:rPr>
          <w:rFonts w:hint="default"/>
          <w:color w:val="000000" w:themeColor="text1"/>
          <w:lang w:val="en-US" w:eastAsia="zh-CN"/>
          <w14:textFill>
            <w14:solidFill>
              <w14:schemeClr w14:val="tx1"/>
            </w14:solidFill>
          </w14:textFill>
        </w:rPr>
        <w:t>。</w:t>
      </w:r>
    </w:p>
    <w:p w14:paraId="11DFD27C">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lang w:val="en-US" w:eastAsia="zh-CN"/>
          <w14:textFill>
            <w14:solidFill>
              <w14:schemeClr w14:val="tx1"/>
            </w14:solidFill>
          </w14:textFill>
        </w:rPr>
      </w:pPr>
      <w:bookmarkStart w:id="315" w:name="_Toc9647"/>
      <w:bookmarkStart w:id="316" w:name="_Toc2900"/>
      <w:r>
        <w:rPr>
          <w:rFonts w:hint="eastAsia" w:ascii="宋体" w:hAnsi="宋体" w:eastAsia="宋体" w:cs="宋体"/>
          <w:b/>
          <w:bCs w:val="0"/>
          <w:color w:val="000000" w:themeColor="text1"/>
          <w:sz w:val="30"/>
          <w:szCs w:val="30"/>
          <w:lang w:val="en-US" w:eastAsia="zh-CN"/>
          <w14:textFill>
            <w14:solidFill>
              <w14:schemeClr w14:val="tx1"/>
            </w14:solidFill>
          </w14:textFill>
        </w:rPr>
        <w:t>3.7.12安全工器具危险有害因素辨识与分析</w:t>
      </w:r>
      <w:bookmarkEnd w:id="315"/>
      <w:bookmarkEnd w:id="316"/>
    </w:p>
    <w:p w14:paraId="55D67832">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color w:val="000000" w:themeColor="text1"/>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本电站配备了验电器、接地线、绝缘靴、绝缘手套、安全帽等安全工器具，如未按要求定期检测、储存不当、绝缘失效、违规操作，导致触电等事故。</w:t>
      </w:r>
    </w:p>
    <w:p w14:paraId="648B6F3A">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lang w:val="en-US" w:eastAsia="zh-CN"/>
          <w14:textFill>
            <w14:solidFill>
              <w14:schemeClr w14:val="tx1"/>
            </w14:solidFill>
          </w14:textFill>
        </w:rPr>
      </w:pPr>
      <w:bookmarkStart w:id="317" w:name="_Toc12475"/>
      <w:bookmarkStart w:id="318" w:name="_Toc2782"/>
      <w:r>
        <w:rPr>
          <w:rFonts w:hint="eastAsia" w:ascii="宋体" w:hAnsi="宋体" w:eastAsia="宋体" w:cs="宋体"/>
          <w:b/>
          <w:bCs w:val="0"/>
          <w:color w:val="000000" w:themeColor="text1"/>
          <w:sz w:val="30"/>
          <w:szCs w:val="30"/>
          <w:lang w:val="en-US" w:eastAsia="zh-CN"/>
          <w14:textFill>
            <w14:solidFill>
              <w14:schemeClr w14:val="tx1"/>
            </w14:solidFill>
          </w14:textFill>
        </w:rPr>
        <w:t>3.7.13孤岛运行保护危险有害因素</w:t>
      </w:r>
      <w:bookmarkEnd w:id="317"/>
      <w:r>
        <w:rPr>
          <w:rFonts w:hint="eastAsia" w:ascii="宋体" w:hAnsi="宋体" w:eastAsia="宋体" w:cs="宋体"/>
          <w:b/>
          <w:bCs w:val="0"/>
          <w:color w:val="000000" w:themeColor="text1"/>
          <w:sz w:val="30"/>
          <w:szCs w:val="30"/>
          <w:lang w:val="en-US" w:eastAsia="zh-CN"/>
          <w14:textFill>
            <w14:solidFill>
              <w14:schemeClr w14:val="tx1"/>
            </w14:solidFill>
          </w14:textFill>
        </w:rPr>
        <w:t>分析</w:t>
      </w:r>
      <w:bookmarkEnd w:id="318"/>
    </w:p>
    <w:p w14:paraId="7586690D">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光伏发电系统处于并网状态时在系统侧发生停电的场合，如果负载功率和功率调节器的输出功率相同，那么不改变功率调节器的输出电压和频率，就无法利用电压继电器、频率继电器检测是否停电。因此，太阳能光伏发电系统可以继续向系统供电。这种运行状态称为单独（孤岛）运行。</w:t>
      </w:r>
    </w:p>
    <w:p w14:paraId="44BDD0C1">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color w:val="000000" w:themeColor="text1"/>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如孤岛运行一起动，光伏发电系统继续向已与配电网断开的电力线供电，这给维护检测人员带来危害。因此，必须停止运行光伏发电系统。但是孤单运行场合，利用如前所述那样的电压继电器、频率继电器不能提供保护。作为其应对措施，系统应设置孤岛运行防止功能，可以安全停止运行。功率调节器应设置孤岛运行防止功能。</w:t>
      </w:r>
    </w:p>
    <w:p w14:paraId="3EC24AF8">
      <w:pPr>
        <w:pStyle w:val="4"/>
        <w:pageBreakBefore w:val="0"/>
        <w:widowControl w:val="0"/>
        <w:kinsoku/>
        <w:wordWrap/>
        <w:overflowPunct/>
        <w:topLinePunct w:val="0"/>
        <w:autoSpaceDE/>
        <w:autoSpaceDN/>
        <w:bidi w:val="0"/>
        <w:spacing w:line="420" w:lineRule="exact"/>
        <w:textAlignment w:val="auto"/>
        <w:rPr>
          <w:rFonts w:hint="default"/>
          <w:color w:val="000000" w:themeColor="text1"/>
          <w:lang w:val="en-US" w:eastAsia="zh-CN"/>
          <w14:textFill>
            <w14:solidFill>
              <w14:schemeClr w14:val="tx1"/>
            </w14:solidFill>
          </w14:textFill>
        </w:rPr>
      </w:pPr>
      <w:bookmarkStart w:id="319" w:name="_Toc26240"/>
      <w:bookmarkStart w:id="320" w:name="_Toc21610"/>
      <w:r>
        <w:rPr>
          <w:rFonts w:hint="eastAsia" w:ascii="宋体" w:hAnsi="宋体" w:eastAsia="宋体" w:cs="宋体"/>
          <w:b/>
          <w:bCs w:val="0"/>
          <w:color w:val="000000" w:themeColor="text1"/>
          <w:sz w:val="30"/>
          <w:szCs w:val="30"/>
          <w:lang w:val="en-US" w:eastAsia="zh-CN"/>
          <w14:textFill>
            <w14:solidFill>
              <w14:schemeClr w14:val="tx1"/>
            </w14:solidFill>
          </w14:textFill>
        </w:rPr>
        <w:t>3.7.14热斑效应危险有害因素分析</w:t>
      </w:r>
      <w:bookmarkEnd w:id="319"/>
      <w:bookmarkEnd w:id="320"/>
    </w:p>
    <w:p w14:paraId="64F3A915">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在一定条件下，一串联支路中被遮蔽的光伏组件，将被当作负载消耗其他有光照的光伏组件所产生的能量。被遮蔽的光伏组件此时会发热，这就是热斑效应。</w:t>
      </w:r>
    </w:p>
    <w:p w14:paraId="6F2B40BD">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热斑效应产生的原因主要有：光伏组件通常安装在地域开阔、阳光充足地带，长期使用中难免落上飞鸟、尘土、落叶等遮挡物，在光伏组件上形成阴影；光伏组件行间距不适合也可能互相形成阴影；方阵在室外工作，其输出功率和效率受温度和太阳能辐照度影响；光伏组件的转换效率、开路电压和短路电流等光电性能不一致；个别光伏组件本身缺陷也可能使组件在工作时局部发热。</w:t>
      </w:r>
    </w:p>
    <w:p w14:paraId="38426050">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热斑效应的危害主要是：严重时热斑的温度可能高达200℃左右，热斑效应会使焊点融化，破坏封装材料，严重破坏光伏组件，甚至使光伏组件失效；有光照的光伏组件所产生的部分能量可能被遮蔽的光伏组件所消耗；热斑效应使光伏组件的实际使用寿命至少减少10%。</w:t>
      </w:r>
    </w:p>
    <w:p w14:paraId="7B28BF23">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减轻热斑效应危害的措施：热斑现象是不可避免的，为表明光伏组件能够在规定的条件下长期使用，需通过合理的时间和过程对光伏组件进行检测，确定其承受热斑加热效应的能力。确定光伏组件承受热斑加热能力的检测试验叫“热斑耐久试验”。</w:t>
      </w:r>
    </w:p>
    <w:p w14:paraId="2AAA2D52">
      <w:pPr>
        <w:pStyle w:val="4"/>
        <w:keepNext w:val="0"/>
        <w:keepLines w:val="0"/>
        <w:pageBreakBefore w:val="0"/>
        <w:widowControl w:val="0"/>
        <w:kinsoku/>
        <w:wordWrap/>
        <w:overflowPunct/>
        <w:topLinePunct w:val="0"/>
        <w:autoSpaceDE/>
        <w:autoSpaceDN/>
        <w:bidi w:val="0"/>
        <w:spacing w:line="420" w:lineRule="exact"/>
        <w:textAlignment w:val="auto"/>
        <w:rPr>
          <w:rFonts w:hint="default"/>
          <w:color w:val="000000" w:themeColor="text1"/>
          <w:lang w:val="en-US" w:eastAsia="zh-CN"/>
          <w14:textFill>
            <w14:solidFill>
              <w14:schemeClr w14:val="tx1"/>
            </w14:solidFill>
          </w14:textFill>
        </w:rPr>
      </w:pPr>
      <w:bookmarkStart w:id="321" w:name="_Toc20401"/>
      <w:r>
        <w:rPr>
          <w:rFonts w:hint="eastAsia" w:ascii="宋体" w:hAnsi="宋体" w:eastAsia="宋体" w:cs="宋体"/>
          <w:b/>
          <w:bCs w:val="0"/>
          <w:color w:val="000000" w:themeColor="text1"/>
          <w:sz w:val="30"/>
          <w:szCs w:val="30"/>
          <w:lang w:val="en-US" w:eastAsia="zh-CN"/>
          <w14:textFill>
            <w14:solidFill>
              <w14:schemeClr w14:val="tx1"/>
            </w14:solidFill>
          </w14:textFill>
        </w:rPr>
        <w:t>3.7.15谐波效应危险有害因素分析</w:t>
      </w:r>
      <w:bookmarkEnd w:id="321"/>
    </w:p>
    <w:p w14:paraId="4109CAC6">
      <w:pPr>
        <w:pStyle w:val="29"/>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谐波使电能的生产、传输和利用的效率降低，使电气设备过热、产生振动和噪声，并使绝缘老化，使用寿命缩短，甚至发生故障或烧毁。谐波可引起电力系统局部并联谐振或串联谐振，使谐波含量放大，造成电容器等设备烧毁。谐波还会引起继电保护和自动装置误动作，使电能计量出现混乱。对于电力系统外部，谐波对通信设备和电子设备会产生严重干扰。</w:t>
      </w:r>
    </w:p>
    <w:p w14:paraId="7B0AA8F4">
      <w:pPr>
        <w:pStyle w:val="29"/>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光伏电站逆变器使用了大量的电力电子元件，在逆变器将直流转换为交流过程中，不可避免地产生谐波，所以并网逆变器的质量与性能对并网交流电的电能质量有着至关重要的影响。</w:t>
      </w:r>
    </w:p>
    <w:p w14:paraId="2CA5B21D">
      <w:pPr>
        <w:pStyle w:val="29"/>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电网谐波造成电网污染，正弦电压波形畸变，使电力系统的设备出现异常和故障。谐波的危害在电力系统中是多方面的，主要有：</w:t>
      </w:r>
    </w:p>
    <w:p w14:paraId="542A8E80">
      <w:pPr>
        <w:pStyle w:val="29"/>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（1）对供配电线路的危害。在谐波的影响下，容易导致继电保护误动作，不能全面有效地起保护作用。</w:t>
      </w:r>
    </w:p>
    <w:p w14:paraId="5862AE05">
      <w:pPr>
        <w:pStyle w:val="29"/>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（2）影响电网的质量。谐波会引起串联谐振及并联谐振，放大谐波，造成危险的过电压或过电流。</w:t>
      </w:r>
    </w:p>
    <w:p w14:paraId="3AA854F4">
      <w:pPr>
        <w:pStyle w:val="29"/>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（3）增加了输电线路的损耗，缩短了输电线寿命。谐波电流一方面在输电线路上产生谐波压降，另一方面增加了输电线路上的电流有效值，从而引起附加输电损耗。</w:t>
      </w:r>
    </w:p>
    <w:p w14:paraId="52C1234A">
      <w:pPr>
        <w:pStyle w:val="20"/>
        <w:keepNext w:val="0"/>
        <w:keepLines w:val="0"/>
        <w:pageBreakBefore w:val="0"/>
        <w:widowControl w:val="0"/>
        <w:kinsoku/>
        <w:wordWrap/>
        <w:overflowPunct/>
        <w:topLinePunct w:val="0"/>
        <w:autoSpaceDE/>
        <w:autoSpaceDN/>
        <w:bidi w:val="0"/>
        <w:adjustRightInd/>
        <w:snapToGrid/>
        <w:spacing w:line="420" w:lineRule="exact"/>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color w:val="auto"/>
          <w:sz w:val="28"/>
          <w:szCs w:val="28"/>
        </w:rPr>
        <w:t>（4）对电容器的影响。由于谐波使通过电容器的电流增加，使电容器损耗增加，从而引起电容器发热和温升，加速老化。</w:t>
      </w:r>
    </w:p>
    <w:p w14:paraId="7AAEE513">
      <w:pPr>
        <w:pStyle w:val="4"/>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lang w:val="en-US" w:eastAsia="zh-CN"/>
          <w14:textFill>
            <w14:solidFill>
              <w14:schemeClr w14:val="tx1"/>
            </w14:solidFill>
          </w14:textFill>
        </w:rPr>
      </w:pPr>
      <w:bookmarkStart w:id="322" w:name="_Toc19595"/>
      <w:r>
        <w:rPr>
          <w:rFonts w:hint="eastAsia" w:ascii="宋体" w:hAnsi="宋体" w:eastAsia="宋体" w:cs="宋体"/>
          <w:b/>
          <w:bCs w:val="0"/>
          <w:color w:val="000000" w:themeColor="text1"/>
          <w:sz w:val="30"/>
          <w:szCs w:val="30"/>
          <w:lang w:val="en-US" w:eastAsia="zh-CN"/>
          <w14:textFill>
            <w14:solidFill>
              <w14:schemeClr w14:val="tx1"/>
            </w14:solidFill>
          </w14:textFill>
        </w:rPr>
        <w:t>3.7.16全场失电危险有害因素分析</w:t>
      </w:r>
      <w:bookmarkEnd w:id="322"/>
    </w:p>
    <w:p w14:paraId="44CF366C">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电网故障（如线路跳闸、系统崩溃）、站内配电系统故障（如主开关损坏、电缆短路）；应急电源（柴油发电机、UPS）未及时启动或容量不足；人为误操作（如误拉总闸）、恶劣天气（台风、暴雪）破坏供电设施。</w:t>
      </w:r>
    </w:p>
    <w:p w14:paraId="6201A826">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逆变器、变压器等关键设备突然断电，可能导致电容击穿、绕组过热烧毁；储能系统若失电保护失效，易引发过充/过放起火。</w:t>
      </w:r>
    </w:p>
    <w:p w14:paraId="42C5931E">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冷却系统、通风设备停运，导致设备高温积聚，加速老化或引发火灾；直流侧高压残留未释放，易造成触电。配电室、检修区域照明失电，引发人员摔倒、碰撞事故；应急照明失效时，逃生通道堵塞风险升高。</w:t>
      </w:r>
    </w:p>
    <w:p w14:paraId="0D236C89">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作业人员在设备检修时，突然失电可能导致机械装置意外卡滞，造成夹伤、坠落等伤害。</w:t>
      </w:r>
    </w:p>
    <w:p w14:paraId="23BB93F9">
      <w:pPr>
        <w:pStyle w:val="4"/>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lang w:val="en-US" w:eastAsia="zh-CN"/>
          <w14:textFill>
            <w14:solidFill>
              <w14:schemeClr w14:val="tx1"/>
            </w14:solidFill>
          </w14:textFill>
        </w:rPr>
      </w:pPr>
      <w:bookmarkStart w:id="323" w:name="_Toc26271"/>
      <w:r>
        <w:rPr>
          <w:rFonts w:hint="eastAsia" w:ascii="宋体" w:hAnsi="宋体" w:eastAsia="宋体" w:cs="宋体"/>
          <w:b/>
          <w:bCs w:val="0"/>
          <w:color w:val="000000" w:themeColor="text1"/>
          <w:sz w:val="30"/>
          <w:szCs w:val="30"/>
          <w:lang w:val="en-US" w:eastAsia="zh-CN"/>
          <w14:textFill>
            <w14:solidFill>
              <w14:schemeClr w14:val="tx1"/>
            </w14:solidFill>
          </w14:textFill>
        </w:rPr>
        <w:t>3.7.17带电作业危险有害因素分析</w:t>
      </w:r>
      <w:bookmarkEnd w:id="323"/>
    </w:p>
    <w:p w14:paraId="6A7405C5">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default"/>
          <w:sz w:val="28"/>
          <w:szCs w:val="28"/>
          <w:lang w:val="en-US" w:eastAsia="zh-CN"/>
        </w:rPr>
      </w:pPr>
      <w:r>
        <w:rPr>
          <w:rFonts w:hint="eastAsia"/>
          <w:sz w:val="28"/>
          <w:szCs w:val="28"/>
          <w:lang w:val="en-US" w:eastAsia="zh-CN"/>
        </w:rPr>
        <w:t>产生的主要原因有：</w:t>
      </w:r>
      <w:r>
        <w:rPr>
          <w:rFonts w:hint="default"/>
          <w:sz w:val="28"/>
          <w:szCs w:val="28"/>
          <w:lang w:val="en-US" w:eastAsia="zh-CN"/>
        </w:rPr>
        <w:t>作业前未验电、接地不规范</w:t>
      </w:r>
      <w:r>
        <w:rPr>
          <w:rFonts w:hint="eastAsia"/>
          <w:sz w:val="28"/>
          <w:szCs w:val="28"/>
          <w:lang w:val="en-US" w:eastAsia="zh-CN"/>
        </w:rPr>
        <w:t>；</w:t>
      </w:r>
      <w:r>
        <w:rPr>
          <w:rFonts w:hint="default"/>
          <w:sz w:val="28"/>
          <w:szCs w:val="28"/>
          <w:lang w:val="en-US" w:eastAsia="zh-CN"/>
        </w:rPr>
        <w:t>安全防护装备失效；作业方案不完善、人员资质不足；设备标识不清、交叉作业干扰</w:t>
      </w:r>
      <w:r>
        <w:rPr>
          <w:rFonts w:hint="eastAsia"/>
          <w:sz w:val="28"/>
          <w:szCs w:val="28"/>
          <w:lang w:val="en-US" w:eastAsia="zh-CN"/>
        </w:rPr>
        <w:t>等</w:t>
      </w:r>
      <w:r>
        <w:rPr>
          <w:rFonts w:hint="default"/>
          <w:sz w:val="28"/>
          <w:szCs w:val="28"/>
          <w:lang w:val="en-US" w:eastAsia="zh-CN"/>
        </w:rPr>
        <w:t>。</w:t>
      </w:r>
    </w:p>
    <w:p w14:paraId="363A0655">
      <w:pPr>
        <w:pStyle w:val="20"/>
        <w:keepNext w:val="0"/>
        <w:keepLines w:val="0"/>
        <w:pageBreakBefore w:val="0"/>
        <w:widowControl w:val="0"/>
        <w:kinsoku/>
        <w:wordWrap/>
        <w:overflowPunct/>
        <w:topLinePunct w:val="0"/>
        <w:autoSpaceDE/>
        <w:autoSpaceDN/>
        <w:bidi w:val="0"/>
        <w:adjustRightInd/>
        <w:snapToGrid/>
        <w:spacing w:line="420" w:lineRule="exact"/>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带电作业的主要危害是：直接触电：作业人员误碰带电导体，或与带电体安全距离不足。感应触电：高压设备周围形成感应电场，未接地的工具、金属构件产生感应电压，导致人员触电；平行电缆间电磁耦合引发感应电流。电弧灼伤：作业时操作不当产生电弧，造成皮肤灼伤、呼吸道损伤，甚至引燃周边绝缘材料。设备损坏与系统故障：误操作导致开关误动、熔断器熔断，引发设备连锁跳闸；工具碰撞造成光伏组件玻璃破裂、逆变器接口损坏。作业时破坏设备绝缘层，后续运行中易引发短路、接地故障，扩大事故范围。高空带电作业时，因触电痉挛、工具滑落引发坠落事故；地面作业时，人员摔倒碰撞带电设备。</w:t>
      </w:r>
    </w:p>
    <w:p w14:paraId="425CFFBF">
      <w:pPr>
        <w:pStyle w:val="4"/>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lang w:val="en-US" w:eastAsia="zh-CN"/>
          <w14:textFill>
            <w14:solidFill>
              <w14:schemeClr w14:val="tx1"/>
            </w14:solidFill>
          </w14:textFill>
        </w:rPr>
      </w:pPr>
      <w:bookmarkStart w:id="324" w:name="_Toc4205"/>
      <w:r>
        <w:rPr>
          <w:rFonts w:hint="eastAsia" w:ascii="宋体" w:hAnsi="宋体" w:eastAsia="宋体" w:cs="宋体"/>
          <w:b/>
          <w:bCs w:val="0"/>
          <w:color w:val="000000" w:themeColor="text1"/>
          <w:sz w:val="30"/>
          <w:szCs w:val="30"/>
          <w:lang w:val="en-US" w:eastAsia="zh-CN"/>
          <w14:textFill>
            <w14:solidFill>
              <w14:schemeClr w14:val="tx1"/>
            </w14:solidFill>
          </w14:textFill>
        </w:rPr>
        <w:t>3.7.18交叉作业危险有害因素分析</w:t>
      </w:r>
      <w:bookmarkEnd w:id="324"/>
    </w:p>
    <w:p w14:paraId="02002E97">
      <w:pPr>
        <w:keepNext w:val="0"/>
        <w:keepLines w:val="0"/>
        <w:pageBreakBefore w:val="0"/>
        <w:widowControl w:val="0"/>
        <w:suppressLineNumbers w:val="0"/>
        <w:kinsoku/>
        <w:wordWrap/>
        <w:overflowPunct/>
        <w:topLinePunct w:val="0"/>
        <w:autoSpaceDE/>
        <w:autoSpaceDN/>
        <w:bidi w:val="0"/>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施工过程中交叉作业可能普遍存在，交叉作业环境复杂，由于这些交叉作业处在同一工作面进行不同的作业，或是在同一立体空间不同的作业面进行不同或相同的作业，以及处于空间贯通状态下同时进行的高处作业，极易发生坠物伤人、高处坠落、机械打击等安全事故。</w:t>
      </w:r>
    </w:p>
    <w:p w14:paraId="6DA9F815">
      <w:pPr>
        <w:pStyle w:val="4"/>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bookmarkStart w:id="325" w:name="_Toc27921"/>
      <w:r>
        <w:rPr>
          <w:rFonts w:hint="eastAsia" w:ascii="宋体" w:hAnsi="宋体" w:eastAsia="宋体" w:cs="宋体"/>
          <w:b/>
          <w:bCs w:val="0"/>
          <w:color w:val="000000" w:themeColor="text1"/>
          <w:sz w:val="30"/>
          <w:szCs w:val="30"/>
          <w:lang w:val="en-US" w:eastAsia="zh-CN"/>
          <w14:textFill>
            <w14:solidFill>
              <w14:schemeClr w14:val="tx1"/>
            </w14:solidFill>
          </w14:textFill>
        </w:rPr>
        <w:t>3.7.19</w:t>
      </w:r>
      <w:r>
        <w:rPr>
          <w:rFonts w:hint="eastAsia" w:ascii="宋体" w:hAnsi="宋体" w:eastAsia="宋体" w:cs="宋体"/>
          <w:b/>
          <w:bCs/>
          <w:kern w:val="2"/>
          <w:sz w:val="28"/>
          <w:szCs w:val="28"/>
          <w:highlight w:val="none"/>
          <w:lang w:val="en-US" w:eastAsia="zh-CN" w:bidi="ar-SA"/>
        </w:rPr>
        <w:t>六氟化硫泄漏</w:t>
      </w:r>
      <w:r>
        <w:rPr>
          <w:rFonts w:hint="eastAsia" w:ascii="宋体" w:hAnsi="宋体" w:eastAsia="宋体" w:cs="宋体"/>
          <w:b/>
          <w:bCs/>
          <w:color w:val="000000" w:themeColor="text1"/>
          <w:sz w:val="28"/>
          <w:szCs w:val="28"/>
          <w:lang w:val="en-US" w:eastAsia="zh-CN"/>
          <w14:textFill>
            <w14:solidFill>
              <w14:schemeClr w14:val="tx1"/>
            </w14:solidFill>
          </w14:textFill>
        </w:rPr>
        <w:t>危险有害因素分析</w:t>
      </w:r>
      <w:bookmarkEnd w:id="325"/>
    </w:p>
    <w:p w14:paraId="32F5769B">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lang w:val="en-US" w:eastAsia="zh-CN"/>
        </w:rPr>
      </w:pPr>
      <w:r>
        <w:rPr>
          <w:rFonts w:hint="eastAsia" w:ascii="宋体" w:hAnsi="宋体" w:cs="Times New Roman"/>
          <w:kern w:val="2"/>
          <w:sz w:val="28"/>
          <w:szCs w:val="28"/>
          <w:lang w:val="en-US" w:eastAsia="zh-CN" w:bidi="ar-SA"/>
        </w:rPr>
        <w:t>六氟化硫的化学性质比较稳定，但在电弧作用下会发生分解，产生多种有毒、腐蚀性气体及固体分解产物，如SF4等，在密封不严或设备大修解体时，容易被释放出来，且SF4密度大，是空气的5倍，一旦泄漏易沉积不易扩散，SF4将对运行人员或检修人员健康产生危害，甚至引发窒息伤亡等事故。纯净的SF6气体无色、无味、不燃，但在电弧及局部放电、高温等因素影响下，SF6气体会进行分解，分解物遇水份后变成腐蚀性电解质，尤其是某些高毒性分解物，如SF4、S2F2、HF、S02等，大量吸入人体会引起头晕和肺水肿，甚至昏迷及死亡。</w:t>
      </w:r>
    </w:p>
    <w:p w14:paraId="1729BE44">
      <w:pPr>
        <w:pStyle w:val="4"/>
        <w:keepNext w:val="0"/>
        <w:keepLines w:val="0"/>
        <w:pageBreakBefore w:val="0"/>
        <w:widowControl w:val="0"/>
        <w:kinsoku/>
        <w:wordWrap/>
        <w:overflowPunct/>
        <w:topLinePunct w:val="0"/>
        <w:autoSpaceDE/>
        <w:autoSpaceDN/>
        <w:bidi w:val="0"/>
        <w:spacing w:line="420" w:lineRule="exact"/>
        <w:textAlignment w:val="auto"/>
        <w:rPr>
          <w:rFonts w:hint="default"/>
          <w:b/>
          <w:bCs/>
          <w:color w:val="000000" w:themeColor="text1"/>
          <w:sz w:val="28"/>
          <w:szCs w:val="28"/>
          <w:lang w:val="en-US" w:eastAsia="zh-CN"/>
          <w14:textFill>
            <w14:solidFill>
              <w14:schemeClr w14:val="tx1"/>
            </w14:solidFill>
          </w14:textFill>
        </w:rPr>
      </w:pPr>
      <w:bookmarkStart w:id="326" w:name="_Toc16999"/>
      <w:r>
        <w:rPr>
          <w:rFonts w:hint="eastAsia" w:ascii="宋体" w:hAnsi="宋体" w:eastAsia="宋体" w:cs="宋体"/>
          <w:b/>
          <w:bCs w:val="0"/>
          <w:color w:val="000000" w:themeColor="text1"/>
          <w:sz w:val="30"/>
          <w:szCs w:val="30"/>
          <w:lang w:val="en-US" w:eastAsia="zh-CN"/>
          <w14:textFill>
            <w14:solidFill>
              <w14:schemeClr w14:val="tx1"/>
            </w14:solidFill>
          </w14:textFill>
        </w:rPr>
        <w:t>3.7.20</w:t>
      </w:r>
      <w:r>
        <w:rPr>
          <w:rFonts w:hint="eastAsia" w:ascii="宋体" w:hAnsi="宋体" w:eastAsia="宋体" w:cs="宋体"/>
          <w:b/>
          <w:bCs/>
          <w:kern w:val="2"/>
          <w:sz w:val="28"/>
          <w:szCs w:val="28"/>
          <w:highlight w:val="none"/>
          <w:lang w:val="en-US" w:eastAsia="zh-CN" w:bidi="ar-SA"/>
        </w:rPr>
        <w:t>支架变形</w:t>
      </w:r>
      <w:r>
        <w:rPr>
          <w:rFonts w:hint="eastAsia" w:ascii="宋体" w:hAnsi="宋体" w:eastAsia="宋体" w:cs="宋体"/>
          <w:b/>
          <w:bCs/>
          <w:color w:val="000000" w:themeColor="text1"/>
          <w:sz w:val="28"/>
          <w:szCs w:val="28"/>
          <w:lang w:val="en-US" w:eastAsia="zh-CN"/>
          <w14:textFill>
            <w14:solidFill>
              <w14:schemeClr w14:val="tx1"/>
            </w14:solidFill>
          </w14:textFill>
        </w:rPr>
        <w:t>危险有害因素分析</w:t>
      </w:r>
      <w:bookmarkEnd w:id="326"/>
    </w:p>
    <w:p w14:paraId="5879766E">
      <w:pPr>
        <w:pStyle w:val="19"/>
        <w:keepNext w:val="0"/>
        <w:keepLines w:val="0"/>
        <w:pageBreakBefore w:val="0"/>
        <w:widowControl w:val="0"/>
        <w:kinsoku/>
        <w:wordWrap/>
        <w:overflowPunct/>
        <w:topLinePunct w:val="0"/>
        <w:autoSpaceDE/>
        <w:autoSpaceDN/>
        <w:bidi w:val="0"/>
        <w:adjustRightInd/>
        <w:spacing w:line="420" w:lineRule="exact"/>
        <w:ind w:left="0" w:leftChars="0" w:firstLine="560" w:firstLineChars="200"/>
        <w:textAlignment w:val="auto"/>
        <w:rPr>
          <w:rFonts w:hint="eastAsia"/>
          <w:sz w:val="28"/>
          <w:szCs w:val="28"/>
          <w:lang w:val="en-US" w:eastAsia="zh-CN"/>
        </w:rPr>
      </w:pPr>
      <w:r>
        <w:rPr>
          <w:rFonts w:hint="eastAsia"/>
          <w:sz w:val="28"/>
          <w:szCs w:val="28"/>
          <w:lang w:val="en-US" w:eastAsia="zh-CN"/>
        </w:rPr>
        <w:t>光伏支架变形的核心风险是结构失稳引发的组件坠落、设备损坏及人员伤亡。</w:t>
      </w:r>
    </w:p>
    <w:p w14:paraId="1682C187">
      <w:pPr>
        <w:keepNext w:val="0"/>
        <w:keepLines w:val="0"/>
        <w:pageBreakBefore w:val="0"/>
        <w:widowControl w:val="0"/>
        <w:kinsoku/>
        <w:wordWrap/>
        <w:overflowPunct/>
        <w:topLinePunct w:val="0"/>
        <w:autoSpaceDE/>
        <w:autoSpaceDN/>
        <w:bidi w:val="0"/>
        <w:adjustRightInd/>
        <w:spacing w:line="420" w:lineRule="exact"/>
        <w:ind w:firstLine="560" w:firstLineChars="200"/>
        <w:textAlignment w:val="auto"/>
        <w:rPr>
          <w:rFonts w:hint="default"/>
          <w:lang w:val="en-US" w:eastAsia="zh-CN"/>
        </w:rPr>
      </w:pPr>
      <w:r>
        <w:rPr>
          <w:rFonts w:hint="eastAsia"/>
          <w:sz w:val="28"/>
          <w:szCs w:val="28"/>
          <w:lang w:val="en-US" w:eastAsia="zh-CN"/>
        </w:rPr>
        <w:t>支架主体（横梁、立柱）弯曲、断裂，或连接节点松动脱落，导致光伏组件倾斜、滑落，砸伤地面人员或损坏周边设备。支架基础（混凝土桩基、地锚）沉降、倾覆，引发整体结构坍塌，扩大事故范围。组件与支架连接松动，导致电缆拉扯断裂，引发直流侧短路、接地故障，甚至触发火灾。支架变形使组件角度偏移，影响采光效率；若组件玻璃破裂，会导致进水短路，损坏逆变器等核心设备。支架变形后未及时发现，检修人员攀爬作业时，支架突然失稳引发坠落伤害；地面人员可能被坠落的组件、支架残骸砸伤。</w:t>
      </w:r>
    </w:p>
    <w:p w14:paraId="2499527E">
      <w:pPr>
        <w:pStyle w:val="3"/>
        <w:pageBreakBefore w:val="0"/>
        <w:widowControl w:val="0"/>
        <w:tabs>
          <w:tab w:val="left" w:pos="0"/>
        </w:tabs>
        <w:kinsoku/>
        <w:wordWrap/>
        <w:overflowPunct/>
        <w:topLinePunct w:val="0"/>
        <w:autoSpaceDE/>
        <w:autoSpaceDN/>
        <w:bidi w:val="0"/>
        <w:spacing w:line="420" w:lineRule="exact"/>
        <w:textAlignment w:val="auto"/>
        <w:rPr>
          <w:rFonts w:hint="eastAsia"/>
          <w:color w:val="000000" w:themeColor="text1"/>
          <w14:textFill>
            <w14:solidFill>
              <w14:schemeClr w14:val="tx1"/>
            </w14:solidFill>
          </w14:textFill>
        </w:rPr>
      </w:pPr>
      <w:bookmarkStart w:id="327" w:name="_Toc20953"/>
      <w:bookmarkStart w:id="328" w:name="_Toc12374"/>
      <w:bookmarkStart w:id="329" w:name="_Toc21585"/>
      <w:bookmarkStart w:id="330" w:name="_Toc20680"/>
      <w:r>
        <w:rPr>
          <w:rFonts w:hint="eastAsia" w:ascii="宋体" w:hAnsi="宋体" w:eastAsia="宋体" w:cs="宋体"/>
          <w:color w:val="000000" w:themeColor="text1"/>
          <w:lang w:val="en-US" w:eastAsia="zh-CN"/>
          <w14:textFill>
            <w14:solidFill>
              <w14:schemeClr w14:val="tx1"/>
            </w14:solidFill>
          </w14:textFill>
        </w:rPr>
        <w:t>3.8</w:t>
      </w:r>
      <w:r>
        <w:rPr>
          <w:rFonts w:hint="eastAsia" w:ascii="宋体" w:hAnsi="宋体" w:eastAsia="宋体" w:cs="宋体"/>
          <w:color w:val="000000" w:themeColor="text1"/>
          <w14:textFill>
            <w14:solidFill>
              <w14:schemeClr w14:val="tx1"/>
            </w14:solidFill>
          </w14:textFill>
        </w:rPr>
        <w:t>生产运行、检修过程中的主要</w:t>
      </w:r>
      <w:r>
        <w:rPr>
          <w:rFonts w:hint="eastAsia" w:ascii="宋体" w:hAnsi="宋体" w:eastAsia="宋体" w:cs="宋体"/>
          <w:color w:val="000000" w:themeColor="text1"/>
          <w:lang w:eastAsia="zh-CN"/>
          <w14:textFill>
            <w14:solidFill>
              <w14:schemeClr w14:val="tx1"/>
            </w14:solidFill>
          </w14:textFill>
        </w:rPr>
        <w:t>危险有害因素</w:t>
      </w:r>
      <w:r>
        <w:rPr>
          <w:rFonts w:hint="eastAsia" w:ascii="宋体" w:hAnsi="宋体" w:eastAsia="宋体" w:cs="宋体"/>
          <w:color w:val="000000" w:themeColor="text1"/>
          <w14:textFill>
            <w14:solidFill>
              <w14:schemeClr w14:val="tx1"/>
            </w14:solidFill>
          </w14:textFill>
        </w:rPr>
        <w:t>辨识分析</w:t>
      </w:r>
      <w:bookmarkEnd w:id="327"/>
      <w:bookmarkEnd w:id="328"/>
      <w:bookmarkEnd w:id="329"/>
      <w:bookmarkEnd w:id="330"/>
    </w:p>
    <w:p w14:paraId="77C2C7D4">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331" w:name="_Toc23579"/>
      <w:bookmarkStart w:id="332" w:name="_Toc11710"/>
      <w:bookmarkStart w:id="333" w:name="_Toc18279"/>
      <w:r>
        <w:rPr>
          <w:rFonts w:hint="eastAsia" w:ascii="宋体" w:hAnsi="宋体" w:eastAsia="宋体" w:cs="宋体"/>
          <w:b/>
          <w:bCs w:val="0"/>
          <w:color w:val="000000" w:themeColor="text1"/>
          <w:sz w:val="30"/>
          <w:szCs w:val="30"/>
          <w:lang w:val="en-US" w:eastAsia="zh-CN"/>
          <w14:textFill>
            <w14:solidFill>
              <w14:schemeClr w14:val="tx1"/>
            </w14:solidFill>
          </w14:textFill>
        </w:rPr>
        <w:t>3.8.1</w:t>
      </w:r>
      <w:r>
        <w:rPr>
          <w:rFonts w:hint="eastAsia" w:ascii="宋体" w:hAnsi="宋体" w:eastAsia="宋体" w:cs="宋体"/>
          <w:b/>
          <w:bCs w:val="0"/>
          <w:color w:val="000000" w:themeColor="text1"/>
          <w:sz w:val="30"/>
          <w:szCs w:val="30"/>
          <w14:textFill>
            <w14:solidFill>
              <w14:schemeClr w14:val="tx1"/>
            </w14:solidFill>
          </w14:textFill>
        </w:rPr>
        <w:t>火灾危险性分析</w:t>
      </w:r>
      <w:bookmarkEnd w:id="331"/>
      <w:bookmarkEnd w:id="332"/>
      <w:bookmarkEnd w:id="333"/>
    </w:p>
    <w:p w14:paraId="76602C7F">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光伏发电站</w:t>
      </w:r>
      <w:r>
        <w:rPr>
          <w:color w:val="000000" w:themeColor="text1"/>
          <w:sz w:val="28"/>
          <w:szCs w:val="28"/>
          <w14:textFill>
            <w14:solidFill>
              <w14:schemeClr w14:val="tx1"/>
            </w14:solidFill>
          </w14:textFill>
        </w:rPr>
        <w:t>的火灾主要有</w:t>
      </w:r>
      <w:r>
        <w:rPr>
          <w:rFonts w:hint="eastAsia"/>
          <w:color w:val="000000" w:themeColor="text1"/>
          <w:sz w:val="28"/>
          <w:szCs w:val="28"/>
          <w14:textFill>
            <w14:solidFill>
              <w14:schemeClr w14:val="tx1"/>
            </w14:solidFill>
          </w14:textFill>
        </w:rPr>
        <w:t>光伏组件火灾、</w:t>
      </w:r>
      <w:r>
        <w:rPr>
          <w:color w:val="000000" w:themeColor="text1"/>
          <w:sz w:val="28"/>
          <w:szCs w:val="28"/>
          <w14:textFill>
            <w14:solidFill>
              <w14:schemeClr w14:val="tx1"/>
            </w14:solidFill>
          </w14:textFill>
        </w:rPr>
        <w:t>电气设备火灾、电缆火灾</w:t>
      </w:r>
      <w:r>
        <w:rPr>
          <w:rFonts w:hint="eastAsia"/>
          <w:color w:val="000000" w:themeColor="text1"/>
          <w:sz w:val="28"/>
          <w:szCs w:val="28"/>
          <w14:textFill>
            <w14:solidFill>
              <w14:schemeClr w14:val="tx1"/>
            </w14:solidFill>
          </w14:textFill>
        </w:rPr>
        <w:t>、变压器着火、植被火灾引起的火灾</w:t>
      </w:r>
      <w:r>
        <w:rPr>
          <w:color w:val="000000" w:themeColor="text1"/>
          <w:sz w:val="28"/>
          <w:szCs w:val="28"/>
          <w14:textFill>
            <w14:solidFill>
              <w14:schemeClr w14:val="tx1"/>
            </w14:solidFill>
          </w14:textFill>
        </w:rPr>
        <w:t>及其他可燃物质的火灾。一旦发生火灾，将会发生设备损坏，人身伤害等危险，严重火灾事故时，可能导致设备严重损坏，影响</w:t>
      </w:r>
      <w:r>
        <w:rPr>
          <w:rFonts w:hint="eastAsia"/>
          <w:color w:val="000000" w:themeColor="text1"/>
          <w:sz w:val="28"/>
          <w:szCs w:val="28"/>
          <w14:textFill>
            <w14:solidFill>
              <w14:schemeClr w14:val="tx1"/>
            </w14:solidFill>
          </w14:textFill>
        </w:rPr>
        <w:t>电站</w:t>
      </w:r>
      <w:r>
        <w:rPr>
          <w:color w:val="000000" w:themeColor="text1"/>
          <w:sz w:val="28"/>
          <w:szCs w:val="28"/>
          <w14:textFill>
            <w14:solidFill>
              <w14:schemeClr w14:val="tx1"/>
            </w14:solidFill>
          </w14:textFill>
        </w:rPr>
        <w:t>的生产运行和向系统供电，造成严重经济损失。</w:t>
      </w:r>
    </w:p>
    <w:p w14:paraId="7FCBFFF2">
      <w:pPr>
        <w:keepNext w:val="0"/>
        <w:keepLines w:val="0"/>
        <w:pageBreakBefore w:val="0"/>
        <w:widowControl w:val="0"/>
        <w:kinsoku/>
        <w:wordWrap/>
        <w:overflowPunct/>
        <w:topLinePunct w:val="0"/>
        <w:autoSpaceDE/>
        <w:autoSpaceDN/>
        <w:bidi w:val="0"/>
        <w:spacing w:line="42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电缆火灾可能由于电缆本身故障、遭遇雷击或外部火源引起，电缆火灾蔓延快，扑救困难，并产生剧毒烟雾。</w:t>
      </w:r>
    </w:p>
    <w:p w14:paraId="263909D1">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光伏组件</w:t>
      </w:r>
      <w:r>
        <w:rPr>
          <w:color w:val="000000" w:themeColor="text1"/>
          <w:sz w:val="28"/>
          <w:szCs w:val="28"/>
          <w14:textFill>
            <w14:solidFill>
              <w14:schemeClr w14:val="tx1"/>
            </w14:solidFill>
          </w14:textFill>
        </w:rPr>
        <w:t>、变压器、配电设备等电气设备，因运行环境因素、受潮、设备内部故障、操作维护不当等因素，均有可能发生火灾甚至爆炸事故，一些火灾事故就是因为设备内部故障，设备受潮，油中混水导致</w:t>
      </w:r>
      <w:r>
        <w:rPr>
          <w:rFonts w:hint="eastAsia"/>
          <w:color w:val="000000" w:themeColor="text1"/>
          <w:sz w:val="28"/>
          <w:szCs w:val="28"/>
          <w:lang w:eastAsia="zh-CN"/>
          <w14:textFill>
            <w14:solidFill>
              <w14:schemeClr w14:val="tx1"/>
            </w14:solidFill>
          </w14:textFill>
        </w:rPr>
        <w:t>绝缘能力降低</w:t>
      </w:r>
      <w:r>
        <w:rPr>
          <w:color w:val="000000" w:themeColor="text1"/>
          <w:sz w:val="28"/>
          <w:szCs w:val="28"/>
          <w14:textFill>
            <w14:solidFill>
              <w14:schemeClr w14:val="tx1"/>
            </w14:solidFill>
          </w14:textFill>
        </w:rPr>
        <w:t>而引起。</w:t>
      </w:r>
    </w:p>
    <w:p w14:paraId="194338A0">
      <w:pPr>
        <w:keepNext w:val="0"/>
        <w:keepLines w:val="0"/>
        <w:pageBreakBefore w:val="0"/>
        <w:widowControl w:val="0"/>
        <w:numPr>
          <w:ilvl w:val="3"/>
          <w:numId w:val="0"/>
        </w:numPr>
        <w:tabs>
          <w:tab w:val="left" w:pos="420"/>
        </w:tabs>
        <w:kinsoku/>
        <w:wordWrap/>
        <w:overflowPunct/>
        <w:topLinePunct w:val="0"/>
        <w:autoSpaceDE/>
        <w:autoSpaceDN/>
        <w:bidi w:val="0"/>
        <w:spacing w:line="420" w:lineRule="exact"/>
        <w:ind w:left="864" w:leftChars="0" w:hanging="864" w:firstLineChars="0"/>
        <w:textAlignment w:val="auto"/>
        <w:outlineLvl w:val="9"/>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3.8.1.1</w:t>
      </w:r>
      <w:r>
        <w:rPr>
          <w:rFonts w:hint="eastAsia" w:ascii="宋体" w:hAnsi="宋体" w:eastAsia="宋体" w:cs="宋体"/>
          <w:b/>
          <w:bCs/>
          <w:color w:val="000000" w:themeColor="text1"/>
          <w:sz w:val="28"/>
          <w:szCs w:val="28"/>
          <w14:textFill>
            <w14:solidFill>
              <w14:schemeClr w14:val="tx1"/>
            </w14:solidFill>
          </w14:textFill>
        </w:rPr>
        <w:t>光伏组件火灾危险性分析</w:t>
      </w:r>
    </w:p>
    <w:p w14:paraId="2F9BA36D">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(1)光伏组件因运行环境因素、受潮、设备内部故障、操作维护不当等因素，可能引发火灾事故。</w:t>
      </w:r>
    </w:p>
    <w:p w14:paraId="262EA573">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站区外为荒山野地、田地等，树木众多、杂草丛生，站区内多为低矮灌木，如未及时修剪、清除，场区内外的杂草、树木和低矮灌木发生火灾，山火的燃烧速度快，燃烧范围广，灭火救援较困难，且电站占地面积大，则必然对光伏组件造成火灾影响和损坏，光伏组件受损的可能性大。</w:t>
      </w:r>
    </w:p>
    <w:p w14:paraId="480595F7">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(3)光伏场区外周边活动人员如恶意纵火也会造成光伏场区火灾。</w:t>
      </w:r>
    </w:p>
    <w:p w14:paraId="61C810E1">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(4)组件产生热斑效应、电缆短路或者荒山野草发生火灾都有可能导致光伏阵列发生火灾。</w:t>
      </w:r>
    </w:p>
    <w:p w14:paraId="178FB447">
      <w:pPr>
        <w:keepNext w:val="0"/>
        <w:keepLines w:val="0"/>
        <w:pageBreakBefore w:val="0"/>
        <w:widowControl w:val="0"/>
        <w:numPr>
          <w:ilvl w:val="3"/>
          <w:numId w:val="0"/>
        </w:numPr>
        <w:tabs>
          <w:tab w:val="left" w:pos="420"/>
        </w:tabs>
        <w:kinsoku/>
        <w:wordWrap/>
        <w:overflowPunct/>
        <w:topLinePunct w:val="0"/>
        <w:autoSpaceDE/>
        <w:autoSpaceDN/>
        <w:bidi w:val="0"/>
        <w:spacing w:line="420" w:lineRule="exact"/>
        <w:ind w:leftChars="0"/>
        <w:textAlignment w:val="auto"/>
        <w:outlineLvl w:val="9"/>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3.8.1.2</w:t>
      </w:r>
      <w:r>
        <w:rPr>
          <w:rFonts w:hint="eastAsia" w:ascii="宋体" w:hAnsi="宋体" w:eastAsia="宋体" w:cs="宋体"/>
          <w:b/>
          <w:bCs/>
          <w:color w:val="000000" w:themeColor="text1"/>
          <w:sz w:val="28"/>
          <w:szCs w:val="28"/>
          <w14:textFill>
            <w14:solidFill>
              <w14:schemeClr w14:val="tx1"/>
            </w14:solidFill>
          </w14:textFill>
        </w:rPr>
        <w:t>电缆火灾危险性分析</w:t>
      </w:r>
    </w:p>
    <w:p w14:paraId="637092A3">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电缆的绝缘材料、填充物和保护层如浸渍纸、漆布、橡胶、塑料等均属可燃物质，具有火灾危险性。引起电缆火灾的原因有：外部起火引发电缆着火和电缆本身缺陷引起着火。</w:t>
      </w:r>
    </w:p>
    <w:p w14:paraId="1897278F">
      <w:pPr>
        <w:keepNext w:val="0"/>
        <w:keepLines w:val="0"/>
        <w:pageBreakBefore w:val="0"/>
        <w:widowControl w:val="0"/>
        <w:numPr>
          <w:ilvl w:val="0"/>
          <w:numId w:val="20"/>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外部起火引起电缆着火的原因主要有：</w:t>
      </w:r>
    </w:p>
    <w:p w14:paraId="0D51B7CB">
      <w:pPr>
        <w:keepNext w:val="0"/>
        <w:keepLines w:val="0"/>
        <w:pageBreakBefore w:val="0"/>
        <w:widowControl w:val="0"/>
        <w:kinsoku/>
        <w:wordWrap/>
        <w:overflowPunct/>
        <w:topLinePunct w:val="0"/>
        <w:autoSpaceDE/>
        <w:autoSpaceDN/>
        <w:bidi w:val="0"/>
        <w:adjustRightInd/>
        <w:snapToGrid/>
        <w:spacing w:line="420" w:lineRule="exact"/>
        <w:ind w:firstLine="556" w:firstLineChars="200"/>
        <w:textAlignment w:val="auto"/>
        <w:rPr>
          <w:rFonts w:hint="eastAsia" w:ascii="宋体" w:hAnsi="宋体" w:eastAsia="宋体" w:cs="宋体"/>
          <w:color w:val="000000" w:themeColor="text1"/>
          <w:spacing w:val="-1"/>
          <w:sz w:val="28"/>
          <w:szCs w:val="28"/>
          <w14:textFill>
            <w14:solidFill>
              <w14:schemeClr w14:val="tx1"/>
            </w14:solidFill>
          </w14:textFill>
        </w:rPr>
      </w:pPr>
      <w:r>
        <w:rPr>
          <w:rFonts w:hint="eastAsia" w:ascii="宋体" w:hAnsi="宋体" w:eastAsia="宋体" w:cs="宋体"/>
          <w:color w:val="000000" w:themeColor="text1"/>
          <w:spacing w:val="-1"/>
          <w:sz w:val="28"/>
          <w:szCs w:val="28"/>
          <w:lang w:eastAsia="zh-CN"/>
          <w14:textFill>
            <w14:solidFill>
              <w14:schemeClr w14:val="tx1"/>
            </w14:solidFill>
          </w14:textFill>
        </w:rPr>
        <w:t>（</w:t>
      </w:r>
      <w:r>
        <w:rPr>
          <w:rFonts w:hint="eastAsia" w:ascii="宋体" w:hAnsi="宋体" w:eastAsia="宋体" w:cs="宋体"/>
          <w:color w:val="000000" w:themeColor="text1"/>
          <w:spacing w:val="-1"/>
          <w:sz w:val="28"/>
          <w:szCs w:val="28"/>
          <w:lang w:val="en-US" w:eastAsia="zh-CN"/>
          <w14:textFill>
            <w14:solidFill>
              <w14:schemeClr w14:val="tx1"/>
            </w14:solidFill>
          </w14:textFill>
        </w:rPr>
        <w:t>1</w:t>
      </w:r>
      <w:r>
        <w:rPr>
          <w:rFonts w:hint="eastAsia" w:ascii="宋体" w:hAnsi="宋体" w:eastAsia="宋体" w:cs="宋体"/>
          <w:color w:val="000000" w:themeColor="text1"/>
          <w:spacing w:val="-1"/>
          <w:sz w:val="28"/>
          <w:szCs w:val="28"/>
          <w:lang w:eastAsia="zh-CN"/>
          <w14:textFill>
            <w14:solidFill>
              <w14:schemeClr w14:val="tx1"/>
            </w14:solidFill>
          </w14:textFill>
        </w:rPr>
        <w:t>）</w:t>
      </w:r>
      <w:r>
        <w:rPr>
          <w:rFonts w:hint="eastAsia" w:ascii="宋体" w:hAnsi="宋体" w:eastAsia="宋体" w:cs="宋体"/>
          <w:color w:val="000000" w:themeColor="text1"/>
          <w:spacing w:val="-1"/>
          <w:sz w:val="28"/>
          <w:szCs w:val="28"/>
          <w14:textFill>
            <w14:solidFill>
              <w14:schemeClr w14:val="tx1"/>
            </w14:solidFill>
          </w14:textFill>
        </w:rPr>
        <w:t>开关设备、其他电气设备短路或接触电阻过大产生高温起火将附近电缆引燃。</w:t>
      </w:r>
    </w:p>
    <w:p w14:paraId="140D0709">
      <w:pPr>
        <w:keepNext w:val="0"/>
        <w:keepLines w:val="0"/>
        <w:pageBreakBefore w:val="0"/>
        <w:widowControl w:val="0"/>
        <w:kinsoku/>
        <w:wordWrap/>
        <w:overflowPunct/>
        <w:topLinePunct w:val="0"/>
        <w:autoSpaceDE/>
        <w:autoSpaceDN/>
        <w:bidi w:val="0"/>
        <w:adjustRightInd/>
        <w:snapToGrid/>
        <w:spacing w:line="420" w:lineRule="exact"/>
        <w:ind w:firstLine="556" w:firstLineChars="200"/>
        <w:textAlignment w:val="auto"/>
        <w:rPr>
          <w:rFonts w:hint="eastAsia" w:ascii="宋体" w:hAnsi="宋体" w:eastAsia="宋体" w:cs="宋体"/>
          <w:color w:val="000000" w:themeColor="text1"/>
          <w:spacing w:val="-1"/>
          <w:sz w:val="28"/>
          <w:szCs w:val="28"/>
          <w14:textFill>
            <w14:solidFill>
              <w14:schemeClr w14:val="tx1"/>
            </w14:solidFill>
          </w14:textFill>
        </w:rPr>
      </w:pPr>
      <w:r>
        <w:rPr>
          <w:rFonts w:hint="eastAsia" w:ascii="宋体" w:hAnsi="宋体" w:eastAsia="宋体" w:cs="宋体"/>
          <w:color w:val="000000" w:themeColor="text1"/>
          <w:spacing w:val="-1"/>
          <w:sz w:val="28"/>
          <w:szCs w:val="28"/>
          <w:lang w:eastAsia="zh-CN"/>
          <w14:textFill>
            <w14:solidFill>
              <w14:schemeClr w14:val="tx1"/>
            </w14:solidFill>
          </w14:textFill>
        </w:rPr>
        <w:t>（</w:t>
      </w:r>
      <w:r>
        <w:rPr>
          <w:rFonts w:hint="eastAsia" w:ascii="宋体" w:hAnsi="宋体" w:eastAsia="宋体" w:cs="宋体"/>
          <w:color w:val="000000" w:themeColor="text1"/>
          <w:spacing w:val="-1"/>
          <w:sz w:val="28"/>
          <w:szCs w:val="28"/>
          <w:lang w:val="en-US" w:eastAsia="zh-CN"/>
          <w14:textFill>
            <w14:solidFill>
              <w14:schemeClr w14:val="tx1"/>
            </w14:solidFill>
          </w14:textFill>
        </w:rPr>
        <w:t>2</w:t>
      </w:r>
      <w:r>
        <w:rPr>
          <w:rFonts w:hint="eastAsia" w:ascii="宋体" w:hAnsi="宋体" w:eastAsia="宋体" w:cs="宋体"/>
          <w:color w:val="000000" w:themeColor="text1"/>
          <w:spacing w:val="-1"/>
          <w:sz w:val="28"/>
          <w:szCs w:val="28"/>
          <w:lang w:eastAsia="zh-CN"/>
          <w14:textFill>
            <w14:solidFill>
              <w14:schemeClr w14:val="tx1"/>
            </w14:solidFill>
          </w14:textFill>
        </w:rPr>
        <w:t>）</w:t>
      </w:r>
      <w:r>
        <w:rPr>
          <w:rFonts w:hint="eastAsia" w:ascii="宋体" w:hAnsi="宋体" w:eastAsia="宋体" w:cs="宋体"/>
          <w:color w:val="000000" w:themeColor="text1"/>
          <w:spacing w:val="-1"/>
          <w:sz w:val="28"/>
          <w:szCs w:val="28"/>
          <w14:textFill>
            <w14:solidFill>
              <w14:schemeClr w14:val="tx1"/>
            </w14:solidFill>
          </w14:textFill>
        </w:rPr>
        <w:t>安装和检修时高温焊渣等掉到电缆上引起着火。</w:t>
      </w:r>
    </w:p>
    <w:p w14:paraId="0CA04540">
      <w:pPr>
        <w:keepNext w:val="0"/>
        <w:keepLines w:val="0"/>
        <w:pageBreakBefore w:val="0"/>
        <w:widowControl w:val="0"/>
        <w:kinsoku/>
        <w:wordWrap/>
        <w:overflowPunct/>
        <w:topLinePunct w:val="0"/>
        <w:autoSpaceDE/>
        <w:autoSpaceDN/>
        <w:bidi w:val="0"/>
        <w:adjustRightInd/>
        <w:snapToGrid/>
        <w:spacing w:line="420" w:lineRule="exact"/>
        <w:ind w:firstLine="556" w:firstLineChars="200"/>
        <w:textAlignment w:val="auto"/>
        <w:rPr>
          <w:rFonts w:hint="eastAsia" w:ascii="宋体" w:hAnsi="宋体" w:eastAsia="宋体" w:cs="宋体"/>
          <w:color w:val="000000" w:themeColor="text1"/>
          <w:spacing w:val="-1"/>
          <w:sz w:val="28"/>
          <w:szCs w:val="28"/>
          <w14:textFill>
            <w14:solidFill>
              <w14:schemeClr w14:val="tx1"/>
            </w14:solidFill>
          </w14:textFill>
        </w:rPr>
      </w:pPr>
      <w:r>
        <w:rPr>
          <w:rFonts w:hint="eastAsia" w:ascii="宋体" w:hAnsi="宋体" w:eastAsia="宋体" w:cs="宋体"/>
          <w:color w:val="000000" w:themeColor="text1"/>
          <w:spacing w:val="-1"/>
          <w:sz w:val="28"/>
          <w:szCs w:val="28"/>
          <w:lang w:eastAsia="zh-CN"/>
          <w14:textFill>
            <w14:solidFill>
              <w14:schemeClr w14:val="tx1"/>
            </w14:solidFill>
          </w14:textFill>
        </w:rPr>
        <w:t>（</w:t>
      </w:r>
      <w:r>
        <w:rPr>
          <w:rFonts w:hint="eastAsia" w:ascii="宋体" w:hAnsi="宋体" w:eastAsia="宋体" w:cs="宋体"/>
          <w:color w:val="000000" w:themeColor="text1"/>
          <w:spacing w:val="-1"/>
          <w:sz w:val="28"/>
          <w:szCs w:val="28"/>
          <w:lang w:val="en-US" w:eastAsia="zh-CN"/>
          <w14:textFill>
            <w14:solidFill>
              <w14:schemeClr w14:val="tx1"/>
            </w14:solidFill>
          </w14:textFill>
        </w:rPr>
        <w:t>3</w:t>
      </w:r>
      <w:r>
        <w:rPr>
          <w:rFonts w:hint="eastAsia" w:ascii="宋体" w:hAnsi="宋体" w:eastAsia="宋体" w:cs="宋体"/>
          <w:color w:val="000000" w:themeColor="text1"/>
          <w:spacing w:val="-1"/>
          <w:sz w:val="28"/>
          <w:szCs w:val="28"/>
          <w:lang w:eastAsia="zh-CN"/>
          <w14:textFill>
            <w14:solidFill>
              <w14:schemeClr w14:val="tx1"/>
            </w14:solidFill>
          </w14:textFill>
        </w:rPr>
        <w:t>）</w:t>
      </w:r>
      <w:r>
        <w:rPr>
          <w:rFonts w:hint="eastAsia" w:ascii="宋体" w:hAnsi="宋体" w:eastAsia="宋体" w:cs="宋体"/>
          <w:color w:val="000000" w:themeColor="text1"/>
          <w:spacing w:val="-1"/>
          <w:sz w:val="28"/>
          <w:szCs w:val="28"/>
          <w14:textFill>
            <w14:solidFill>
              <w14:schemeClr w14:val="tx1"/>
            </w14:solidFill>
          </w14:textFill>
        </w:rPr>
        <w:t>其他可燃、易燃物质着火后将附近电缆引燃。</w:t>
      </w:r>
    </w:p>
    <w:p w14:paraId="19CFB12D">
      <w:pPr>
        <w:keepNext w:val="0"/>
        <w:keepLines w:val="0"/>
        <w:pageBreakBefore w:val="0"/>
        <w:widowControl w:val="0"/>
        <w:numPr>
          <w:ilvl w:val="0"/>
          <w:numId w:val="20"/>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电缆本身缺陷引起电缆着火的原因：</w:t>
      </w:r>
    </w:p>
    <w:p w14:paraId="79805E72">
      <w:pPr>
        <w:keepNext w:val="0"/>
        <w:keepLines w:val="0"/>
        <w:pageBreakBefore w:val="0"/>
        <w:widowControl w:val="0"/>
        <w:numPr>
          <w:ilvl w:val="0"/>
          <w:numId w:val="21"/>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电缆本身在制造时有缺陷，在敷设时保护铅皮损坏或在运行中电缆绝缘受到机械损伤，引起电缆之间或铅皮之间的绝缘击穿而发生电弧。电弧高温能引燃电缆内的绝缘材料和电缆外层的麻布等。</w:t>
      </w:r>
    </w:p>
    <w:p w14:paraId="1A608A32">
      <w:pPr>
        <w:keepNext w:val="0"/>
        <w:keepLines w:val="0"/>
        <w:pageBreakBefore w:val="0"/>
        <w:widowControl w:val="0"/>
        <w:numPr>
          <w:ilvl w:val="0"/>
          <w:numId w:val="21"/>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电缆长期受水、酸、碱和其他有腐蚀性气体或液体腐蚀使保护层破坏，绝缘强度降低，引起电缆短路起火。</w:t>
      </w:r>
    </w:p>
    <w:p w14:paraId="5D1EB8F0">
      <w:pPr>
        <w:keepNext w:val="0"/>
        <w:keepLines w:val="0"/>
        <w:pageBreakBefore w:val="0"/>
        <w:widowControl w:val="0"/>
        <w:numPr>
          <w:ilvl w:val="0"/>
          <w:numId w:val="21"/>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在长时间运行中，由于过负荷、过热等原因使电缆绝缘加速老化、干枯，绝缘强度降低，引起电缆相间或对地击穿短路起火。</w:t>
      </w:r>
    </w:p>
    <w:p w14:paraId="0E91E4AB">
      <w:pPr>
        <w:keepNext w:val="0"/>
        <w:keepLines w:val="0"/>
        <w:pageBreakBefore w:val="0"/>
        <w:widowControl w:val="0"/>
        <w:numPr>
          <w:ilvl w:val="0"/>
          <w:numId w:val="21"/>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电缆外护套破损或密封不良，使电缆发生水渗浸受潮，导致绝缘击穿短路。</w:t>
      </w:r>
    </w:p>
    <w:p w14:paraId="2C720D2E">
      <w:pPr>
        <w:keepNext w:val="0"/>
        <w:keepLines w:val="0"/>
        <w:pageBreakBefore w:val="0"/>
        <w:widowControl w:val="0"/>
        <w:numPr>
          <w:ilvl w:val="0"/>
          <w:numId w:val="21"/>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过电压使电缆绝缘击穿发生短路起火。</w:t>
      </w:r>
    </w:p>
    <w:p w14:paraId="4FB7C816">
      <w:pPr>
        <w:keepNext w:val="0"/>
        <w:keepLines w:val="0"/>
        <w:pageBreakBefore w:val="0"/>
        <w:widowControl w:val="0"/>
        <w:numPr>
          <w:ilvl w:val="0"/>
          <w:numId w:val="21"/>
        </w:numPr>
        <w:kinsoku/>
        <w:wordWrap/>
        <w:overflowPunct/>
        <w:topLinePunct w:val="0"/>
        <w:autoSpaceDE/>
        <w:autoSpaceDN/>
        <w:bidi w:val="0"/>
        <w:adjustRightInd/>
        <w:snapToGrid/>
        <w:spacing w:line="42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安装时电缆的曲率半径过小，致使绝缘折断受损发生短路。</w:t>
      </w:r>
    </w:p>
    <w:p w14:paraId="02BA716C">
      <w:pPr>
        <w:keepNext w:val="0"/>
        <w:keepLines w:val="0"/>
        <w:pageBreakBefore w:val="0"/>
        <w:widowControl w:val="0"/>
        <w:numPr>
          <w:ilvl w:val="0"/>
          <w:numId w:val="21"/>
        </w:numPr>
        <w:kinsoku/>
        <w:wordWrap/>
        <w:overflowPunct/>
        <w:topLinePunct w:val="0"/>
        <w:autoSpaceDE/>
        <w:autoSpaceDN/>
        <w:bidi w:val="0"/>
        <w:adjustRightInd/>
        <w:snapToGrid/>
        <w:spacing w:line="42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电缆终端接头和中间接头接触不良发生短路事故，引起电缆着火。</w:t>
      </w:r>
    </w:p>
    <w:p w14:paraId="5F3CD62A">
      <w:pPr>
        <w:keepNext w:val="0"/>
        <w:keepLines w:val="0"/>
        <w:pageBreakBefore w:val="0"/>
        <w:widowControl w:val="0"/>
        <w:kinsoku/>
        <w:wordWrap/>
        <w:overflowPunct/>
        <w:topLinePunct w:val="0"/>
        <w:autoSpaceDE/>
        <w:autoSpaceDN/>
        <w:bidi w:val="0"/>
        <w:adjustRightInd/>
        <w:snapToGrid/>
        <w:spacing w:line="420" w:lineRule="exact"/>
        <w:ind w:firstLine="556" w:firstLineChars="200"/>
        <w:textAlignment w:val="auto"/>
        <w:rPr>
          <w:rFonts w:hint="eastAsia" w:ascii="宋体" w:hAnsi="宋体" w:eastAsia="宋体" w:cs="宋体"/>
          <w:color w:val="000000" w:themeColor="text1"/>
          <w:spacing w:val="-1"/>
          <w:sz w:val="28"/>
          <w:szCs w:val="28"/>
          <w14:textFill>
            <w14:solidFill>
              <w14:schemeClr w14:val="tx1"/>
            </w14:solidFill>
          </w14:textFill>
        </w:rPr>
      </w:pPr>
      <w:r>
        <w:rPr>
          <w:rFonts w:hint="eastAsia" w:ascii="宋体" w:hAnsi="宋体" w:eastAsia="宋体" w:cs="宋体"/>
          <w:color w:val="000000" w:themeColor="text1"/>
          <w:spacing w:val="-1"/>
          <w:sz w:val="28"/>
          <w:szCs w:val="28"/>
          <w:lang w:val="en-US" w:eastAsia="zh-CN"/>
          <w14:textFill>
            <w14:solidFill>
              <w14:schemeClr w14:val="tx1"/>
            </w14:solidFill>
          </w14:textFill>
        </w:rPr>
        <w:t>3.</w:t>
      </w:r>
      <w:r>
        <w:rPr>
          <w:rFonts w:hint="eastAsia" w:ascii="宋体" w:hAnsi="宋体" w:eastAsia="宋体" w:cs="宋体"/>
          <w:color w:val="000000" w:themeColor="text1"/>
          <w:spacing w:val="-1"/>
          <w:sz w:val="28"/>
          <w:szCs w:val="28"/>
          <w14:textFill>
            <w14:solidFill>
              <w14:schemeClr w14:val="tx1"/>
            </w14:solidFill>
          </w14:textFill>
        </w:rPr>
        <w:t>其它电气火灾危险性分析</w:t>
      </w:r>
    </w:p>
    <w:p w14:paraId="4C9577EF">
      <w:pPr>
        <w:keepNext w:val="0"/>
        <w:keepLines w:val="0"/>
        <w:pageBreakBefore w:val="0"/>
        <w:widowControl w:val="0"/>
        <w:kinsoku/>
        <w:wordWrap/>
        <w:overflowPunct/>
        <w:topLinePunct w:val="0"/>
        <w:autoSpaceDE/>
        <w:autoSpaceDN/>
        <w:bidi w:val="0"/>
        <w:adjustRightInd/>
        <w:snapToGrid/>
        <w:spacing w:line="420" w:lineRule="exact"/>
        <w:ind w:firstLine="556"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pacing w:val="-1"/>
          <w:sz w:val="28"/>
          <w:szCs w:val="28"/>
          <w14:textFill>
            <w14:solidFill>
              <w14:schemeClr w14:val="tx1"/>
            </w14:solidFill>
          </w14:textFill>
        </w:rPr>
        <w:t>光伏发电输电电缆的埋地段，若遭到自然的或人为的破坏，可能引起 火灾。</w:t>
      </w:r>
    </w:p>
    <w:p w14:paraId="455CD14E">
      <w:pPr>
        <w:keepNext w:val="0"/>
        <w:keepLines w:val="0"/>
        <w:pageBreakBefore w:val="0"/>
        <w:widowControl w:val="0"/>
        <w:numPr>
          <w:ilvl w:val="3"/>
          <w:numId w:val="0"/>
        </w:numPr>
        <w:tabs>
          <w:tab w:val="left" w:pos="420"/>
        </w:tabs>
        <w:kinsoku/>
        <w:wordWrap/>
        <w:overflowPunct/>
        <w:topLinePunct w:val="0"/>
        <w:autoSpaceDE/>
        <w:autoSpaceDN/>
        <w:bidi w:val="0"/>
        <w:spacing w:line="420" w:lineRule="exact"/>
        <w:ind w:leftChars="0"/>
        <w:textAlignment w:val="auto"/>
        <w:outlineLvl w:val="9"/>
        <w:rPr>
          <w:b/>
          <w:bCs/>
          <w:color w:val="000000" w:themeColor="text1"/>
          <w:sz w:val="28"/>
          <w:szCs w:val="28"/>
          <w14:textFill>
            <w14:solidFill>
              <w14:schemeClr w14:val="tx1"/>
            </w14:solidFill>
          </w14:textFill>
        </w:rPr>
      </w:pP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3.8.1.3</w:t>
      </w:r>
      <w:r>
        <w:rPr>
          <w:rFonts w:hint="eastAsia" w:ascii="宋体" w:hAnsi="宋体" w:eastAsia="宋体" w:cs="宋体"/>
          <w:b/>
          <w:bCs/>
          <w:color w:val="000000" w:themeColor="text1"/>
          <w:sz w:val="28"/>
          <w:szCs w:val="28"/>
          <w:lang w:val="en-US" w:eastAsia="zh-CN"/>
          <w14:textFill>
            <w14:solidFill>
              <w14:schemeClr w14:val="tx1"/>
            </w14:solidFill>
          </w14:textFill>
        </w:rPr>
        <w:t>变压器</w:t>
      </w:r>
      <w:r>
        <w:rPr>
          <w:rFonts w:hint="eastAsia" w:ascii="宋体" w:hAnsi="宋体" w:eastAsia="宋体" w:cs="宋体"/>
          <w:b/>
          <w:bCs/>
          <w:color w:val="000000" w:themeColor="text1"/>
          <w:sz w:val="28"/>
          <w:szCs w:val="28"/>
          <w14:textFill>
            <w14:solidFill>
              <w14:schemeClr w14:val="tx1"/>
            </w14:solidFill>
          </w14:textFill>
        </w:rPr>
        <w:t>火灾危险性分析</w:t>
      </w:r>
    </w:p>
    <w:p w14:paraId="30A049AA">
      <w:pPr>
        <w:keepNext w:val="0"/>
        <w:keepLines w:val="0"/>
        <w:pageBreakBefore w:val="0"/>
        <w:widowControl w:val="0"/>
        <w:kinsoku/>
        <w:wordWrap/>
        <w:overflowPunct/>
        <w:topLinePunct w:val="0"/>
        <w:autoSpaceDE/>
        <w:autoSpaceDN/>
        <w:bidi w:val="0"/>
        <w:spacing w:line="42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变压器的其它绝缘材料，如电缆线、漆布、木材、黄漆布带、棉布、棉纱、浸渍纸等属可燃物质，在变压器长时间过载发热、短路或其它异常情况下，均易引发火灾事故。</w:t>
      </w:r>
    </w:p>
    <w:p w14:paraId="2EC0A9B0">
      <w:pPr>
        <w:keepNext w:val="0"/>
        <w:keepLines w:val="0"/>
        <w:pageBreakBefore w:val="0"/>
        <w:widowControl w:val="0"/>
        <w:kinsoku/>
        <w:wordWrap/>
        <w:overflowPunct/>
        <w:topLinePunct w:val="0"/>
        <w:autoSpaceDE/>
        <w:autoSpaceDN/>
        <w:bidi w:val="0"/>
        <w:spacing w:line="42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造成变压器绝缘损伤短路，产生电弧的主要原因有：</w:t>
      </w:r>
    </w:p>
    <w:p w14:paraId="338D686A">
      <w:pPr>
        <w:keepNext w:val="0"/>
        <w:keepLines w:val="0"/>
        <w:pageBreakBefore w:val="0"/>
        <w:widowControl w:val="0"/>
        <w:numPr>
          <w:ilvl w:val="0"/>
          <w:numId w:val="22"/>
        </w:numPr>
        <w:kinsoku/>
        <w:wordWrap/>
        <w:overflowPunct/>
        <w:topLinePunct w:val="0"/>
        <w:autoSpaceDE/>
        <w:autoSpaceDN/>
        <w:bidi w:val="0"/>
        <w:spacing w:line="42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变压器里的绝缘材料如电缆纸、棉纱、布料、木块等长期在较高温度作用下逐步老化，使绝缘强度降低、脱落，引起线圈匝间短路。</w:t>
      </w:r>
    </w:p>
    <w:p w14:paraId="030B661E">
      <w:pPr>
        <w:keepNext w:val="0"/>
        <w:keepLines w:val="0"/>
        <w:pageBreakBefore w:val="0"/>
        <w:widowControl w:val="0"/>
        <w:numPr>
          <w:ilvl w:val="0"/>
          <w:numId w:val="22"/>
        </w:numPr>
        <w:kinsoku/>
        <w:wordWrap/>
        <w:overflowPunct/>
        <w:topLinePunct w:val="0"/>
        <w:autoSpaceDE/>
        <w:autoSpaceDN/>
        <w:bidi w:val="0"/>
        <w:spacing w:line="42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在过电压冲击下，变压器发生穿越性故障。</w:t>
      </w:r>
    </w:p>
    <w:p w14:paraId="0D29AB07">
      <w:pPr>
        <w:keepNext w:val="0"/>
        <w:keepLines w:val="0"/>
        <w:pageBreakBefore w:val="0"/>
        <w:widowControl w:val="0"/>
        <w:numPr>
          <w:ilvl w:val="0"/>
          <w:numId w:val="22"/>
        </w:numPr>
        <w:kinsoku/>
        <w:wordWrap/>
        <w:overflowPunct/>
        <w:topLinePunct w:val="0"/>
        <w:autoSpaceDE/>
        <w:autoSpaceDN/>
        <w:bidi w:val="0"/>
        <w:spacing w:line="42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检修质量不良使局部绝缘损伤。</w:t>
      </w:r>
    </w:p>
    <w:p w14:paraId="28E97A15">
      <w:pPr>
        <w:keepNext w:val="0"/>
        <w:keepLines w:val="0"/>
        <w:pageBreakBefore w:val="0"/>
        <w:widowControl w:val="0"/>
        <w:numPr>
          <w:ilvl w:val="0"/>
          <w:numId w:val="22"/>
        </w:numPr>
        <w:kinsoku/>
        <w:wordWrap/>
        <w:overflowPunct/>
        <w:topLinePunct w:val="0"/>
        <w:autoSpaceDE/>
        <w:autoSpaceDN/>
        <w:bidi w:val="0"/>
        <w:spacing w:line="42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变压器油质劣化或变压器进水受潮。</w:t>
      </w:r>
    </w:p>
    <w:p w14:paraId="6573225B">
      <w:pPr>
        <w:keepNext w:val="0"/>
        <w:keepLines w:val="0"/>
        <w:pageBreakBefore w:val="0"/>
        <w:widowControl w:val="0"/>
        <w:numPr>
          <w:ilvl w:val="0"/>
          <w:numId w:val="22"/>
        </w:numPr>
        <w:kinsoku/>
        <w:wordWrap/>
        <w:overflowPunct/>
        <w:topLinePunct w:val="0"/>
        <w:autoSpaceDE/>
        <w:autoSpaceDN/>
        <w:bidi w:val="0"/>
        <w:spacing w:line="420" w:lineRule="exact"/>
        <w:textAlignment w:val="auto"/>
        <w:rPr>
          <w:rFonts w:hint="eastAsia"/>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变压器长期过载发热。</w:t>
      </w:r>
    </w:p>
    <w:p w14:paraId="41FBE242">
      <w:pPr>
        <w:keepNext w:val="0"/>
        <w:keepLines w:val="0"/>
        <w:pageBreakBefore w:val="0"/>
        <w:widowControl w:val="0"/>
        <w:numPr>
          <w:ilvl w:val="0"/>
          <w:numId w:val="22"/>
        </w:numPr>
        <w:kinsoku/>
        <w:wordWrap/>
        <w:overflowPunct/>
        <w:topLinePunct w:val="0"/>
        <w:autoSpaceDE/>
        <w:autoSpaceDN/>
        <w:bidi w:val="0"/>
        <w:spacing w:line="420" w:lineRule="exact"/>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铁芯磁路故障。</w:t>
      </w:r>
    </w:p>
    <w:p w14:paraId="57C0974E">
      <w:pPr>
        <w:keepNext w:val="0"/>
        <w:keepLines w:val="0"/>
        <w:pageBreakBefore w:val="0"/>
        <w:widowControl w:val="0"/>
        <w:numPr>
          <w:ilvl w:val="3"/>
          <w:numId w:val="0"/>
        </w:numPr>
        <w:tabs>
          <w:tab w:val="left" w:pos="420"/>
        </w:tabs>
        <w:kinsoku/>
        <w:wordWrap/>
        <w:overflowPunct/>
        <w:topLinePunct w:val="0"/>
        <w:autoSpaceDE/>
        <w:autoSpaceDN/>
        <w:bidi w:val="0"/>
        <w:spacing w:line="420" w:lineRule="exact"/>
        <w:ind w:leftChars="0"/>
        <w:textAlignment w:val="auto"/>
        <w:outlineLvl w:val="9"/>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3.8.1.4</w:t>
      </w:r>
      <w:r>
        <w:rPr>
          <w:rFonts w:hint="eastAsia" w:ascii="宋体" w:hAnsi="宋体" w:eastAsia="宋体" w:cs="宋体"/>
          <w:b/>
          <w:bCs/>
          <w:color w:val="000000" w:themeColor="text1"/>
          <w:sz w:val="28"/>
          <w:szCs w:val="28"/>
          <w:lang w:val="en-US" w:eastAsia="zh-CN"/>
          <w14:textFill>
            <w14:solidFill>
              <w14:schemeClr w14:val="tx1"/>
            </w14:solidFill>
          </w14:textFill>
        </w:rPr>
        <w:t>山林</w:t>
      </w:r>
      <w:r>
        <w:rPr>
          <w:rFonts w:hint="eastAsia" w:ascii="宋体" w:hAnsi="宋体" w:eastAsia="宋体" w:cs="宋体"/>
          <w:b/>
          <w:bCs/>
          <w:color w:val="000000" w:themeColor="text1"/>
          <w:sz w:val="28"/>
          <w:szCs w:val="28"/>
          <w14:textFill>
            <w14:solidFill>
              <w14:schemeClr w14:val="tx1"/>
            </w14:solidFill>
          </w14:textFill>
        </w:rPr>
        <w:t>火灾危险性分析</w:t>
      </w:r>
    </w:p>
    <w:p w14:paraId="780753F3">
      <w:pPr>
        <w:pStyle w:val="29"/>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按照山火高发的季节、时段、天气状况进行排查。山火的发生一般来说主要集中在：</w:t>
      </w:r>
    </w:p>
    <w:p w14:paraId="53788CED">
      <w:pPr>
        <w:pStyle w:val="29"/>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1</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rPr>
        <w:t>冬末春初植被干枯，天气转晴气温上升，且少雨干燥期间。</w:t>
      </w:r>
    </w:p>
    <w:p w14:paraId="12F222A1">
      <w:pPr>
        <w:pStyle w:val="29"/>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2</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rPr>
        <w:t>清明前后，集中祭祖扫墓期间。</w:t>
      </w:r>
    </w:p>
    <w:p w14:paraId="3534B659">
      <w:pPr>
        <w:pStyle w:val="29"/>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3</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rPr>
        <w:t>夏秋季连续高温，晴朗干旱时段，例如5月-6月上旬、7月-8月期间出现长时间无雨高温天气，山火发生次数明显增多。该时段因植被生长旺盛，往往容易忽视，但山火隐患仍然存在，必须警惕。</w:t>
      </w:r>
    </w:p>
    <w:p w14:paraId="111A85EC">
      <w:pPr>
        <w:pStyle w:val="29"/>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4</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rPr>
        <w:t>秋末冬初，天气干燥多风期间，同时农民烧荒时也是山火高发期。</w:t>
      </w:r>
    </w:p>
    <w:p w14:paraId="1078F1A2">
      <w:pPr>
        <w:pStyle w:val="29"/>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5</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rPr>
        <w:t>过节燃放烟花爆竹期间，也应高度关注期间山火防范。</w:t>
      </w:r>
    </w:p>
    <w:p w14:paraId="25C21465">
      <w:pPr>
        <w:pStyle w:val="29"/>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6</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rPr>
        <w:t>邻近村镇或农村零散户的山地、林地发生山火的</w:t>
      </w:r>
      <w:r>
        <w:rPr>
          <w:rFonts w:hint="eastAsia" w:ascii="宋体" w:hAnsi="宋体" w:eastAsia="宋体" w:cs="宋体"/>
          <w:b w:val="0"/>
          <w:bCs w:val="0"/>
          <w:color w:val="auto"/>
          <w:sz w:val="28"/>
          <w:szCs w:val="28"/>
          <w:lang w:eastAsia="zh-CN"/>
        </w:rPr>
        <w:t>概率</w:t>
      </w:r>
      <w:r>
        <w:rPr>
          <w:rFonts w:hint="eastAsia" w:ascii="宋体" w:hAnsi="宋体" w:eastAsia="宋体" w:cs="宋体"/>
          <w:b w:val="0"/>
          <w:bCs w:val="0"/>
          <w:color w:val="auto"/>
          <w:sz w:val="28"/>
          <w:szCs w:val="28"/>
        </w:rPr>
        <w:t>高。因为村镇流动人员复杂，用火随意性大，防范意识差，而农村零散户用火、烧荒疏于看管，且无人提醒都容易发生山火。</w:t>
      </w:r>
    </w:p>
    <w:p w14:paraId="62157D42">
      <w:pPr>
        <w:pStyle w:val="29"/>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7</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rPr>
        <w:t>人为原因是最大的一个因素，在项目区游玩时玩火、烧山、抽烟、野炊活动等一切带火活动均可能引发山火。</w:t>
      </w:r>
    </w:p>
    <w:p w14:paraId="33A4356B">
      <w:pPr>
        <w:pStyle w:val="29"/>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8</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rPr>
        <w:t>电站区域内的电线因短路也可能引起火灾，雷击也可以导致火灾的发生。</w:t>
      </w:r>
    </w:p>
    <w:p w14:paraId="59238C55">
      <w:pPr>
        <w:pStyle w:val="29"/>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因本光伏电站建于野外，周边均为林地和荒草地，山火如不能及时控制，可烧毁光伏电站建筑设备设施，还可能危及运行管理人员的人身安全。</w:t>
      </w:r>
    </w:p>
    <w:p w14:paraId="20214FA6">
      <w:pPr>
        <w:keepNext w:val="0"/>
        <w:keepLines w:val="0"/>
        <w:pageBreakBefore w:val="0"/>
        <w:widowControl w:val="0"/>
        <w:numPr>
          <w:ilvl w:val="3"/>
          <w:numId w:val="0"/>
        </w:numPr>
        <w:tabs>
          <w:tab w:val="left" w:pos="420"/>
        </w:tabs>
        <w:kinsoku/>
        <w:wordWrap/>
        <w:overflowPunct/>
        <w:topLinePunct w:val="0"/>
        <w:autoSpaceDE/>
        <w:autoSpaceDN/>
        <w:bidi w:val="0"/>
        <w:spacing w:line="420" w:lineRule="exact"/>
        <w:ind w:firstLine="560" w:firstLineChars="200"/>
        <w:textAlignment w:val="auto"/>
        <w:outlineLvl w:val="9"/>
        <w:rPr>
          <w:rFonts w:hint="eastAsia"/>
        </w:rPr>
      </w:pPr>
      <w:r>
        <w:rPr>
          <w:rFonts w:hint="eastAsia" w:ascii="宋体" w:hAnsi="宋体" w:eastAsia="宋体" w:cs="宋体"/>
          <w:b w:val="0"/>
          <w:bCs w:val="0"/>
          <w:color w:val="auto"/>
          <w:sz w:val="28"/>
          <w:szCs w:val="28"/>
        </w:rPr>
        <w:t>其次，光伏电站线路短路的电气设备火灾因控制不好，也可能蔓延引起山火的发生。</w:t>
      </w:r>
    </w:p>
    <w:p w14:paraId="7FA61169">
      <w:pPr>
        <w:pStyle w:val="4"/>
        <w:keepNext w:val="0"/>
        <w:keepLines w:val="0"/>
        <w:pageBreakBefore w:val="0"/>
        <w:widowControl w:val="0"/>
        <w:numPr>
          <w:ilvl w:val="3"/>
          <w:numId w:val="0"/>
        </w:numPr>
        <w:tabs>
          <w:tab w:val="left" w:pos="420"/>
        </w:tabs>
        <w:kinsoku/>
        <w:wordWrap/>
        <w:overflowPunct/>
        <w:topLinePunct w:val="0"/>
        <w:autoSpaceDE/>
        <w:autoSpaceDN/>
        <w:bidi w:val="0"/>
        <w:spacing w:line="420" w:lineRule="exact"/>
        <w:textAlignment w:val="auto"/>
        <w:outlineLvl w:val="2"/>
        <w:rPr>
          <w:rFonts w:hint="eastAsia" w:ascii="宋体" w:hAnsi="宋体" w:eastAsia="宋体" w:cs="宋体"/>
          <w:b/>
          <w:bCs/>
          <w:color w:val="000000" w:themeColor="text1"/>
          <w:sz w:val="30"/>
          <w:szCs w:val="30"/>
          <w:lang w:val="en-US" w:eastAsia="zh-CN"/>
          <w14:textFill>
            <w14:solidFill>
              <w14:schemeClr w14:val="tx1"/>
            </w14:solidFill>
          </w14:textFill>
        </w:rPr>
      </w:pPr>
      <w:bookmarkStart w:id="334" w:name="_Toc25895"/>
      <w:r>
        <w:rPr>
          <w:rFonts w:hint="eastAsia" w:ascii="宋体" w:hAnsi="宋体" w:eastAsia="宋体" w:cs="宋体"/>
          <w:b/>
          <w:bCs/>
          <w:color w:val="000000" w:themeColor="text1"/>
          <w:sz w:val="30"/>
          <w:szCs w:val="30"/>
          <w:lang w:val="en-US" w:eastAsia="zh-CN"/>
          <w14:textFill>
            <w14:solidFill>
              <w14:schemeClr w14:val="tx1"/>
            </w14:solidFill>
          </w14:textFill>
        </w:rPr>
        <w:t>3.8.2爆炸危险性分析</w:t>
      </w:r>
      <w:bookmarkEnd w:id="334"/>
    </w:p>
    <w:p w14:paraId="42788E78">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据《企业职工伤亡事故分类》（GB6441-1986），将爆炸分为瓦斯爆炸、火药爆炸、锅炉爆炸、容器爆炸、其他爆炸。本光伏发电站运行中不涉及瓦斯、火药、锅炉爆炸。运行期间存在变压器</w:t>
      </w:r>
      <w:r>
        <w:rPr>
          <w:rFonts w:hint="eastAsia" w:ascii="宋体" w:hAnsi="宋体" w:eastAsia="宋体" w:cs="宋体"/>
          <w:color w:val="000000" w:themeColor="text1"/>
          <w:sz w:val="28"/>
          <w:szCs w:val="28"/>
          <w:lang w:val="en-US" w:eastAsia="zh-CN"/>
          <w14:textFill>
            <w14:solidFill>
              <w14:schemeClr w14:val="tx1"/>
            </w14:solidFill>
          </w14:textFill>
        </w:rPr>
        <w:t>其他</w:t>
      </w:r>
      <w:r>
        <w:rPr>
          <w:rFonts w:hint="eastAsia" w:ascii="宋体" w:hAnsi="宋体" w:eastAsia="宋体" w:cs="宋体"/>
          <w:color w:val="000000" w:themeColor="text1"/>
          <w:sz w:val="28"/>
          <w:szCs w:val="28"/>
          <w14:textFill>
            <w14:solidFill>
              <w14:schemeClr w14:val="tx1"/>
            </w14:solidFill>
          </w14:textFill>
        </w:rPr>
        <w:t>爆炸危险。</w:t>
      </w:r>
    </w:p>
    <w:p w14:paraId="5EA193F8">
      <w:pPr>
        <w:pageBreakBefore w:val="0"/>
        <w:widowControl w:val="0"/>
        <w:kinsoku/>
        <w:wordWrap/>
        <w:overflowPunct/>
        <w:topLinePunct w:val="0"/>
        <w:autoSpaceDE/>
        <w:autoSpaceDN/>
        <w:bidi w:val="0"/>
        <w:spacing w:line="420" w:lineRule="exact"/>
        <w:ind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变压器油是变压器火灾爆炸事故的主要根源。当变压器内部发生短路产生电弧，在电弧高温作用下，油被分解气化爆燃，使变压器外壳爆裂，大量喷油着火。造成人员的重大伤亡，设备的严重损坏。</w:t>
      </w:r>
    </w:p>
    <w:p w14:paraId="017AC14A">
      <w:pPr>
        <w:pStyle w:val="4"/>
        <w:keepNext w:val="0"/>
        <w:keepLines w:val="0"/>
        <w:pageBreakBefore w:val="0"/>
        <w:widowControl w:val="0"/>
        <w:numPr>
          <w:ilvl w:val="3"/>
          <w:numId w:val="0"/>
        </w:numPr>
        <w:tabs>
          <w:tab w:val="left" w:pos="420"/>
        </w:tabs>
        <w:kinsoku/>
        <w:wordWrap/>
        <w:overflowPunct/>
        <w:topLinePunct w:val="0"/>
        <w:autoSpaceDE/>
        <w:autoSpaceDN/>
        <w:bidi w:val="0"/>
        <w:spacing w:line="420" w:lineRule="exact"/>
        <w:textAlignment w:val="auto"/>
        <w:outlineLvl w:val="2"/>
        <w:rPr>
          <w:rFonts w:hint="eastAsia" w:ascii="宋体" w:hAnsi="宋体" w:eastAsia="宋体" w:cs="宋体"/>
          <w:b/>
          <w:bCs/>
          <w:color w:val="000000" w:themeColor="text1"/>
          <w:sz w:val="30"/>
          <w:szCs w:val="30"/>
          <w:lang w:val="en-US" w:eastAsia="zh-CN"/>
          <w14:textFill>
            <w14:solidFill>
              <w14:schemeClr w14:val="tx1"/>
            </w14:solidFill>
          </w14:textFill>
        </w:rPr>
      </w:pPr>
      <w:bookmarkStart w:id="335" w:name="_Toc24651"/>
      <w:r>
        <w:rPr>
          <w:rFonts w:hint="eastAsia" w:ascii="宋体" w:hAnsi="宋体" w:eastAsia="宋体" w:cs="宋体"/>
          <w:b/>
          <w:bCs/>
          <w:color w:val="000000" w:themeColor="text1"/>
          <w:sz w:val="30"/>
          <w:szCs w:val="30"/>
          <w:lang w:val="en-US" w:eastAsia="zh-CN"/>
          <w14:textFill>
            <w14:solidFill>
              <w14:schemeClr w14:val="tx1"/>
            </w14:solidFill>
          </w14:textFill>
        </w:rPr>
        <w:t>3.8.3触电危险性分析</w:t>
      </w:r>
      <w:bookmarkEnd w:id="335"/>
    </w:p>
    <w:p w14:paraId="013D9E74">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触电分为电伤触电和电击触电。电击触电是指人体接触带电部分，造成电流通过人体，使人体内部的器官受到损伤；电伤触电是指由于电弧以及熔化、蒸发的金属微粒对人体外表的伤害，如电灼伤、金属溅伤、电烙印等。</w:t>
      </w:r>
    </w:p>
    <w:p w14:paraId="0D3EEDDC">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电击触电导致人体肌肉发生收缩，受害者常不能立即脱离带电部分，使电流连续通过人体，造成呼吸困难，</w:t>
      </w:r>
      <w:r>
        <w:rPr>
          <w:rFonts w:hint="eastAsia" w:ascii="宋体" w:hAnsi="宋体" w:eastAsia="宋体" w:cs="宋体"/>
          <w:color w:val="000000" w:themeColor="text1"/>
          <w:sz w:val="28"/>
          <w:szCs w:val="28"/>
          <w:lang w:eastAsia="zh-CN"/>
          <w14:textFill>
            <w14:solidFill>
              <w14:schemeClr w14:val="tx1"/>
            </w14:solidFill>
          </w14:textFill>
        </w:rPr>
        <w:t>心脏停搏</w:t>
      </w:r>
      <w:r>
        <w:rPr>
          <w:rFonts w:hint="eastAsia" w:ascii="宋体" w:hAnsi="宋体" w:eastAsia="宋体" w:cs="宋体"/>
          <w:color w:val="000000" w:themeColor="text1"/>
          <w:sz w:val="28"/>
          <w:szCs w:val="28"/>
          <w14:textFill>
            <w14:solidFill>
              <w14:schemeClr w14:val="tx1"/>
            </w14:solidFill>
          </w14:textFill>
        </w:rPr>
        <w:t>，以至于死亡，所以危险性很大。</w:t>
      </w:r>
    </w:p>
    <w:p w14:paraId="2E2BD2F1">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电伤主要特征有：电烧伤：电流热效应造成的伤害；皮肤金属化：电弧高温作用下，金属熔化、汽化，金属微粒渗入皮肤，使皮肤粗糙而张紧的伤害，皮肤金属化多与电弧烧伤同时发生；电烙印：人体与带电体接触的部位留下的永久性斑痕，斑痕处皮肤失去原有弹性、色泽，表皮坏死，失去知觉；机械性损伤：电流作用于人体时，由于中枢神经反射和肌肉强烈收缩等作用导致的机体组织断裂、骨折等伤害；电光眼：弧光放电时，由红外线、可见光、紫外线对眼睛的伤害。</w:t>
      </w:r>
    </w:p>
    <w:p w14:paraId="2DB934C1">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触电伤亡事故中，纯电伤性质的及带有电伤性质的约占75％(电烧伤约占40％)。尽管大约85％以上的触电死亡事故是电击造成的，但其中大约70％的含有电伤成分。</w:t>
      </w:r>
    </w:p>
    <w:p w14:paraId="4E5CC0A8">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现场检、维修中如未查清光伏组件的断口、孤岛效应、作业人员无防护设备，未验电，违章作业等均可能发生触电事故。</w:t>
      </w:r>
    </w:p>
    <w:p w14:paraId="26BBDB44">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因光伏组件发电不同于水电站、风电场存在旋转设备，光伏电站存在孤岛效应，如未验电，未找到断口，盲目检修，则可能发生触电。</w:t>
      </w:r>
    </w:p>
    <w:p w14:paraId="42DA35AB">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在检修作业及可能的技术改造施工时可能存在带电作业、交叉作业，存在施工和发电运行的相互影响，存在人员触电危险和施工对发电运行设备的误碰撞、误损坏危险以及导致发电运行设备误停电、跳闸危险。</w:t>
      </w:r>
    </w:p>
    <w:p w14:paraId="1F874D8B">
      <w:pPr>
        <w:pageBreakBefore w:val="0"/>
        <w:widowControl w:val="0"/>
        <w:kinsoku/>
        <w:wordWrap/>
        <w:overflowPunct/>
        <w:topLinePunct w:val="0"/>
        <w:autoSpaceDE/>
        <w:autoSpaceDN/>
        <w:bidi w:val="0"/>
        <w:spacing w:line="420" w:lineRule="exact"/>
        <w:ind w:firstLine="560" w:firstLineChars="200"/>
        <w:textAlignment w:val="auto"/>
        <w:rPr>
          <w:rFonts w:hint="default"/>
          <w:lang w:val="en-US" w:eastAsia="zh-CN"/>
        </w:rPr>
      </w:pPr>
      <w:r>
        <w:rPr>
          <w:rFonts w:hint="eastAsia" w:ascii="宋体" w:hAnsi="宋体" w:eastAsia="宋体" w:cs="宋体"/>
          <w:color w:val="000000" w:themeColor="text1"/>
          <w:sz w:val="28"/>
          <w:szCs w:val="28"/>
          <w14:textFill>
            <w14:solidFill>
              <w14:schemeClr w14:val="tx1"/>
            </w14:solidFill>
          </w14:textFill>
        </w:rPr>
        <w:t>因光伏组件发电的特殊性，发电中无旋转设备不能判断是否发电，可能意外导致触电事故。</w:t>
      </w:r>
    </w:p>
    <w:p w14:paraId="12DB679E">
      <w:pPr>
        <w:pageBreakBefore w:val="0"/>
        <w:widowControl w:val="0"/>
        <w:kinsoku/>
        <w:wordWrap/>
        <w:overflowPunct/>
        <w:topLinePunct w:val="0"/>
        <w:autoSpaceDE/>
        <w:autoSpaceDN/>
        <w:bidi w:val="0"/>
        <w:spacing w:line="420" w:lineRule="exact"/>
        <w:jc w:val="left"/>
        <w:textAlignment w:val="auto"/>
        <w:outlineLvl w:val="2"/>
        <w:rPr>
          <w:rFonts w:hint="eastAsia" w:ascii="宋体" w:hAnsi="宋体" w:eastAsia="宋体" w:cs="宋体"/>
          <w:b/>
          <w:bCs/>
          <w:kern w:val="2"/>
          <w:sz w:val="30"/>
          <w:szCs w:val="30"/>
          <w:lang w:val="en-US" w:eastAsia="zh-CN" w:bidi="ar-SA"/>
        </w:rPr>
      </w:pPr>
      <w:bookmarkStart w:id="336" w:name="_Toc1395"/>
      <w:r>
        <w:rPr>
          <w:rFonts w:hint="eastAsia" w:ascii="宋体" w:hAnsi="宋体" w:eastAsia="宋体" w:cs="宋体"/>
          <w:b/>
          <w:bCs/>
          <w:kern w:val="2"/>
          <w:sz w:val="30"/>
          <w:szCs w:val="30"/>
          <w:lang w:val="en-US" w:eastAsia="zh-CN" w:bidi="ar-SA"/>
        </w:rPr>
        <w:t>3.8.4机械伤害危险性分析</w:t>
      </w:r>
      <w:bookmarkEnd w:id="336"/>
    </w:p>
    <w:p w14:paraId="3C48E290">
      <w:pPr>
        <w:keepNext w:val="0"/>
        <w:keepLines w:val="0"/>
        <w:pageBreakBefore w:val="0"/>
        <w:widowControl w:val="0"/>
        <w:kinsoku/>
        <w:wordWrap/>
        <w:overflowPunct/>
        <w:topLinePunct w:val="0"/>
        <w:autoSpaceDE/>
        <w:autoSpaceDN/>
        <w:bidi w:val="0"/>
        <w:spacing w:line="42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机械伤害危险是指由于工作中的机械设备的运动部件及工件等夹击、碰撞、碾压、剪切工作人员身体引起伤害的危险，或由于照明光线暗淡，安全标志不明显，人员磕、碰处于静止状态的机械设备，引致人员身体伤害的危险。</w:t>
      </w:r>
    </w:p>
    <w:p w14:paraId="4C6D254B">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电站</w:t>
      </w:r>
      <w:r>
        <w:rPr>
          <w:color w:val="000000" w:themeColor="text1"/>
          <w:sz w:val="28"/>
          <w:szCs w:val="28"/>
          <w14:textFill>
            <w14:solidFill>
              <w14:schemeClr w14:val="tx1"/>
            </w14:solidFill>
          </w14:textFill>
        </w:rPr>
        <w:t>涉及主辅机械及机械修理设备种类和数量</w:t>
      </w:r>
      <w:r>
        <w:rPr>
          <w:rFonts w:hint="eastAsia"/>
          <w:color w:val="000000" w:themeColor="text1"/>
          <w:sz w:val="28"/>
          <w:szCs w:val="28"/>
          <w14:textFill>
            <w14:solidFill>
              <w14:schemeClr w14:val="tx1"/>
            </w14:solidFill>
          </w14:textFill>
        </w:rPr>
        <w:t>不多</w:t>
      </w:r>
      <w:r>
        <w:rPr>
          <w:color w:val="000000" w:themeColor="text1"/>
          <w:sz w:val="28"/>
          <w:szCs w:val="28"/>
          <w14:textFill>
            <w14:solidFill>
              <w14:schemeClr w14:val="tx1"/>
            </w14:solidFill>
          </w14:textFill>
        </w:rPr>
        <w:t>，正常运行时，主要发电设备多为自动操作，机械转动部分都有防护罩，人员一般不会触及。</w:t>
      </w:r>
    </w:p>
    <w:p w14:paraId="63831C8C">
      <w:pPr>
        <w:pageBreakBefore w:val="0"/>
        <w:widowControl w:val="0"/>
        <w:kinsoku/>
        <w:wordWrap/>
        <w:overflowPunct/>
        <w:topLinePunct w:val="0"/>
        <w:autoSpaceDE/>
        <w:autoSpaceDN/>
        <w:bidi w:val="0"/>
        <w:spacing w:line="420" w:lineRule="exact"/>
        <w:jc w:val="left"/>
        <w:textAlignment w:val="auto"/>
        <w:outlineLvl w:val="2"/>
        <w:rPr>
          <w:rFonts w:hint="eastAsia" w:ascii="宋体" w:hAnsi="宋体" w:eastAsia="宋体" w:cs="宋体"/>
          <w:b/>
          <w:bCs/>
          <w:kern w:val="2"/>
          <w:sz w:val="30"/>
          <w:szCs w:val="30"/>
          <w:lang w:val="en-US" w:eastAsia="zh-CN" w:bidi="ar-SA"/>
        </w:rPr>
      </w:pPr>
      <w:bookmarkStart w:id="337" w:name="_Toc8753"/>
      <w:r>
        <w:rPr>
          <w:rFonts w:hint="eastAsia" w:ascii="宋体" w:hAnsi="宋体" w:eastAsia="宋体" w:cs="宋体"/>
          <w:b/>
          <w:bCs/>
          <w:kern w:val="2"/>
          <w:sz w:val="30"/>
          <w:szCs w:val="30"/>
          <w:lang w:val="en-US" w:eastAsia="zh-CN" w:bidi="ar-SA"/>
        </w:rPr>
        <w:t>3.8.</w:t>
      </w:r>
      <w:r>
        <w:rPr>
          <w:rFonts w:hint="eastAsia" w:ascii="宋体" w:hAnsi="宋体" w:cs="宋体"/>
          <w:b/>
          <w:bCs/>
          <w:kern w:val="2"/>
          <w:sz w:val="30"/>
          <w:szCs w:val="30"/>
          <w:lang w:val="en-US" w:eastAsia="zh-CN" w:bidi="ar-SA"/>
        </w:rPr>
        <w:t>5高处坠落</w:t>
      </w:r>
      <w:r>
        <w:rPr>
          <w:rFonts w:hint="eastAsia" w:ascii="宋体" w:hAnsi="宋体" w:eastAsia="宋体" w:cs="宋体"/>
          <w:b/>
          <w:bCs/>
          <w:kern w:val="2"/>
          <w:sz w:val="30"/>
          <w:szCs w:val="30"/>
          <w:lang w:val="en-US" w:eastAsia="zh-CN" w:bidi="ar-SA"/>
        </w:rPr>
        <w:t>危险性分析</w:t>
      </w:r>
      <w:bookmarkEnd w:id="337"/>
    </w:p>
    <w:p w14:paraId="1C504DC7">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高处坠落是指在高处作业时坠落造成人员身体伤害的危险。</w:t>
      </w:r>
    </w:p>
    <w:p w14:paraId="397B2B2A">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在对建构筑物进行检查和维护等作业时，常需在距离基准面垂直距离为2m以上位置进行高处作业时，若作业地点没有安装护栏杆或未系安全带，或在进行高处作业前食用对神经有麻痹作用的食物等，均可能发生高处坠落事故，造成人员伤亡。</w:t>
      </w:r>
    </w:p>
    <w:p w14:paraId="19B82B8E">
      <w:pPr>
        <w:pageBreakBefore w:val="0"/>
        <w:widowControl w:val="0"/>
        <w:kinsoku/>
        <w:wordWrap/>
        <w:overflowPunct/>
        <w:topLinePunct w:val="0"/>
        <w:autoSpaceDE/>
        <w:autoSpaceDN/>
        <w:bidi w:val="0"/>
        <w:spacing w:line="420" w:lineRule="exact"/>
        <w:jc w:val="left"/>
        <w:textAlignment w:val="auto"/>
        <w:outlineLvl w:val="2"/>
        <w:rPr>
          <w:rFonts w:hint="eastAsia" w:ascii="宋体" w:hAnsi="宋体" w:eastAsia="宋体" w:cs="宋体"/>
          <w:b/>
          <w:bCs/>
          <w:kern w:val="2"/>
          <w:sz w:val="30"/>
          <w:szCs w:val="30"/>
          <w:lang w:val="en-US" w:eastAsia="zh-CN" w:bidi="ar-SA"/>
        </w:rPr>
      </w:pPr>
      <w:bookmarkStart w:id="338" w:name="_Toc30596"/>
      <w:r>
        <w:rPr>
          <w:rFonts w:hint="eastAsia" w:ascii="宋体" w:hAnsi="宋体" w:eastAsia="宋体" w:cs="宋体"/>
          <w:b/>
          <w:bCs/>
          <w:kern w:val="2"/>
          <w:sz w:val="30"/>
          <w:szCs w:val="30"/>
          <w:lang w:val="en-US" w:eastAsia="zh-CN" w:bidi="ar-SA"/>
        </w:rPr>
        <w:t>3.8.</w:t>
      </w:r>
      <w:r>
        <w:rPr>
          <w:rFonts w:hint="eastAsia" w:ascii="宋体" w:hAnsi="宋体" w:cs="宋体"/>
          <w:b/>
          <w:bCs/>
          <w:kern w:val="2"/>
          <w:sz w:val="30"/>
          <w:szCs w:val="30"/>
          <w:lang w:val="en-US" w:eastAsia="zh-CN" w:bidi="ar-SA"/>
        </w:rPr>
        <w:t>6车辆伤害</w:t>
      </w:r>
      <w:r>
        <w:rPr>
          <w:rFonts w:hint="eastAsia" w:ascii="宋体" w:hAnsi="宋体" w:eastAsia="宋体" w:cs="宋体"/>
          <w:b/>
          <w:bCs/>
          <w:kern w:val="2"/>
          <w:sz w:val="30"/>
          <w:szCs w:val="30"/>
          <w:lang w:val="en-US" w:eastAsia="zh-CN" w:bidi="ar-SA"/>
        </w:rPr>
        <w:t>危险性分析</w:t>
      </w:r>
      <w:bookmarkEnd w:id="338"/>
    </w:p>
    <w:p w14:paraId="6554053E">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光伏电站场用道路弯多，在巡视</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14:textFill>
            <w14:solidFill>
              <w14:schemeClr w14:val="tx1"/>
            </w14:solidFill>
          </w14:textFill>
        </w:rPr>
        <w:t>检查</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维修</w:t>
      </w:r>
      <w:r>
        <w:rPr>
          <w:rFonts w:hint="eastAsia"/>
          <w:color w:val="000000" w:themeColor="text1"/>
          <w:sz w:val="28"/>
          <w:szCs w:val="28"/>
          <w14:textFill>
            <w14:solidFill>
              <w14:schemeClr w14:val="tx1"/>
            </w14:solidFill>
          </w14:textFill>
        </w:rPr>
        <w:t>等过程中存在交通事故危险。</w:t>
      </w:r>
      <w:r>
        <w:rPr>
          <w:color w:val="000000" w:themeColor="text1"/>
          <w:sz w:val="28"/>
          <w:szCs w:val="28"/>
          <w14:textFill>
            <w14:solidFill>
              <w14:schemeClr w14:val="tx1"/>
            </w14:solidFill>
          </w14:textFill>
        </w:rPr>
        <w:t>车辆伤害危险指车辆在行驶中引起撞击</w:t>
      </w: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人员坠落、物体挤压等伤害的危险。</w:t>
      </w:r>
      <w:r>
        <w:rPr>
          <w:rFonts w:hint="eastAsia"/>
          <w:color w:val="000000" w:themeColor="text1"/>
          <w:sz w:val="28"/>
          <w:szCs w:val="28"/>
          <w14:textFill>
            <w14:solidFill>
              <w14:schemeClr w14:val="tx1"/>
            </w14:solidFill>
          </w14:textFill>
        </w:rPr>
        <w:t>车辆伤害危险因素分析如下：</w:t>
      </w:r>
    </w:p>
    <w:p w14:paraId="2BDED461">
      <w:pPr>
        <w:keepNext w:val="0"/>
        <w:keepLines w:val="0"/>
        <w:pageBreakBefore w:val="0"/>
        <w:widowControl w:val="0"/>
        <w:numPr>
          <w:ilvl w:val="0"/>
          <w:numId w:val="23"/>
        </w:numPr>
        <w:kinsoku/>
        <w:wordWrap/>
        <w:overflowPunct/>
        <w:topLinePunct w:val="0"/>
        <w:autoSpaceDE/>
        <w:autoSpaceDN/>
        <w:bidi w:val="0"/>
        <w:spacing w:line="420" w:lineRule="exact"/>
        <w:ind w:left="0" w:leftChars="0" w:firstLine="560" w:firstLineChars="200"/>
        <w:textAlignment w:val="auto"/>
        <w:rPr>
          <w:rFonts w:hint="eastAsia"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场用道路多急转弯，特别是遇恶劣、极端天气时，在巡视检查、交班等过程中存在交通事故危险；</w:t>
      </w:r>
    </w:p>
    <w:p w14:paraId="4D859B3C">
      <w:pPr>
        <w:keepNext w:val="0"/>
        <w:keepLines w:val="0"/>
        <w:pageBreakBefore w:val="0"/>
        <w:widowControl w:val="0"/>
        <w:numPr>
          <w:ilvl w:val="0"/>
          <w:numId w:val="23"/>
        </w:numPr>
        <w:kinsoku/>
        <w:wordWrap/>
        <w:overflowPunct/>
        <w:topLinePunct w:val="0"/>
        <w:autoSpaceDE/>
        <w:autoSpaceDN/>
        <w:bidi w:val="0"/>
        <w:spacing w:line="420" w:lineRule="exact"/>
        <w:ind w:left="0" w:leftChars="0" w:firstLine="560" w:firstLineChars="200"/>
        <w:textAlignment w:val="auto"/>
        <w:rPr>
          <w:rFonts w:hint="eastAsia"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雾天在山路上行驶时，由于能见度降低，突然停车或突然加速都很危险，往往会引发群车追尾的重大交通事故；</w:t>
      </w:r>
    </w:p>
    <w:p w14:paraId="0BE93090">
      <w:pPr>
        <w:keepNext w:val="0"/>
        <w:keepLines w:val="0"/>
        <w:pageBreakBefore w:val="0"/>
        <w:widowControl w:val="0"/>
        <w:numPr>
          <w:ilvl w:val="0"/>
          <w:numId w:val="23"/>
        </w:numPr>
        <w:kinsoku/>
        <w:wordWrap/>
        <w:overflowPunct/>
        <w:topLinePunct w:val="0"/>
        <w:autoSpaceDE/>
        <w:autoSpaceDN/>
        <w:bidi w:val="0"/>
        <w:spacing w:line="420" w:lineRule="exact"/>
        <w:ind w:left="0" w:leftChars="0" w:firstLine="560" w:firstLineChars="200"/>
        <w:textAlignment w:val="auto"/>
        <w:rPr>
          <w:rFonts w:hint="eastAsia"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遇到大暴雨或特大暴雨，刮水器的作用不能满足能见度要求时，也易发事故；</w:t>
      </w:r>
    </w:p>
    <w:p w14:paraId="17D5D3BB">
      <w:pPr>
        <w:keepNext w:val="0"/>
        <w:keepLines w:val="0"/>
        <w:pageBreakBefore w:val="0"/>
        <w:widowControl w:val="0"/>
        <w:numPr>
          <w:ilvl w:val="0"/>
          <w:numId w:val="23"/>
        </w:numPr>
        <w:kinsoku/>
        <w:wordWrap/>
        <w:overflowPunct/>
        <w:topLinePunct w:val="0"/>
        <w:autoSpaceDE/>
        <w:autoSpaceDN/>
        <w:bidi w:val="0"/>
        <w:spacing w:line="420" w:lineRule="exact"/>
        <w:ind w:left="0" w:leftChars="0" w:firstLine="560" w:firstLineChars="200"/>
        <w:textAlignment w:val="auto"/>
        <w:rPr>
          <w:rFonts w:hint="eastAsia"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车况不好，刹车失灵；</w:t>
      </w:r>
    </w:p>
    <w:p w14:paraId="34C76CF8">
      <w:pPr>
        <w:keepNext w:val="0"/>
        <w:keepLines w:val="0"/>
        <w:pageBreakBefore w:val="0"/>
        <w:widowControl w:val="0"/>
        <w:numPr>
          <w:ilvl w:val="0"/>
          <w:numId w:val="23"/>
        </w:numPr>
        <w:kinsoku/>
        <w:wordWrap/>
        <w:overflowPunct/>
        <w:topLinePunct w:val="0"/>
        <w:autoSpaceDE/>
        <w:autoSpaceDN/>
        <w:bidi w:val="0"/>
        <w:spacing w:line="420" w:lineRule="exact"/>
        <w:ind w:left="0" w:leftChars="0" w:firstLine="560" w:firstLineChars="200"/>
        <w:textAlignment w:val="auto"/>
        <w:rPr>
          <w:rFonts w:hint="eastAsia"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司机素质不高，违章驾驶；</w:t>
      </w:r>
    </w:p>
    <w:p w14:paraId="7A5652AC">
      <w:pPr>
        <w:keepNext w:val="0"/>
        <w:keepLines w:val="0"/>
        <w:pageBreakBefore w:val="0"/>
        <w:widowControl w:val="0"/>
        <w:numPr>
          <w:ilvl w:val="0"/>
          <w:numId w:val="23"/>
        </w:numPr>
        <w:kinsoku/>
        <w:wordWrap/>
        <w:overflowPunct/>
        <w:topLinePunct w:val="0"/>
        <w:autoSpaceDE/>
        <w:autoSpaceDN/>
        <w:bidi w:val="0"/>
        <w:spacing w:line="420" w:lineRule="exact"/>
        <w:ind w:left="0" w:leftChars="0" w:firstLine="560" w:firstLineChars="200"/>
        <w:textAlignment w:val="auto"/>
        <w:rPr>
          <w:rFonts w:hint="eastAsia"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司机驾驶技能差；</w:t>
      </w:r>
    </w:p>
    <w:p w14:paraId="05B609D0">
      <w:pPr>
        <w:keepNext w:val="0"/>
        <w:keepLines w:val="0"/>
        <w:pageBreakBefore w:val="0"/>
        <w:widowControl w:val="0"/>
        <w:numPr>
          <w:ilvl w:val="0"/>
          <w:numId w:val="23"/>
        </w:numPr>
        <w:kinsoku/>
        <w:wordWrap/>
        <w:overflowPunct/>
        <w:topLinePunct w:val="0"/>
        <w:autoSpaceDE/>
        <w:autoSpaceDN/>
        <w:bidi w:val="0"/>
        <w:spacing w:line="420" w:lineRule="exact"/>
        <w:ind w:left="0" w:leftChars="0" w:firstLine="560" w:firstLineChars="200"/>
        <w:textAlignment w:val="auto"/>
        <w:rPr>
          <w:rFonts w:hint="eastAsia"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酒后开车；</w:t>
      </w:r>
    </w:p>
    <w:p w14:paraId="00EE5A6F">
      <w:pPr>
        <w:keepNext w:val="0"/>
        <w:keepLines w:val="0"/>
        <w:pageBreakBefore w:val="0"/>
        <w:widowControl w:val="0"/>
        <w:numPr>
          <w:ilvl w:val="0"/>
          <w:numId w:val="23"/>
        </w:numPr>
        <w:kinsoku/>
        <w:wordWrap/>
        <w:overflowPunct/>
        <w:topLinePunct w:val="0"/>
        <w:autoSpaceDE/>
        <w:autoSpaceDN/>
        <w:bidi w:val="0"/>
        <w:spacing w:line="420" w:lineRule="exact"/>
        <w:ind w:left="0" w:leftChars="0" w:firstLine="560" w:firstLineChars="200"/>
        <w:textAlignment w:val="auto"/>
        <w:rPr>
          <w:rFonts w:hint="eastAsia"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车辆超载；</w:t>
      </w:r>
    </w:p>
    <w:p w14:paraId="433061A4">
      <w:pPr>
        <w:keepNext w:val="0"/>
        <w:keepLines w:val="0"/>
        <w:pageBreakBefore w:val="0"/>
        <w:widowControl w:val="0"/>
        <w:numPr>
          <w:ilvl w:val="0"/>
          <w:numId w:val="23"/>
        </w:numPr>
        <w:kinsoku/>
        <w:wordWrap/>
        <w:overflowPunct/>
        <w:topLinePunct w:val="0"/>
        <w:autoSpaceDE/>
        <w:autoSpaceDN/>
        <w:bidi w:val="0"/>
        <w:spacing w:line="420" w:lineRule="exact"/>
        <w:ind w:left="0" w:leftChars="0" w:firstLine="560" w:firstLineChars="200"/>
        <w:textAlignment w:val="auto"/>
        <w:rPr>
          <w:rFonts w:hint="eastAsia"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车辆超速；</w:t>
      </w:r>
    </w:p>
    <w:p w14:paraId="7912AEE4">
      <w:pPr>
        <w:keepNext w:val="0"/>
        <w:keepLines w:val="0"/>
        <w:pageBreakBefore w:val="0"/>
        <w:widowControl w:val="0"/>
        <w:numPr>
          <w:ilvl w:val="0"/>
          <w:numId w:val="23"/>
        </w:numPr>
        <w:kinsoku/>
        <w:wordWrap/>
        <w:overflowPunct/>
        <w:topLinePunct w:val="0"/>
        <w:autoSpaceDE/>
        <w:autoSpaceDN/>
        <w:bidi w:val="0"/>
        <w:spacing w:line="420" w:lineRule="exact"/>
        <w:ind w:left="0" w:leftChars="0" w:firstLine="560" w:firstLineChars="200"/>
        <w:textAlignment w:val="auto"/>
        <w:rPr>
          <w:rFonts w:hint="eastAsia"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安全警示标志、指示标志不完善；</w:t>
      </w:r>
    </w:p>
    <w:p w14:paraId="772F8B4E">
      <w:pPr>
        <w:keepNext w:val="0"/>
        <w:keepLines w:val="0"/>
        <w:pageBreakBefore w:val="0"/>
        <w:widowControl w:val="0"/>
        <w:numPr>
          <w:ilvl w:val="0"/>
          <w:numId w:val="23"/>
        </w:numPr>
        <w:kinsoku/>
        <w:wordWrap/>
        <w:overflowPunct/>
        <w:topLinePunct w:val="0"/>
        <w:autoSpaceDE/>
        <w:autoSpaceDN/>
        <w:bidi w:val="0"/>
        <w:spacing w:line="420" w:lineRule="exact"/>
        <w:ind w:left="0" w:leftChars="0" w:firstLine="560" w:firstLineChars="200"/>
        <w:textAlignment w:val="auto"/>
        <w:rPr>
          <w:rFonts w:hint="eastAsia"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其它原因。</w:t>
      </w:r>
    </w:p>
    <w:p w14:paraId="508C0458">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14:textFill>
            <w14:solidFill>
              <w14:schemeClr w14:val="tx1"/>
            </w14:solidFill>
          </w14:textFill>
        </w:rPr>
      </w:pPr>
      <w:bookmarkStart w:id="339" w:name="_Toc17491"/>
      <w:r>
        <w:rPr>
          <w:rFonts w:hint="eastAsia" w:ascii="宋体" w:hAnsi="宋体" w:eastAsia="宋体" w:cs="宋体"/>
          <w:b/>
          <w:bCs/>
          <w:kern w:val="2"/>
          <w:sz w:val="30"/>
          <w:szCs w:val="30"/>
          <w:lang w:val="en-US" w:eastAsia="zh-CN" w:bidi="ar-SA"/>
        </w:rPr>
        <w:t>3.8.</w:t>
      </w:r>
      <w:r>
        <w:rPr>
          <w:rFonts w:hint="eastAsia" w:ascii="宋体" w:hAnsi="宋体" w:cs="宋体"/>
          <w:b/>
          <w:bCs/>
          <w:kern w:val="2"/>
          <w:sz w:val="30"/>
          <w:szCs w:val="30"/>
          <w:lang w:val="en-US" w:eastAsia="zh-CN" w:bidi="ar-SA"/>
        </w:rPr>
        <w:t>7</w:t>
      </w:r>
      <w:bookmarkStart w:id="340" w:name="_Toc29592"/>
      <w:bookmarkStart w:id="341" w:name="_Toc31688"/>
      <w:r>
        <w:rPr>
          <w:rFonts w:hint="eastAsia" w:ascii="宋体" w:hAnsi="宋体" w:eastAsia="宋体" w:cs="宋体"/>
          <w:b/>
          <w:bCs w:val="0"/>
          <w:color w:val="000000" w:themeColor="text1"/>
          <w14:textFill>
            <w14:solidFill>
              <w14:schemeClr w14:val="tx1"/>
            </w14:solidFill>
          </w14:textFill>
        </w:rPr>
        <w:t>边坡滑坡、坍塌</w:t>
      </w:r>
      <w:bookmarkEnd w:id="339"/>
      <w:bookmarkEnd w:id="340"/>
      <w:bookmarkEnd w:id="341"/>
    </w:p>
    <w:p w14:paraId="757FA7BE">
      <w:pPr>
        <w:pageBreakBefore w:val="0"/>
        <w:widowControl w:val="0"/>
        <w:kinsoku/>
        <w:wordWrap/>
        <w:overflowPunct/>
        <w:topLinePunct w:val="0"/>
        <w:autoSpaceDE/>
        <w:autoSpaceDN/>
        <w:bidi w:val="0"/>
        <w:spacing w:line="420" w:lineRule="exact"/>
        <w:ind w:firstLine="560" w:firstLineChars="200"/>
        <w:jc w:val="left"/>
        <w:textAlignment w:val="auto"/>
        <w:rPr>
          <w:rFonts w:hint="eastAsia" w:ascii="宋体" w:hAnsi="宋体" w:eastAsia="宋体" w:cs="宋体"/>
          <w:b/>
          <w:bCs/>
          <w:kern w:val="2"/>
          <w:sz w:val="28"/>
          <w:szCs w:val="28"/>
          <w:lang w:val="en-US" w:eastAsia="zh-CN" w:bidi="ar-SA"/>
        </w:rPr>
      </w:pPr>
      <w:r>
        <w:rPr>
          <w:rFonts w:hint="eastAsia"/>
          <w:color w:val="000000" w:themeColor="text1"/>
          <w:sz w:val="28"/>
          <w:szCs w:val="28"/>
          <w14:textFill>
            <w14:solidFill>
              <w14:schemeClr w14:val="tx1"/>
            </w14:solidFill>
          </w14:textFill>
        </w:rPr>
        <w:t>因道路开挖形成的较陡边坡，边坡均未进行支护，在暴晒、暴雨及长时间降雨后，易形成水土流失、局部路面路基塌陷，临空面产生滑坡、坍塌等危害，</w:t>
      </w:r>
      <w:r>
        <w:rPr>
          <w:color w:val="000000" w:themeColor="text1"/>
          <w:sz w:val="28"/>
          <w:szCs w:val="28"/>
          <w14:textFill>
            <w14:solidFill>
              <w14:schemeClr w14:val="tx1"/>
            </w14:solidFill>
          </w14:textFill>
        </w:rPr>
        <w:t>可能会影响</w:t>
      </w:r>
      <w:r>
        <w:rPr>
          <w:rFonts w:hint="eastAsia"/>
          <w:color w:val="000000" w:themeColor="text1"/>
          <w:sz w:val="28"/>
          <w:szCs w:val="28"/>
          <w14:textFill>
            <w14:solidFill>
              <w14:schemeClr w14:val="tx1"/>
            </w14:solidFill>
          </w14:textFill>
        </w:rPr>
        <w:t>场区光伏组件和逆变室</w:t>
      </w:r>
      <w:r>
        <w:rPr>
          <w:color w:val="000000" w:themeColor="text1"/>
          <w:sz w:val="28"/>
          <w:szCs w:val="28"/>
          <w14:textFill>
            <w14:solidFill>
              <w14:schemeClr w14:val="tx1"/>
            </w14:solidFill>
          </w14:textFill>
        </w:rPr>
        <w:t>的稳定。</w:t>
      </w:r>
    </w:p>
    <w:p w14:paraId="3C79C726">
      <w:pPr>
        <w:pStyle w:val="4"/>
        <w:pageBreakBefore w:val="0"/>
        <w:widowControl w:val="0"/>
        <w:kinsoku/>
        <w:wordWrap/>
        <w:overflowPunct/>
        <w:topLinePunct w:val="0"/>
        <w:autoSpaceDE/>
        <w:autoSpaceDN/>
        <w:bidi w:val="0"/>
        <w:spacing w:line="420" w:lineRule="exact"/>
        <w:textAlignment w:val="auto"/>
        <w:rPr>
          <w:rFonts w:hint="default" w:ascii="宋体" w:hAnsi="宋体" w:eastAsia="宋体" w:cs="宋体"/>
          <w:b/>
          <w:bCs w:val="0"/>
          <w:color w:val="000000" w:themeColor="text1"/>
          <w:lang w:val="en-US" w:eastAsia="zh-CN"/>
          <w14:textFill>
            <w14:solidFill>
              <w14:schemeClr w14:val="tx1"/>
            </w14:solidFill>
          </w14:textFill>
        </w:rPr>
      </w:pPr>
      <w:bookmarkStart w:id="342" w:name="_Toc18749"/>
      <w:r>
        <w:rPr>
          <w:rFonts w:hint="eastAsia" w:ascii="宋体" w:hAnsi="宋体" w:eastAsia="宋体" w:cs="宋体"/>
          <w:b/>
          <w:bCs/>
          <w:kern w:val="2"/>
          <w:sz w:val="30"/>
          <w:szCs w:val="30"/>
          <w:lang w:val="en-US" w:eastAsia="zh-CN" w:bidi="ar-SA"/>
        </w:rPr>
        <w:t>3.8.8</w:t>
      </w:r>
      <w:r>
        <w:rPr>
          <w:rFonts w:hint="eastAsia" w:ascii="宋体" w:hAnsi="宋体" w:eastAsia="宋体" w:cs="宋体"/>
          <w:b/>
          <w:bCs w:val="0"/>
          <w:color w:val="000000" w:themeColor="text1"/>
          <w:lang w:val="en-US" w:eastAsia="zh-CN"/>
          <w14:textFill>
            <w14:solidFill>
              <w14:schemeClr w14:val="tx1"/>
            </w14:solidFill>
          </w14:textFill>
        </w:rPr>
        <w:t>过电压危险有害因素</w:t>
      </w:r>
      <w:bookmarkEnd w:id="342"/>
    </w:p>
    <w:p w14:paraId="23EE2349">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本电站电力系统主要涉及的过电压危害有谐振过电压、雷击过电压。</w:t>
      </w:r>
    </w:p>
    <w:p w14:paraId="6D8E3ECC">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过电压的危害有：过电压主要危害是增大绝缘体承受的电压，击穿电缆引起短路起火、设备损坏。直击雷击中方阵或建筑物可能造成设备损坏、人员伤亡；感应雷沿导体传播，损坏电路中的设备或设备中的器件；光伏电站电缆多、线路长，易产生和传播感应雷，损坏光伏电站低压电路和集成电路。雷电释放的巨大能量可能造成光伏组件、设备损坏、绝缘击穿、控制元器件烧毁等。雷暴发生频率很高，对光伏电站的破坏也较频繁。</w:t>
      </w:r>
    </w:p>
    <w:p w14:paraId="4D8FDCCA">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过电压危害产生原因分析：如接地装置热容量设计不满足电网运行要求，或接地装置局部范围腐蚀严重，致使接地网热稳定力下降，造成电气设备非接地运行；电源和出线系统、变压器等电气设备均可能遭遇雷击过电压：防雷接地设施不满足设计要求、避雷设备不合格，防雷接地装置未定期检测，防雷接地装置因生锈腐蚀损坏等，在遭受雷击时因防雷接地装置故障而发生雷击事故；当雷击线路塔杆或避雷线时，可能造成绝缘子串、塔头空气间隙和避雷线与导线间空气间隙闪络，形成对导线的反击产生过电压；雷直击和绕击导线产生过电压；雷直击在电气设备上产生直击雷过电压；雷击附近物体和地面，由于空气电磁场发生剧烈变化，在线路的导线上和其他金属导体上产生感应过电压；输电线路受到雷击，雷电波沿导线侵入发电厂电气设备上，产生雷电波过电压。</w:t>
      </w:r>
    </w:p>
    <w:p w14:paraId="3E252616">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本电站所在地区多年平均雷暴日数为</w:t>
      </w:r>
      <w:r>
        <w:rPr>
          <w:rFonts w:hint="eastAsia" w:ascii="宋体" w:hAnsi="宋体" w:eastAsia="宋体" w:cs="宋体"/>
          <w:color w:val="000000" w:themeColor="text1"/>
          <w:sz w:val="28"/>
          <w:szCs w:val="28"/>
          <w:lang w:val="en-US" w:eastAsia="zh-CN"/>
          <w14:textFill>
            <w14:solidFill>
              <w14:schemeClr w14:val="tx1"/>
            </w14:solidFill>
          </w14:textFill>
        </w:rPr>
        <w:t>5</w:t>
      </w:r>
      <w:r>
        <w:rPr>
          <w:rFonts w:hint="eastAsia" w:ascii="宋体" w:hAnsi="宋体" w:eastAsia="宋体" w:cs="宋体"/>
          <w:color w:val="000000" w:themeColor="text1"/>
          <w:sz w:val="28"/>
          <w:szCs w:val="28"/>
          <w14:textFill>
            <w14:solidFill>
              <w14:schemeClr w14:val="tx1"/>
            </w14:solidFill>
          </w14:textFill>
        </w:rPr>
        <w:t>4.7天，属于雷暴多发地区。光伏组件布置于山坡、山顶上，遭受雷击损坏</w:t>
      </w:r>
      <w:r>
        <w:rPr>
          <w:rFonts w:hint="eastAsia" w:ascii="宋体" w:hAnsi="宋体" w:eastAsia="宋体" w:cs="宋体"/>
          <w:color w:val="000000" w:themeColor="text1"/>
          <w:sz w:val="28"/>
          <w:szCs w:val="28"/>
          <w:lang w:eastAsia="zh-CN"/>
          <w14:textFill>
            <w14:solidFill>
              <w14:schemeClr w14:val="tx1"/>
            </w14:solidFill>
          </w14:textFill>
        </w:rPr>
        <w:t>的概率较大</w:t>
      </w:r>
      <w:r>
        <w:rPr>
          <w:rFonts w:hint="eastAsia" w:ascii="宋体" w:hAnsi="宋体" w:eastAsia="宋体" w:cs="宋体"/>
          <w:color w:val="000000" w:themeColor="text1"/>
          <w:sz w:val="28"/>
          <w:szCs w:val="28"/>
          <w14:textFill>
            <w14:solidFill>
              <w14:schemeClr w14:val="tx1"/>
            </w14:solidFill>
          </w14:textFill>
        </w:rPr>
        <w:t>。</w:t>
      </w:r>
    </w:p>
    <w:p w14:paraId="7F25F5E9">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lang w:val="en-US" w:eastAsia="zh-CN"/>
          <w14:textFill>
            <w14:solidFill>
              <w14:schemeClr w14:val="tx1"/>
            </w14:solidFill>
          </w14:textFill>
        </w:rPr>
      </w:pPr>
      <w:bookmarkStart w:id="343" w:name="_Toc17260"/>
      <w:r>
        <w:rPr>
          <w:rFonts w:hint="eastAsia" w:ascii="宋体" w:hAnsi="宋体" w:eastAsia="宋体" w:cs="宋体"/>
          <w:b/>
          <w:bCs/>
          <w:kern w:val="2"/>
          <w:sz w:val="30"/>
          <w:szCs w:val="30"/>
          <w:lang w:val="en-US" w:eastAsia="zh-CN" w:bidi="ar-SA"/>
        </w:rPr>
        <w:t>3.8.9</w:t>
      </w:r>
      <w:r>
        <w:rPr>
          <w:rFonts w:hint="eastAsia" w:ascii="宋体" w:hAnsi="宋体" w:eastAsia="宋体" w:cs="宋体"/>
          <w:b/>
          <w:bCs w:val="0"/>
          <w:color w:val="000000" w:themeColor="text1"/>
          <w:lang w:val="en-US" w:eastAsia="zh-CN"/>
          <w14:textFill>
            <w14:solidFill>
              <w14:schemeClr w14:val="tx1"/>
            </w14:solidFill>
          </w14:textFill>
        </w:rPr>
        <w:t>有限空间作业危险性分析</w:t>
      </w:r>
      <w:bookmarkEnd w:id="343"/>
    </w:p>
    <w:p w14:paraId="723E08C1">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在电缆沟、逆变器箱等有限空间检修、巡视作业，如因通风不良或操作不当，会造成作业人员的中毒窒息。</w:t>
      </w:r>
    </w:p>
    <w:p w14:paraId="61C34AF7">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lang w:val="en-US" w:eastAsia="zh-CN"/>
          <w14:textFill>
            <w14:solidFill>
              <w14:schemeClr w14:val="tx1"/>
            </w14:solidFill>
          </w14:textFill>
        </w:rPr>
      </w:pPr>
      <w:bookmarkStart w:id="344" w:name="_Toc6470"/>
      <w:r>
        <w:rPr>
          <w:rFonts w:hint="eastAsia" w:ascii="宋体" w:hAnsi="宋体" w:eastAsia="宋体" w:cs="宋体"/>
          <w:b/>
          <w:bCs/>
          <w:kern w:val="2"/>
          <w:sz w:val="30"/>
          <w:szCs w:val="30"/>
          <w:lang w:val="en-US" w:eastAsia="zh-CN" w:bidi="ar-SA"/>
        </w:rPr>
        <w:t>3.8.10腐蚀</w:t>
      </w:r>
      <w:r>
        <w:rPr>
          <w:rFonts w:hint="eastAsia" w:ascii="宋体" w:hAnsi="宋体" w:eastAsia="宋体" w:cs="宋体"/>
          <w:b/>
          <w:bCs w:val="0"/>
          <w:color w:val="000000" w:themeColor="text1"/>
          <w:lang w:val="en-US" w:eastAsia="zh-CN"/>
          <w14:textFill>
            <w14:solidFill>
              <w14:schemeClr w14:val="tx1"/>
            </w14:solidFill>
          </w14:textFill>
        </w:rPr>
        <w:t>危险性分析</w:t>
      </w:r>
      <w:bookmarkEnd w:id="344"/>
    </w:p>
    <w:p w14:paraId="588B1516">
      <w:pPr>
        <w:keepNext w:val="0"/>
        <w:keepLines w:val="0"/>
        <w:pageBreakBefore w:val="0"/>
        <w:widowControl w:val="0"/>
        <w:kinsoku/>
        <w:wordWrap/>
        <w:overflowPunct/>
        <w:topLinePunct w:val="0"/>
        <w:autoSpaceDE/>
        <w:autoSpaceDN/>
        <w:bidi w:val="0"/>
        <w:spacing w:line="42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潮湿环境中的设备支撑、紧固件、</w:t>
      </w:r>
      <w:r>
        <w:rPr>
          <w:rFonts w:hint="eastAsia"/>
          <w:color w:val="000000" w:themeColor="text1"/>
          <w:sz w:val="28"/>
          <w:szCs w:val="28"/>
          <w14:textFill>
            <w14:solidFill>
              <w14:schemeClr w14:val="tx1"/>
            </w14:solidFill>
          </w14:textFill>
        </w:rPr>
        <w:t>支架基础、支架</w:t>
      </w:r>
      <w:r>
        <w:rPr>
          <w:color w:val="000000" w:themeColor="text1"/>
          <w:sz w:val="28"/>
          <w:szCs w:val="28"/>
          <w14:textFill>
            <w14:solidFill>
              <w14:schemeClr w14:val="tx1"/>
            </w14:solidFill>
          </w14:textFill>
        </w:rPr>
        <w:t>及</w:t>
      </w:r>
      <w:r>
        <w:rPr>
          <w:rFonts w:hint="eastAsia"/>
          <w:color w:val="000000" w:themeColor="text1"/>
          <w:sz w:val="28"/>
          <w:szCs w:val="28"/>
          <w14:textFill>
            <w14:solidFill>
              <w14:schemeClr w14:val="tx1"/>
            </w14:solidFill>
          </w14:textFill>
        </w:rPr>
        <w:t>巡检梯</w:t>
      </w:r>
      <w:r>
        <w:rPr>
          <w:color w:val="000000" w:themeColor="text1"/>
          <w:sz w:val="28"/>
          <w:szCs w:val="28"/>
          <w14:textFill>
            <w14:solidFill>
              <w14:schemeClr w14:val="tx1"/>
            </w14:solidFill>
          </w14:textFill>
        </w:rPr>
        <w:t>等易锈蚀，影响设备寿命，也会对环境造成污染，增加事故发生危险。</w:t>
      </w:r>
    </w:p>
    <w:p w14:paraId="7971137A">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lang w:val="en-US" w:eastAsia="zh-CN"/>
          <w14:textFill>
            <w14:solidFill>
              <w14:schemeClr w14:val="tx1"/>
            </w14:solidFill>
          </w14:textFill>
        </w:rPr>
      </w:pPr>
      <w:bookmarkStart w:id="345" w:name="_Toc27896"/>
      <w:r>
        <w:rPr>
          <w:rFonts w:hint="eastAsia" w:ascii="宋体" w:hAnsi="宋体" w:eastAsia="宋体" w:cs="宋体"/>
          <w:b/>
          <w:bCs/>
          <w:kern w:val="2"/>
          <w:sz w:val="30"/>
          <w:szCs w:val="30"/>
          <w:lang w:val="en-US" w:eastAsia="zh-CN" w:bidi="ar-SA"/>
        </w:rPr>
        <w:t>3.8.11光伏组件清洗</w:t>
      </w:r>
      <w:r>
        <w:rPr>
          <w:rFonts w:hint="eastAsia" w:ascii="宋体" w:hAnsi="宋体" w:eastAsia="宋体" w:cs="宋体"/>
          <w:b/>
          <w:bCs w:val="0"/>
          <w:color w:val="000000" w:themeColor="text1"/>
          <w:lang w:val="en-US" w:eastAsia="zh-CN"/>
          <w14:textFill>
            <w14:solidFill>
              <w14:schemeClr w14:val="tx1"/>
            </w14:solidFill>
          </w14:textFill>
        </w:rPr>
        <w:t>危险性分析</w:t>
      </w:r>
      <w:bookmarkEnd w:id="345"/>
    </w:p>
    <w:p w14:paraId="727164CA">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光伏组件采用移动式水车清洗，移动水车从升压站一体化消防水泵站 </w:t>
      </w:r>
    </w:p>
    <w:p w14:paraId="1BCF0381">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抽水后移动至光伏场区各点。存在有机械伤害、车辆伤害、高处坠落等危 </w:t>
      </w:r>
    </w:p>
    <w:p w14:paraId="004EEFE1">
      <w:pPr>
        <w:keepNext w:val="0"/>
        <w:keepLines w:val="0"/>
        <w:pageBreakBefore w:val="0"/>
        <w:widowControl/>
        <w:suppressLineNumbers w:val="0"/>
        <w:kinsoku/>
        <w:wordWrap/>
        <w:overflowPunct/>
        <w:topLinePunct w:val="0"/>
        <w:autoSpaceDE/>
        <w:autoSpaceDN/>
        <w:bidi w:val="0"/>
        <w:adjustRightInd/>
        <w:snapToGrid/>
        <w:spacing w:line="420" w:lineRule="exact"/>
        <w:jc w:val="left"/>
        <w:textAlignment w:val="auto"/>
      </w:pPr>
      <w:r>
        <w:rPr>
          <w:rFonts w:hint="eastAsia" w:ascii="宋体" w:hAnsi="宋体" w:eastAsia="宋体" w:cs="宋体"/>
          <w:color w:val="000000"/>
          <w:kern w:val="0"/>
          <w:sz w:val="28"/>
          <w:szCs w:val="28"/>
          <w:lang w:val="en-US" w:eastAsia="zh-CN" w:bidi="ar"/>
        </w:rPr>
        <w:t xml:space="preserve">险、有害因素。主要引发原因分析如下： </w:t>
      </w:r>
    </w:p>
    <w:p w14:paraId="5CFB9A14">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1</w:t>
      </w:r>
      <w:r>
        <w:rPr>
          <w:rFonts w:hint="eastAsia" w:ascii="宋体" w:hAnsi="宋体" w:eastAsia="宋体" w:cs="宋体"/>
          <w:color w:val="000000"/>
          <w:kern w:val="0"/>
          <w:sz w:val="28"/>
          <w:szCs w:val="28"/>
          <w:lang w:val="en-US" w:eastAsia="zh-CN" w:bidi="ar"/>
        </w:rPr>
        <w:t xml:space="preserve">）清洗设备转动防护罩缺失，可能引起机械伤害。 </w:t>
      </w:r>
    </w:p>
    <w:p w14:paraId="30D87867">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2</w:t>
      </w:r>
      <w:r>
        <w:rPr>
          <w:rFonts w:hint="eastAsia" w:ascii="宋体" w:hAnsi="宋体" w:eastAsia="宋体" w:cs="宋体"/>
          <w:color w:val="000000"/>
          <w:kern w:val="0"/>
          <w:sz w:val="28"/>
          <w:szCs w:val="28"/>
          <w:lang w:val="en-US" w:eastAsia="zh-CN" w:bidi="ar"/>
        </w:rPr>
        <w:t xml:space="preserve">）移动水车在清洗时，陡坡停车时未设置车挡，可能发生滑车，停车位地基不稳可能发生车辆侧翻。 </w:t>
      </w:r>
    </w:p>
    <w:p w14:paraId="275E1E86">
      <w:pPr>
        <w:keepNext w:val="0"/>
        <w:keepLines w:val="0"/>
        <w:pageBreakBefore w:val="0"/>
        <w:widowControl/>
        <w:suppressLineNumbers w:val="0"/>
        <w:kinsoku/>
        <w:wordWrap/>
        <w:overflowPunct/>
        <w:topLinePunct w:val="0"/>
        <w:autoSpaceDE/>
        <w:autoSpaceDN/>
        <w:bidi w:val="0"/>
        <w:adjustRightInd/>
        <w:snapToGrid/>
        <w:spacing w:line="42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w:t>
      </w:r>
      <w:r>
        <w:rPr>
          <w:rFonts w:hint="default" w:ascii="Times New Roman" w:hAnsi="Times New Roman" w:eastAsia="宋体" w:cs="Times New Roman"/>
          <w:color w:val="000000"/>
          <w:kern w:val="0"/>
          <w:sz w:val="28"/>
          <w:szCs w:val="28"/>
          <w:lang w:val="en-US" w:eastAsia="zh-CN" w:bidi="ar"/>
        </w:rPr>
        <w:t>3</w:t>
      </w:r>
      <w:r>
        <w:rPr>
          <w:rFonts w:hint="eastAsia" w:ascii="宋体" w:hAnsi="宋体" w:eastAsia="宋体" w:cs="宋体"/>
          <w:color w:val="000000"/>
          <w:kern w:val="0"/>
          <w:sz w:val="28"/>
          <w:szCs w:val="28"/>
          <w:lang w:val="en-US" w:eastAsia="zh-CN" w:bidi="ar"/>
        </w:rPr>
        <w:t>）操作人员在车顶操作时，无防高坠措施可能发生高处坠落。</w:t>
      </w:r>
    </w:p>
    <w:p w14:paraId="3B821C0B">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lang w:val="en-US" w:eastAsia="zh-CN"/>
          <w14:textFill>
            <w14:solidFill>
              <w14:schemeClr w14:val="tx1"/>
            </w14:solidFill>
          </w14:textFill>
        </w:rPr>
      </w:pPr>
      <w:bookmarkStart w:id="346" w:name="_Toc19159"/>
      <w:r>
        <w:rPr>
          <w:rFonts w:hint="eastAsia" w:ascii="宋体" w:hAnsi="宋体" w:eastAsia="宋体" w:cs="宋体"/>
          <w:b/>
          <w:bCs/>
          <w:kern w:val="2"/>
          <w:sz w:val="30"/>
          <w:szCs w:val="30"/>
          <w:lang w:val="en-US" w:eastAsia="zh-CN" w:bidi="ar-SA"/>
        </w:rPr>
        <w:t>3.8.12消防系统</w:t>
      </w:r>
      <w:r>
        <w:rPr>
          <w:rFonts w:hint="eastAsia" w:ascii="宋体" w:hAnsi="宋体" w:eastAsia="宋体" w:cs="宋体"/>
          <w:b/>
          <w:bCs w:val="0"/>
          <w:color w:val="000000" w:themeColor="text1"/>
          <w:lang w:val="en-US" w:eastAsia="zh-CN"/>
          <w14:textFill>
            <w14:solidFill>
              <w14:schemeClr w14:val="tx1"/>
            </w14:solidFill>
          </w14:textFill>
        </w:rPr>
        <w:t>危险性分析</w:t>
      </w:r>
      <w:bookmarkEnd w:id="346"/>
    </w:p>
    <w:p w14:paraId="01775072">
      <w:pPr>
        <w:keepNext w:val="0"/>
        <w:keepLines w:val="0"/>
        <w:pageBreakBefore w:val="0"/>
        <w:widowControl/>
        <w:suppressLineNumbers w:val="0"/>
        <w:kinsoku/>
        <w:wordWrap/>
        <w:overflowPunct/>
        <w:topLinePunct w:val="0"/>
        <w:autoSpaceDE/>
        <w:autoSpaceDN/>
        <w:bidi w:val="0"/>
        <w:spacing w:line="420" w:lineRule="exact"/>
        <w:ind w:firstLine="560" w:firstLineChars="200"/>
        <w:jc w:val="left"/>
        <w:textAlignment w:val="auto"/>
      </w:pPr>
      <w:r>
        <w:rPr>
          <w:rFonts w:hint="eastAsia" w:ascii="宋体" w:hAnsi="宋体" w:eastAsia="宋体" w:cs="宋体"/>
          <w:color w:val="000000"/>
          <w:kern w:val="0"/>
          <w:sz w:val="28"/>
          <w:szCs w:val="28"/>
          <w:lang w:val="en-US" w:eastAsia="zh-CN" w:bidi="ar"/>
        </w:rPr>
        <w:t xml:space="preserve">消防供水系统使用消防水泵等机械设备，若防护装置缺失，安全 </w:t>
      </w:r>
    </w:p>
    <w:p w14:paraId="2ADB481B">
      <w:pPr>
        <w:keepNext w:val="0"/>
        <w:keepLines w:val="0"/>
        <w:pageBreakBefore w:val="0"/>
        <w:widowControl/>
        <w:suppressLineNumbers w:val="0"/>
        <w:kinsoku/>
        <w:wordWrap/>
        <w:overflowPunct/>
        <w:topLinePunct w:val="0"/>
        <w:autoSpaceDE/>
        <w:autoSpaceDN/>
        <w:bidi w:val="0"/>
        <w:spacing w:line="420" w:lineRule="exact"/>
        <w:jc w:val="left"/>
        <w:textAlignment w:val="auto"/>
      </w:pPr>
      <w:r>
        <w:rPr>
          <w:rFonts w:hint="eastAsia" w:ascii="宋体" w:hAnsi="宋体" w:eastAsia="宋体" w:cs="宋体"/>
          <w:color w:val="000000"/>
          <w:kern w:val="0"/>
          <w:sz w:val="28"/>
          <w:szCs w:val="28"/>
          <w:lang w:val="en-US" w:eastAsia="zh-CN" w:bidi="ar"/>
        </w:rPr>
        <w:t xml:space="preserve">措施和安全技术措施不完备，可能引起机械伤害事故。 </w:t>
      </w:r>
    </w:p>
    <w:p w14:paraId="2B80B436">
      <w:pPr>
        <w:pStyle w:val="3"/>
        <w:keepNext w:val="0"/>
        <w:keepLines w:val="0"/>
        <w:pageBreakBefore w:val="0"/>
        <w:widowControl w:val="0"/>
        <w:tabs>
          <w:tab w:val="left" w:pos="0"/>
        </w:tabs>
        <w:kinsoku/>
        <w:wordWrap/>
        <w:overflowPunct/>
        <w:topLinePunct w:val="0"/>
        <w:autoSpaceDE/>
        <w:autoSpaceDN/>
        <w:bidi w:val="0"/>
        <w:spacing w:line="420" w:lineRule="exact"/>
        <w:textAlignment w:val="auto"/>
        <w:outlineLvl w:val="1"/>
        <w:rPr>
          <w:rFonts w:hint="eastAsia" w:ascii="宋体" w:hAnsi="宋体" w:eastAsia="宋体" w:cs="宋体"/>
          <w:b/>
          <w:bCs/>
          <w:color w:val="000000" w:themeColor="text1"/>
          <w:sz w:val="30"/>
          <w:szCs w:val="30"/>
          <w:lang w:val="en-US" w:eastAsia="zh-CN"/>
          <w14:textFill>
            <w14:solidFill>
              <w14:schemeClr w14:val="tx1"/>
            </w14:solidFill>
          </w14:textFill>
        </w:rPr>
      </w:pPr>
      <w:bookmarkStart w:id="347" w:name="_Toc23627"/>
      <w:r>
        <w:rPr>
          <w:rFonts w:hint="eastAsia" w:ascii="宋体" w:hAnsi="宋体" w:eastAsia="宋体" w:cs="宋体"/>
          <w:b/>
          <w:bCs/>
          <w:kern w:val="2"/>
          <w:sz w:val="30"/>
          <w:szCs w:val="30"/>
          <w:lang w:val="en-US" w:eastAsia="zh-CN" w:bidi="ar-SA"/>
        </w:rPr>
        <w:t>3.9</w:t>
      </w:r>
      <w:bookmarkStart w:id="348" w:name="_Toc31457"/>
      <w:bookmarkStart w:id="349" w:name="_Toc9220"/>
      <w:r>
        <w:rPr>
          <w:rStyle w:val="32"/>
          <w:rFonts w:hint="eastAsia" w:ascii="宋体" w:hAnsi="宋体" w:eastAsia="宋体" w:cs="宋体"/>
          <w:b/>
          <w:bCs/>
          <w:color w:val="000000" w:themeColor="text1"/>
          <w:sz w:val="30"/>
          <w:szCs w:val="30"/>
          <w:lang w:val="en-US" w:eastAsia="zh-CN"/>
          <w14:textFill>
            <w14:solidFill>
              <w14:schemeClr w14:val="tx1"/>
            </w14:solidFill>
          </w14:textFill>
        </w:rPr>
        <w:t>自然</w:t>
      </w:r>
      <w:r>
        <w:rPr>
          <w:rFonts w:hint="eastAsia" w:ascii="宋体" w:hAnsi="宋体" w:eastAsia="宋体" w:cs="宋体"/>
          <w:b/>
          <w:bCs/>
          <w:color w:val="000000" w:themeColor="text1"/>
          <w:sz w:val="30"/>
          <w:szCs w:val="30"/>
          <w14:textFill>
            <w14:solidFill>
              <w14:schemeClr w14:val="tx1"/>
            </w14:solidFill>
          </w14:textFill>
        </w:rPr>
        <w:t>灾害天气</w:t>
      </w:r>
      <w:r>
        <w:rPr>
          <w:rStyle w:val="32"/>
          <w:rFonts w:hint="eastAsia" w:ascii="宋体" w:hAnsi="宋体" w:eastAsia="宋体" w:cs="宋体"/>
          <w:b/>
          <w:bCs/>
          <w:color w:val="000000" w:themeColor="text1"/>
          <w:sz w:val="30"/>
          <w:szCs w:val="30"/>
          <w:lang w:val="en-US" w:eastAsia="zh-CN"/>
          <w14:textFill>
            <w14:solidFill>
              <w14:schemeClr w14:val="tx1"/>
            </w14:solidFill>
          </w14:textFill>
        </w:rPr>
        <w:t>危险有害因素辨识与分析</w:t>
      </w:r>
      <w:bookmarkEnd w:id="347"/>
      <w:bookmarkEnd w:id="348"/>
      <w:bookmarkEnd w:id="349"/>
    </w:p>
    <w:p w14:paraId="412734DB">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本光伏电站场址</w:t>
      </w:r>
      <w:r>
        <w:rPr>
          <w:color w:val="000000" w:themeColor="text1"/>
          <w:sz w:val="28"/>
          <w:szCs w:val="28"/>
          <w14:textFill>
            <w14:solidFill>
              <w14:schemeClr w14:val="tx1"/>
            </w14:solidFill>
          </w14:textFill>
        </w:rPr>
        <w:t>受地理位置、地形、地势等多种因素的影响，</w:t>
      </w:r>
      <w:r>
        <w:rPr>
          <w:rFonts w:hint="eastAsia"/>
          <w:color w:val="000000" w:themeColor="text1"/>
          <w:sz w:val="28"/>
          <w:szCs w:val="28"/>
          <w14:textFill>
            <w14:solidFill>
              <w14:schemeClr w14:val="tx1"/>
            </w14:solidFill>
          </w14:textFill>
        </w:rPr>
        <w:t>当地</w:t>
      </w:r>
      <w:r>
        <w:rPr>
          <w:color w:val="000000" w:themeColor="text1"/>
          <w:sz w:val="28"/>
          <w:szCs w:val="28"/>
          <w14:textFill>
            <w14:solidFill>
              <w14:schemeClr w14:val="tx1"/>
            </w14:solidFill>
          </w14:textFill>
        </w:rPr>
        <w:t>常出现的气象灾害主要有：</w:t>
      </w:r>
      <w:r>
        <w:rPr>
          <w:rFonts w:hint="eastAsia"/>
          <w:color w:val="000000" w:themeColor="text1"/>
          <w:sz w:val="28"/>
          <w:szCs w:val="28"/>
          <w14:textFill>
            <w14:solidFill>
              <w14:schemeClr w14:val="tx1"/>
            </w14:solidFill>
          </w14:textFill>
        </w:rPr>
        <w:t>大风、暴雨、</w:t>
      </w:r>
      <w:r>
        <w:rPr>
          <w:rFonts w:hint="eastAsia"/>
          <w:color w:val="000000" w:themeColor="text1"/>
          <w:sz w:val="28"/>
          <w:szCs w:val="28"/>
          <w:lang w:val="en-US" w:eastAsia="zh-CN"/>
          <w14:textFill>
            <w14:solidFill>
              <w14:schemeClr w14:val="tx1"/>
            </w14:solidFill>
          </w14:textFill>
        </w:rPr>
        <w:t>极端</w:t>
      </w:r>
      <w:r>
        <w:rPr>
          <w:rFonts w:hint="eastAsia"/>
          <w:color w:val="000000" w:themeColor="text1"/>
          <w:sz w:val="28"/>
          <w:szCs w:val="28"/>
          <w14:textFill>
            <w14:solidFill>
              <w14:schemeClr w14:val="tx1"/>
            </w14:solidFill>
          </w14:textFill>
        </w:rPr>
        <w:t>气温、雷暴等。</w:t>
      </w:r>
    </w:p>
    <w:p w14:paraId="3D4E73BA">
      <w:pPr>
        <w:pStyle w:val="4"/>
        <w:keepNext w:val="0"/>
        <w:keepLines w:val="0"/>
        <w:pageBreakBefore w:val="0"/>
        <w:widowControl w:val="0"/>
        <w:tabs>
          <w:tab w:val="left" w:pos="0"/>
        </w:tabs>
        <w:kinsoku/>
        <w:wordWrap/>
        <w:overflowPunct/>
        <w:topLinePunct w:val="0"/>
        <w:autoSpaceDE/>
        <w:autoSpaceDN/>
        <w:bidi w:val="0"/>
        <w:spacing w:line="420" w:lineRule="exact"/>
        <w:textAlignment w:val="auto"/>
        <w:outlineLvl w:val="2"/>
        <w:rPr>
          <w:rFonts w:hint="eastAsia" w:ascii="宋体" w:hAnsi="宋体" w:eastAsia="宋体" w:cs="宋体"/>
          <w:b/>
          <w:bCs/>
          <w:color w:val="000000" w:themeColor="text1"/>
          <w:sz w:val="30"/>
          <w:szCs w:val="30"/>
          <w:lang w:val="en-US" w:eastAsia="zh-CN"/>
          <w14:textFill>
            <w14:solidFill>
              <w14:schemeClr w14:val="tx1"/>
            </w14:solidFill>
          </w14:textFill>
        </w:rPr>
      </w:pPr>
      <w:bookmarkStart w:id="350" w:name="_Toc17641"/>
      <w:r>
        <w:rPr>
          <w:rFonts w:hint="eastAsia" w:ascii="宋体" w:hAnsi="宋体" w:eastAsia="宋体" w:cs="宋体"/>
          <w:b/>
          <w:bCs/>
          <w:kern w:val="2"/>
          <w:sz w:val="30"/>
          <w:szCs w:val="30"/>
          <w:lang w:val="en-US" w:eastAsia="zh-CN" w:bidi="ar-SA"/>
        </w:rPr>
        <w:t>3.9.1</w:t>
      </w:r>
      <w:r>
        <w:rPr>
          <w:rStyle w:val="32"/>
          <w:rFonts w:hint="eastAsia" w:ascii="宋体" w:hAnsi="宋体" w:eastAsia="宋体" w:cs="宋体"/>
          <w:b/>
          <w:bCs/>
          <w:color w:val="000000" w:themeColor="text1"/>
          <w:sz w:val="30"/>
          <w:szCs w:val="30"/>
          <w:lang w:val="en-US" w:eastAsia="zh-CN"/>
          <w14:textFill>
            <w14:solidFill>
              <w14:schemeClr w14:val="tx1"/>
            </w14:solidFill>
          </w14:textFill>
        </w:rPr>
        <w:t>大风危险有害因素分析</w:t>
      </w:r>
      <w:bookmarkEnd w:id="350"/>
    </w:p>
    <w:p w14:paraId="4F9C0EE4">
      <w:pPr>
        <w:keepNext w:val="0"/>
        <w:keepLines w:val="0"/>
        <w:pageBreakBefore w:val="0"/>
        <w:widowControl w:val="0"/>
        <w:kinsoku/>
        <w:wordWrap/>
        <w:overflowPunct/>
        <w:topLinePunct w:val="0"/>
        <w:autoSpaceDE/>
        <w:autoSpaceDN/>
        <w:bidi w:val="0"/>
        <w:spacing w:line="420" w:lineRule="exact"/>
        <w:ind w:firstLine="560" w:firstLineChars="200"/>
        <w:textAlignment w:val="auto"/>
        <w:outlineLvl w:val="9"/>
        <w:rPr>
          <w:rFonts w:hint="eastAsia" w:ascii="宋体" w:hAnsi="宋体" w:eastAsia="宋体" w:cs="宋体"/>
          <w:b/>
          <w:bCs w:val="0"/>
          <w:color w:val="000000" w:themeColor="text1"/>
          <w:sz w:val="30"/>
          <w:szCs w:val="30"/>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固定式安装的光伏电站因组件被支撑与地面形成一定倾角，建设项日 所在地多年平均风速1.1m/s, 如电站遇到极端风速、光伏组件制造安装质  量存在缺陷、巡查未及时发现隐患，可能导致支架松动、光伏组件被吹飞、 设备损坏等。风速过大时，可能发生支架折断或倾倒等事故。同时极端风  速会引起支架振动，使部件疲劳或磨损，严重的会导致损坏。</w:t>
      </w:r>
    </w:p>
    <w:p w14:paraId="3EB5F8FA">
      <w:pPr>
        <w:pStyle w:val="4"/>
        <w:keepNext w:val="0"/>
        <w:keepLines w:val="0"/>
        <w:pageBreakBefore w:val="0"/>
        <w:widowControl w:val="0"/>
        <w:tabs>
          <w:tab w:val="left" w:pos="0"/>
        </w:tabs>
        <w:kinsoku/>
        <w:wordWrap/>
        <w:overflowPunct/>
        <w:topLinePunct w:val="0"/>
        <w:autoSpaceDE/>
        <w:autoSpaceDN/>
        <w:bidi w:val="0"/>
        <w:spacing w:line="420" w:lineRule="exact"/>
        <w:textAlignment w:val="auto"/>
        <w:outlineLvl w:val="2"/>
        <w:rPr>
          <w:rFonts w:hint="eastAsia" w:ascii="宋体" w:hAnsi="宋体" w:eastAsia="宋体" w:cs="宋体"/>
          <w:b/>
          <w:bCs/>
          <w:color w:val="000000" w:themeColor="text1"/>
          <w:sz w:val="30"/>
          <w:szCs w:val="30"/>
          <w:lang w:val="en-US" w:eastAsia="zh-CN"/>
          <w14:textFill>
            <w14:solidFill>
              <w14:schemeClr w14:val="tx1"/>
            </w14:solidFill>
          </w14:textFill>
        </w:rPr>
      </w:pPr>
      <w:bookmarkStart w:id="351" w:name="_Toc6544"/>
      <w:r>
        <w:rPr>
          <w:rFonts w:hint="eastAsia" w:ascii="宋体" w:hAnsi="宋体" w:eastAsia="宋体" w:cs="宋体"/>
          <w:b/>
          <w:bCs/>
          <w:kern w:val="2"/>
          <w:sz w:val="30"/>
          <w:szCs w:val="30"/>
          <w:lang w:val="en-US" w:eastAsia="zh-CN" w:bidi="ar-SA"/>
        </w:rPr>
        <w:t>3.9.2</w:t>
      </w:r>
      <w:r>
        <w:rPr>
          <w:rStyle w:val="32"/>
          <w:rFonts w:hint="eastAsia" w:ascii="宋体" w:hAnsi="宋体" w:eastAsia="宋体" w:cs="宋体"/>
          <w:b/>
          <w:bCs/>
          <w:color w:val="000000" w:themeColor="text1"/>
          <w:sz w:val="30"/>
          <w:szCs w:val="30"/>
          <w:lang w:val="en-US" w:eastAsia="zh-CN"/>
          <w14:textFill>
            <w14:solidFill>
              <w14:schemeClr w14:val="tx1"/>
            </w14:solidFill>
          </w14:textFill>
        </w:rPr>
        <w:t>极端气温危险有害因素分析</w:t>
      </w:r>
      <w:bookmarkEnd w:id="351"/>
    </w:p>
    <w:p w14:paraId="35A4DA01">
      <w:pPr>
        <w:pStyle w:val="10"/>
        <w:keepNext w:val="0"/>
        <w:keepLines w:val="0"/>
        <w:pageBreakBefore w:val="0"/>
        <w:widowControl w:val="0"/>
        <w:kinsoku/>
        <w:wordWrap/>
        <w:overflowPunct/>
        <w:topLinePunct w:val="0"/>
        <w:autoSpaceDE/>
        <w:autoSpaceDN/>
        <w:bidi w:val="0"/>
        <w:adjustRightInd/>
        <w:snapToGrid/>
        <w:spacing w:after="0" w:line="420" w:lineRule="exact"/>
        <w:ind w:left="0" w:right="0" w:firstLine="482"/>
        <w:jc w:val="both"/>
        <w:textAlignment w:val="auto"/>
        <w:rPr>
          <w:rFonts w:hint="eastAsia" w:ascii="宋体" w:hAnsi="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工程所在地区多年平均气温 23.4℃ ,多年极端最高气温 41.3℃ , 多年极端最低气温 5.3℃ 。总体上场址气温条件有利于光伏电站运行。</w:t>
      </w:r>
      <w:r>
        <w:rPr>
          <w:rFonts w:hint="eastAsia" w:ascii="宋体" w:hAnsi="宋体" w:cs="宋体"/>
          <w:color w:val="000000" w:themeColor="text1"/>
          <w:kern w:val="2"/>
          <w:sz w:val="28"/>
          <w:szCs w:val="24"/>
          <w:lang w:val="en-US" w:eastAsia="zh-CN" w:bidi="ar-SA"/>
          <w14:textFill>
            <w14:solidFill>
              <w14:schemeClr w14:val="tx1"/>
            </w14:solidFill>
          </w14:textFill>
        </w:rPr>
        <w:t xml:space="preserve">           </w:t>
      </w:r>
    </w:p>
    <w:p w14:paraId="27D14AE5">
      <w:pPr>
        <w:pStyle w:val="10"/>
        <w:keepNext w:val="0"/>
        <w:keepLines w:val="0"/>
        <w:pageBreakBefore w:val="0"/>
        <w:widowControl w:val="0"/>
        <w:kinsoku/>
        <w:wordWrap/>
        <w:overflowPunct/>
        <w:topLinePunct w:val="0"/>
        <w:autoSpaceDE/>
        <w:autoSpaceDN/>
        <w:bidi w:val="0"/>
        <w:adjustRightInd/>
        <w:snapToGrid/>
        <w:spacing w:after="0" w:line="420" w:lineRule="exact"/>
        <w:ind w:left="0" w:right="0" w:firstLine="482"/>
        <w:jc w:val="both"/>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本工程选用逆变器的工作温度范围为-30～60℃ ,选用电池组件的工作温度范围为 -40℃～85℃ ,正常情况下，太阳电池组件的工作温度可保持在环境温度增加 20℃的水平。</w:t>
      </w:r>
    </w:p>
    <w:p w14:paraId="7BAD4E70">
      <w:pPr>
        <w:pStyle w:val="10"/>
        <w:keepNext w:val="0"/>
        <w:keepLines w:val="0"/>
        <w:pageBreakBefore w:val="0"/>
        <w:widowControl w:val="0"/>
        <w:kinsoku/>
        <w:wordWrap/>
        <w:overflowPunct/>
        <w:topLinePunct w:val="0"/>
        <w:autoSpaceDE/>
        <w:autoSpaceDN/>
        <w:bidi w:val="0"/>
        <w:adjustRightInd/>
        <w:snapToGrid/>
        <w:spacing w:after="0" w:line="420" w:lineRule="exact"/>
        <w:ind w:left="0" w:right="0" w:firstLine="482"/>
        <w:textAlignment w:val="auto"/>
        <w:rPr>
          <w:rFonts w:hint="default"/>
          <w:lang w:val="en-US" w:eastAsia="zh-CN"/>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按本工程场区极端气温数据校核，本项目太阳电池组件及逆变器的工作温度可控制 在允许范围内，地区气象温度条件对太阳电池组件及逆变器的安全性没有影响。</w:t>
      </w:r>
    </w:p>
    <w:p w14:paraId="4DEEA2F6">
      <w:pPr>
        <w:pStyle w:val="4"/>
        <w:keepNext w:val="0"/>
        <w:keepLines w:val="0"/>
        <w:pageBreakBefore w:val="0"/>
        <w:widowControl w:val="0"/>
        <w:tabs>
          <w:tab w:val="left" w:pos="0"/>
        </w:tabs>
        <w:kinsoku/>
        <w:wordWrap/>
        <w:overflowPunct/>
        <w:topLinePunct w:val="0"/>
        <w:autoSpaceDE/>
        <w:autoSpaceDN/>
        <w:bidi w:val="0"/>
        <w:spacing w:line="420" w:lineRule="exact"/>
        <w:textAlignment w:val="auto"/>
        <w:outlineLvl w:val="2"/>
        <w:rPr>
          <w:rFonts w:hint="eastAsia" w:ascii="宋体" w:hAnsi="宋体" w:eastAsia="宋体" w:cs="宋体"/>
          <w:b/>
          <w:bCs/>
          <w:color w:val="000000" w:themeColor="text1"/>
          <w:sz w:val="30"/>
          <w:szCs w:val="30"/>
          <w:lang w:val="en-US" w:eastAsia="zh-CN"/>
          <w14:textFill>
            <w14:solidFill>
              <w14:schemeClr w14:val="tx1"/>
            </w14:solidFill>
          </w14:textFill>
        </w:rPr>
      </w:pPr>
      <w:bookmarkStart w:id="352" w:name="_Toc32712"/>
      <w:r>
        <w:rPr>
          <w:rFonts w:hint="eastAsia" w:ascii="宋体" w:hAnsi="宋体" w:eastAsia="宋体" w:cs="宋体"/>
          <w:b/>
          <w:bCs/>
          <w:kern w:val="2"/>
          <w:sz w:val="30"/>
          <w:szCs w:val="30"/>
          <w:lang w:val="en-US" w:eastAsia="zh-CN" w:bidi="ar-SA"/>
        </w:rPr>
        <w:t>3.9.3</w:t>
      </w:r>
      <w:r>
        <w:rPr>
          <w:rStyle w:val="32"/>
          <w:rFonts w:hint="eastAsia" w:ascii="宋体" w:hAnsi="宋体" w:eastAsia="宋体" w:cs="宋体"/>
          <w:b/>
          <w:bCs/>
          <w:color w:val="000000" w:themeColor="text1"/>
          <w:sz w:val="30"/>
          <w:szCs w:val="30"/>
          <w:lang w:val="en-US" w:eastAsia="zh-CN"/>
          <w14:textFill>
            <w14:solidFill>
              <w14:schemeClr w14:val="tx1"/>
            </w14:solidFill>
          </w14:textFill>
        </w:rPr>
        <w:t>冰雹和积雪危险有害因素分析</w:t>
      </w:r>
      <w:bookmarkEnd w:id="352"/>
    </w:p>
    <w:p w14:paraId="620DA622">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冰雹和积雪可能损坏太阳能电池板，可能导致人员受伤、线路受损： 积雪覆盖电池板，对发电造成影响，运行人员冻伤等危险。</w:t>
      </w:r>
    </w:p>
    <w:p w14:paraId="63B93D9D">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项目所在地降雪和冰雹天气极少，冰雹、积雪的影响较小。</w:t>
      </w:r>
    </w:p>
    <w:p w14:paraId="68D3089D">
      <w:pPr>
        <w:pStyle w:val="4"/>
        <w:keepNext w:val="0"/>
        <w:keepLines w:val="0"/>
        <w:pageBreakBefore w:val="0"/>
        <w:widowControl w:val="0"/>
        <w:tabs>
          <w:tab w:val="left" w:pos="0"/>
        </w:tabs>
        <w:kinsoku/>
        <w:wordWrap/>
        <w:overflowPunct/>
        <w:topLinePunct w:val="0"/>
        <w:autoSpaceDE/>
        <w:autoSpaceDN/>
        <w:bidi w:val="0"/>
        <w:spacing w:line="420" w:lineRule="exact"/>
        <w:textAlignment w:val="auto"/>
        <w:outlineLvl w:val="2"/>
        <w:rPr>
          <w:rFonts w:hint="eastAsia" w:ascii="宋体" w:hAnsi="宋体" w:eastAsia="宋体" w:cs="宋体"/>
          <w:b/>
          <w:bCs/>
          <w:color w:val="000000" w:themeColor="text1"/>
          <w:sz w:val="30"/>
          <w:szCs w:val="30"/>
          <w:lang w:val="en-US" w:eastAsia="zh-CN"/>
          <w14:textFill>
            <w14:solidFill>
              <w14:schemeClr w14:val="tx1"/>
            </w14:solidFill>
          </w14:textFill>
        </w:rPr>
      </w:pPr>
      <w:bookmarkStart w:id="353" w:name="_Toc12675"/>
      <w:r>
        <w:rPr>
          <w:rFonts w:hint="eastAsia" w:ascii="宋体" w:hAnsi="宋体" w:eastAsia="宋体" w:cs="宋体"/>
          <w:b/>
          <w:bCs/>
          <w:kern w:val="2"/>
          <w:sz w:val="30"/>
          <w:szCs w:val="30"/>
          <w:lang w:val="en-US" w:eastAsia="zh-CN" w:bidi="ar-SA"/>
        </w:rPr>
        <w:t>3.9.4</w:t>
      </w:r>
      <w:r>
        <w:rPr>
          <w:rStyle w:val="32"/>
          <w:rFonts w:hint="eastAsia" w:ascii="宋体" w:hAnsi="宋体" w:eastAsia="宋体" w:cs="宋体"/>
          <w:b/>
          <w:bCs/>
          <w:color w:val="000000" w:themeColor="text1"/>
          <w:sz w:val="30"/>
          <w:szCs w:val="30"/>
          <w:lang w:val="en-US" w:eastAsia="zh-CN"/>
          <w14:textFill>
            <w14:solidFill>
              <w14:schemeClr w14:val="tx1"/>
            </w14:solidFill>
          </w14:textFill>
        </w:rPr>
        <w:t>暴雨危险有害因素分析</w:t>
      </w:r>
      <w:bookmarkEnd w:id="353"/>
    </w:p>
    <w:p w14:paraId="6A12A815">
      <w:pPr>
        <w:pageBreakBefore w:val="0"/>
        <w:widowControl w:val="0"/>
        <w:kinsoku/>
        <w:wordWrap/>
        <w:overflowPunct/>
        <w:topLinePunct w:val="0"/>
        <w:autoSpaceDE/>
        <w:autoSpaceDN/>
        <w:bidi w:val="0"/>
        <w:spacing w:line="420" w:lineRule="exact"/>
        <w:ind w:firstLine="560" w:firstLineChars="200"/>
        <w:jc w:val="left"/>
        <w:textAlignment w:val="auto"/>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pPr>
      <w:r>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t>项目所在地多年年平均降雨量为1214.9mm, 雨季雨量一般。项目选址  周边汇水面积较小，山洪、泥石流的可能性小，且场区布置于山坡上，不  受山洪影响。但场地内的排水设施未设计或不满足要求，则可能冲刷场区、 支架基础、集电电缆等，造成场区水土流失、光伏支架基础不均匀沉降、  支架倾倒，损坏电缆沟等。</w:t>
      </w:r>
    </w:p>
    <w:p w14:paraId="0B772C73">
      <w:pPr>
        <w:pStyle w:val="4"/>
        <w:keepNext w:val="0"/>
        <w:keepLines w:val="0"/>
        <w:pageBreakBefore w:val="0"/>
        <w:widowControl w:val="0"/>
        <w:tabs>
          <w:tab w:val="left" w:pos="0"/>
        </w:tabs>
        <w:kinsoku/>
        <w:wordWrap/>
        <w:overflowPunct/>
        <w:topLinePunct w:val="0"/>
        <w:autoSpaceDE/>
        <w:autoSpaceDN/>
        <w:bidi w:val="0"/>
        <w:spacing w:line="420" w:lineRule="exact"/>
        <w:textAlignment w:val="auto"/>
        <w:outlineLvl w:val="2"/>
        <w:rPr>
          <w:rFonts w:hint="eastAsia" w:ascii="宋体" w:hAnsi="宋体" w:eastAsia="宋体" w:cs="宋体"/>
          <w:b/>
          <w:bCs/>
          <w:color w:val="000000" w:themeColor="text1"/>
          <w:sz w:val="30"/>
          <w:szCs w:val="30"/>
          <w:lang w:val="en-US" w:eastAsia="zh-CN"/>
          <w14:textFill>
            <w14:solidFill>
              <w14:schemeClr w14:val="tx1"/>
            </w14:solidFill>
          </w14:textFill>
        </w:rPr>
      </w:pPr>
      <w:bookmarkStart w:id="354" w:name="_Toc31839"/>
      <w:r>
        <w:rPr>
          <w:rFonts w:hint="eastAsia" w:ascii="宋体" w:hAnsi="宋体" w:eastAsia="宋体" w:cs="宋体"/>
          <w:b/>
          <w:bCs/>
          <w:kern w:val="2"/>
          <w:sz w:val="30"/>
          <w:szCs w:val="30"/>
          <w:lang w:val="en-US" w:eastAsia="zh-CN" w:bidi="ar-SA"/>
        </w:rPr>
        <w:t>3.9.5</w:t>
      </w:r>
      <w:r>
        <w:rPr>
          <w:rStyle w:val="32"/>
          <w:rFonts w:hint="eastAsia" w:ascii="宋体" w:hAnsi="宋体" w:eastAsia="宋体" w:cs="宋体"/>
          <w:b/>
          <w:bCs/>
          <w:color w:val="000000" w:themeColor="text1"/>
          <w:sz w:val="30"/>
          <w:szCs w:val="30"/>
          <w:lang w:val="en-US" w:eastAsia="zh-CN"/>
          <w14:textFill>
            <w14:solidFill>
              <w14:schemeClr w14:val="tx1"/>
            </w14:solidFill>
          </w14:textFill>
        </w:rPr>
        <w:t>雷暴危险有害因素分析</w:t>
      </w:r>
      <w:bookmarkEnd w:id="354"/>
    </w:p>
    <w:p w14:paraId="051DFE55">
      <w:pPr>
        <w:keepNext w:val="0"/>
        <w:keepLines w:val="0"/>
        <w:pageBreakBefore w:val="0"/>
        <w:widowControl w:val="0"/>
        <w:kinsoku/>
        <w:wordWrap/>
        <w:overflowPunct/>
        <w:topLinePunct w:val="0"/>
        <w:autoSpaceDE/>
        <w:autoSpaceDN/>
        <w:bidi w:val="0"/>
        <w:adjustRightInd/>
        <w:snapToGrid/>
        <w:spacing w:line="420" w:lineRule="exact"/>
        <w:ind w:left="0" w:right="0" w:firstLine="599"/>
        <w:textAlignment w:val="auto"/>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pPr>
      <w:r>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t>项目所在地的多年平均雷暴日数为103天。光伏组件布置于山坡上， 遭受雷击损坏的机率较大。</w:t>
      </w:r>
    </w:p>
    <w:p w14:paraId="7D9BCA07">
      <w:pPr>
        <w:keepNext w:val="0"/>
        <w:keepLines w:val="0"/>
        <w:pageBreakBefore w:val="0"/>
        <w:widowControl w:val="0"/>
        <w:kinsoku/>
        <w:wordWrap/>
        <w:overflowPunct/>
        <w:topLinePunct w:val="0"/>
        <w:autoSpaceDE/>
        <w:autoSpaceDN/>
        <w:bidi w:val="0"/>
        <w:adjustRightInd/>
        <w:snapToGrid/>
        <w:spacing w:line="420" w:lineRule="exact"/>
        <w:ind w:left="0" w:right="0" w:firstLine="700"/>
        <w:textAlignment w:val="auto"/>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pPr>
      <w:r>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t>(1)电站生产区域缺少避雷设备、避雷设备不合格或避雷设备未定期 检验，防雷装置接地电阻不满足设计要求；</w:t>
      </w:r>
    </w:p>
    <w:p w14:paraId="147DBB7E">
      <w:pPr>
        <w:keepNext w:val="0"/>
        <w:keepLines w:val="0"/>
        <w:pageBreakBefore w:val="0"/>
        <w:widowControl w:val="0"/>
        <w:kinsoku/>
        <w:wordWrap/>
        <w:overflowPunct/>
        <w:topLinePunct w:val="0"/>
        <w:autoSpaceDE/>
        <w:autoSpaceDN/>
        <w:bidi w:val="0"/>
        <w:adjustRightInd/>
        <w:snapToGrid/>
        <w:spacing w:line="420" w:lineRule="exact"/>
        <w:ind w:left="0" w:right="0"/>
        <w:textAlignment w:val="auto"/>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pPr>
      <w:r>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t>(2)箱体未按设计要求装设防雷装置或没有良好接地；</w:t>
      </w:r>
    </w:p>
    <w:p w14:paraId="220BFF40">
      <w:pPr>
        <w:keepNext w:val="0"/>
        <w:keepLines w:val="0"/>
        <w:pageBreakBefore w:val="0"/>
        <w:widowControl w:val="0"/>
        <w:kinsoku/>
        <w:wordWrap/>
        <w:overflowPunct/>
        <w:topLinePunct w:val="0"/>
        <w:autoSpaceDE/>
        <w:autoSpaceDN/>
        <w:bidi w:val="0"/>
        <w:adjustRightInd/>
        <w:snapToGrid/>
        <w:spacing w:line="420" w:lineRule="exact"/>
        <w:ind w:left="0" w:right="0" w:firstLine="700"/>
        <w:textAlignment w:val="auto"/>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pPr>
      <w:r>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t>(3)每台逆变器的交流输出侧未按设计要求设防雷保护装置，机柜无 良好的接地，雷击和电网浪汤可能导致设备损坏；</w:t>
      </w:r>
    </w:p>
    <w:p w14:paraId="5AE8EB08">
      <w:pPr>
        <w:keepNext w:val="0"/>
        <w:keepLines w:val="0"/>
        <w:pageBreakBefore w:val="0"/>
        <w:widowControl w:val="0"/>
        <w:kinsoku/>
        <w:wordWrap/>
        <w:overflowPunct/>
        <w:topLinePunct w:val="0"/>
        <w:autoSpaceDE/>
        <w:autoSpaceDN/>
        <w:bidi w:val="0"/>
        <w:adjustRightInd/>
        <w:snapToGrid/>
        <w:spacing w:line="420" w:lineRule="exact"/>
        <w:ind w:left="0" w:right="0"/>
        <w:textAlignment w:val="auto"/>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pPr>
      <w:r>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t>(4)光伏支架、电气设备未按设计要求装设接地装置；</w:t>
      </w:r>
    </w:p>
    <w:p w14:paraId="63142AD3">
      <w:pPr>
        <w:keepNext w:val="0"/>
        <w:keepLines w:val="0"/>
        <w:pageBreakBefore w:val="0"/>
        <w:widowControl w:val="0"/>
        <w:kinsoku/>
        <w:wordWrap/>
        <w:overflowPunct/>
        <w:topLinePunct w:val="0"/>
        <w:autoSpaceDE/>
        <w:autoSpaceDN/>
        <w:bidi w:val="0"/>
        <w:adjustRightInd/>
        <w:snapToGrid/>
        <w:spacing w:line="420" w:lineRule="exact"/>
        <w:ind w:left="0" w:right="0" w:firstLine="700"/>
        <w:textAlignment w:val="auto"/>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pPr>
      <w:r>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t>(5)雷电侵入供电系统或电气设备，而防雷设施失效时，可能带来多 方面的危害，如毁坏变压器、开关、绝缘子、光伏组件、逆变器等电气设 备，且可能导致火灾事故；</w:t>
      </w:r>
    </w:p>
    <w:p w14:paraId="4036C7B6">
      <w:pPr>
        <w:keepNext w:val="0"/>
        <w:keepLines w:val="0"/>
        <w:pageBreakBefore w:val="0"/>
        <w:widowControl w:val="0"/>
        <w:kinsoku/>
        <w:wordWrap/>
        <w:overflowPunct/>
        <w:topLinePunct w:val="0"/>
        <w:autoSpaceDE/>
        <w:autoSpaceDN/>
        <w:bidi w:val="0"/>
        <w:adjustRightInd/>
        <w:snapToGrid/>
        <w:spacing w:line="420" w:lineRule="exact"/>
        <w:ind w:left="0" w:right="0" w:firstLine="700"/>
        <w:textAlignment w:val="auto"/>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pPr>
      <w:r>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t>(6)如绝缘破坏、高电压帘入低压线路或设备，可能导致人员触电、 设备损坏事故；</w:t>
      </w:r>
    </w:p>
    <w:p w14:paraId="2F4A26E7">
      <w:pPr>
        <w:keepNext w:val="0"/>
        <w:keepLines w:val="0"/>
        <w:pageBreakBefore w:val="0"/>
        <w:widowControl w:val="0"/>
        <w:kinsoku/>
        <w:wordWrap/>
        <w:overflowPunct/>
        <w:topLinePunct w:val="0"/>
        <w:autoSpaceDE/>
        <w:autoSpaceDN/>
        <w:bidi w:val="0"/>
        <w:adjustRightInd/>
        <w:snapToGrid/>
        <w:spacing w:line="420" w:lineRule="exact"/>
        <w:ind w:left="0" w:right="0" w:firstLine="700"/>
        <w:textAlignment w:val="auto"/>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pPr>
      <w:r>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t>(7)如防雷电气接地网电阻值不符合要求，可能在雷击点及其建筑金 属部分，产生过高的对地电压，造成人员直接触电或跨步电压的触电水故；</w:t>
      </w:r>
    </w:p>
    <w:p w14:paraId="188F9199">
      <w:pPr>
        <w:keepNext w:val="0"/>
        <w:keepLines w:val="0"/>
        <w:pageBreakBefore w:val="0"/>
        <w:widowControl w:val="0"/>
        <w:kinsoku/>
        <w:wordWrap/>
        <w:overflowPunct/>
        <w:topLinePunct w:val="0"/>
        <w:autoSpaceDE/>
        <w:autoSpaceDN/>
        <w:bidi w:val="0"/>
        <w:adjustRightInd/>
        <w:snapToGrid/>
        <w:spacing w:line="420" w:lineRule="exact"/>
        <w:ind w:left="0" w:right="0" w:firstLine="700"/>
        <w:textAlignment w:val="auto"/>
        <w:rPr>
          <w:rFonts w:hint="eastAsia" w:ascii="Times New Roman" w:hAnsi="Times New Roman"/>
          <w:bCs w:val="0"/>
          <w:color w:val="000000" w:themeColor="text1"/>
          <w:spacing w:val="0"/>
          <w:kern w:val="2"/>
          <w14:textFill>
            <w14:solidFill>
              <w14:schemeClr w14:val="tx1"/>
            </w14:solidFill>
          </w14:textFill>
        </w:rPr>
      </w:pPr>
      <w:r>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t>(8)本项口光伏阵列多布置于山坡上，光伏组件无遮挡，遭受雷击损 坏的机率较大。若光伏支架未按设计要求装设接地装置或没有良好接地， 在施工、运行和维护中可能导致触电事故的发生。</w:t>
      </w:r>
    </w:p>
    <w:p w14:paraId="1E7294D5">
      <w:pPr>
        <w:pStyle w:val="3"/>
        <w:keepNext w:val="0"/>
        <w:keepLines w:val="0"/>
        <w:pageBreakBefore w:val="0"/>
        <w:widowControl w:val="0"/>
        <w:tabs>
          <w:tab w:val="left" w:pos="0"/>
        </w:tabs>
        <w:kinsoku/>
        <w:wordWrap/>
        <w:overflowPunct/>
        <w:topLinePunct w:val="0"/>
        <w:autoSpaceDE/>
        <w:autoSpaceDN/>
        <w:bidi w:val="0"/>
        <w:spacing w:line="420" w:lineRule="exact"/>
        <w:textAlignment w:val="auto"/>
        <w:rPr>
          <w:rFonts w:hint="default" w:ascii="宋体" w:hAnsi="宋体" w:eastAsia="宋体" w:cs="宋体"/>
          <w:b/>
          <w:bCs/>
          <w:color w:val="000000" w:themeColor="text1"/>
          <w:sz w:val="32"/>
          <w:szCs w:val="32"/>
          <w:lang w:val="en-US" w:eastAsia="zh-CN"/>
          <w14:textFill>
            <w14:solidFill>
              <w14:schemeClr w14:val="tx1"/>
            </w14:solidFill>
          </w14:textFill>
        </w:rPr>
      </w:pPr>
      <w:bookmarkStart w:id="355" w:name="_Toc5144"/>
      <w:r>
        <w:rPr>
          <w:rFonts w:hint="eastAsia" w:ascii="宋体" w:hAnsi="宋体" w:eastAsia="宋体" w:cs="宋体"/>
          <w:b/>
          <w:bCs/>
          <w:kern w:val="2"/>
          <w:sz w:val="32"/>
          <w:szCs w:val="32"/>
          <w:lang w:val="en-US" w:eastAsia="zh-CN" w:bidi="ar-SA"/>
        </w:rPr>
        <w:t>3.10</w:t>
      </w:r>
      <w:r>
        <w:rPr>
          <w:rStyle w:val="32"/>
          <w:rFonts w:hint="eastAsia" w:ascii="宋体" w:hAnsi="宋体" w:eastAsia="宋体" w:cs="宋体"/>
          <w:b/>
          <w:bCs/>
          <w:color w:val="000000" w:themeColor="text1"/>
          <w:sz w:val="32"/>
          <w:szCs w:val="32"/>
          <w:lang w:val="en-US" w:eastAsia="zh-CN"/>
          <w14:textFill>
            <w14:solidFill>
              <w14:schemeClr w14:val="tx1"/>
            </w14:solidFill>
          </w14:textFill>
        </w:rPr>
        <w:t>作业场所有害因素与辨识</w:t>
      </w:r>
      <w:bookmarkEnd w:id="355"/>
    </w:p>
    <w:p w14:paraId="28A6E558">
      <w:pPr>
        <w:pageBreakBefore w:val="0"/>
        <w:widowControl w:val="0"/>
        <w:kinsoku/>
        <w:wordWrap/>
        <w:overflowPunct/>
        <w:topLinePunct w:val="0"/>
        <w:autoSpaceDE/>
        <w:autoSpaceDN/>
        <w:bidi w:val="0"/>
        <w:spacing w:line="420" w:lineRule="exact"/>
        <w:jc w:val="left"/>
        <w:textAlignment w:val="auto"/>
        <w:outlineLvl w:val="2"/>
        <w:rPr>
          <w:rFonts w:hint="eastAsia" w:ascii="宋体" w:hAnsi="宋体" w:eastAsia="宋体" w:cs="宋体"/>
          <w:b/>
          <w:bCs/>
          <w:kern w:val="2"/>
          <w:sz w:val="30"/>
          <w:szCs w:val="30"/>
          <w:lang w:val="en-US" w:eastAsia="zh-CN" w:bidi="ar-SA"/>
        </w:rPr>
      </w:pPr>
      <w:bookmarkStart w:id="356" w:name="_Toc23217"/>
      <w:r>
        <w:rPr>
          <w:rFonts w:hint="eastAsia" w:ascii="宋体" w:hAnsi="宋体" w:eastAsia="宋体" w:cs="宋体"/>
          <w:b/>
          <w:bCs/>
          <w:kern w:val="2"/>
          <w:sz w:val="30"/>
          <w:szCs w:val="30"/>
          <w:lang w:val="en-US" w:eastAsia="zh-CN" w:bidi="ar-SA"/>
        </w:rPr>
        <w:t>3.10.1噪声危害因素分析</w:t>
      </w:r>
      <w:bookmarkEnd w:id="356"/>
    </w:p>
    <w:p w14:paraId="44C0BEAF">
      <w:pPr>
        <w:pStyle w:val="20"/>
        <w:keepNext w:val="0"/>
        <w:keepLines w:val="0"/>
        <w:pageBreakBefore w:val="0"/>
        <w:widowControl w:val="0"/>
        <w:tabs>
          <w:tab w:val="left" w:pos="3780"/>
        </w:tabs>
        <w:kinsoku/>
        <w:wordWrap/>
        <w:overflowPunct/>
        <w:topLinePunct w:val="0"/>
        <w:autoSpaceDE/>
        <w:autoSpaceDN/>
        <w:bidi w:val="0"/>
        <w:spacing w:after="0" w:line="420" w:lineRule="exact"/>
        <w:ind w:left="0" w:leftChars="0" w:firstLine="560"/>
        <w:textAlignment w:val="auto"/>
        <w:rPr>
          <w:rFonts w:hint="default" w:ascii="Times New Roman" w:hAnsi="Times New Roman"/>
          <w:bCs w:val="0"/>
          <w:color w:val="000000" w:themeColor="text1"/>
          <w:spacing w:val="0"/>
          <w:kern w:val="2"/>
          <w:sz w:val="28"/>
          <w:szCs w:val="28"/>
          <w:lang w:val="en-US" w:eastAsia="zh-CN"/>
          <w14:textFill>
            <w14:solidFill>
              <w14:schemeClr w14:val="tx1"/>
            </w14:solidFill>
          </w14:textFill>
        </w:rPr>
      </w:pPr>
      <w:r>
        <w:rPr>
          <w:rFonts w:hint="default" w:ascii="Times New Roman" w:hAnsi="Times New Roman"/>
          <w:bCs w:val="0"/>
          <w:color w:val="000000" w:themeColor="text1"/>
          <w:spacing w:val="0"/>
          <w:kern w:val="2"/>
          <w:sz w:val="28"/>
          <w:szCs w:val="28"/>
          <w:lang w:val="en-US" w:eastAsia="zh-CN"/>
          <w14:textFill>
            <w14:solidFill>
              <w14:schemeClr w14:val="tx1"/>
            </w14:solidFill>
          </w14:textFill>
        </w:rPr>
        <w:t>噪声对人的危害，主要是引起听觉功能下降甚至造成耳聋，影响神经系统，造成心绪烦乱或引起神经衰弱，心血管系统和消化系统的疾病，使人精神和健康受到损害。</w:t>
      </w:r>
    </w:p>
    <w:p w14:paraId="0C69A127">
      <w:pPr>
        <w:pStyle w:val="20"/>
        <w:keepNext w:val="0"/>
        <w:keepLines w:val="0"/>
        <w:pageBreakBefore w:val="0"/>
        <w:widowControl w:val="0"/>
        <w:tabs>
          <w:tab w:val="left" w:pos="3780"/>
        </w:tabs>
        <w:kinsoku/>
        <w:wordWrap/>
        <w:overflowPunct/>
        <w:topLinePunct w:val="0"/>
        <w:autoSpaceDE/>
        <w:autoSpaceDN/>
        <w:bidi w:val="0"/>
        <w:spacing w:after="0" w:line="420" w:lineRule="exact"/>
        <w:ind w:left="0" w:leftChars="0" w:firstLine="560"/>
        <w:textAlignment w:val="auto"/>
        <w:rPr>
          <w:rFonts w:hint="default" w:ascii="Times New Roman" w:hAnsi="Times New Roman"/>
          <w:bCs w:val="0"/>
          <w:color w:val="000000" w:themeColor="text1"/>
          <w:spacing w:val="0"/>
          <w:kern w:val="2"/>
          <w:sz w:val="28"/>
          <w:szCs w:val="28"/>
          <w:lang w:val="en-US" w:eastAsia="zh-CN"/>
          <w14:textFill>
            <w14:solidFill>
              <w14:schemeClr w14:val="tx1"/>
            </w14:solidFill>
          </w14:textFill>
        </w:rPr>
      </w:pPr>
      <w:r>
        <w:rPr>
          <w:rFonts w:hint="default" w:ascii="Times New Roman" w:hAnsi="Times New Roman"/>
          <w:bCs w:val="0"/>
          <w:color w:val="000000" w:themeColor="text1"/>
          <w:spacing w:val="0"/>
          <w:kern w:val="2"/>
          <w:sz w:val="28"/>
          <w:szCs w:val="28"/>
          <w:lang w:val="en-US" w:eastAsia="zh-CN"/>
          <w14:textFill>
            <w14:solidFill>
              <w14:schemeClr w14:val="tx1"/>
            </w14:solidFill>
          </w14:textFill>
        </w:rPr>
        <w:t>长期处在高噪声区和高振动区的环境下工作和生活，容易产生疲劳，注意力不集中，噪声干扰影响信息交流，听不清谈话和影响信号，易导致操作失误，甚至造成生产事故。</w:t>
      </w:r>
    </w:p>
    <w:p w14:paraId="09823CE1">
      <w:pPr>
        <w:pStyle w:val="20"/>
        <w:keepNext w:val="0"/>
        <w:keepLines w:val="0"/>
        <w:pageBreakBefore w:val="0"/>
        <w:widowControl w:val="0"/>
        <w:tabs>
          <w:tab w:val="left" w:pos="3780"/>
        </w:tabs>
        <w:kinsoku/>
        <w:wordWrap/>
        <w:overflowPunct/>
        <w:topLinePunct w:val="0"/>
        <w:autoSpaceDE/>
        <w:autoSpaceDN/>
        <w:bidi w:val="0"/>
        <w:spacing w:after="0" w:line="420" w:lineRule="exact"/>
        <w:ind w:left="0" w:leftChars="0" w:firstLine="560"/>
        <w:textAlignment w:val="auto"/>
        <w:rPr>
          <w:rFonts w:hint="default" w:ascii="Times New Roman" w:hAnsi="Times New Roman"/>
          <w:bCs w:val="0"/>
          <w:color w:val="000000" w:themeColor="text1"/>
          <w:spacing w:val="0"/>
          <w:kern w:val="2"/>
          <w:lang w:val="en-US" w:eastAsia="zh-CN"/>
          <w14:textFill>
            <w14:solidFill>
              <w14:schemeClr w14:val="tx1"/>
            </w14:solidFill>
          </w14:textFill>
        </w:rPr>
      </w:pPr>
      <w:r>
        <w:rPr>
          <w:rFonts w:hint="default" w:ascii="Times New Roman" w:hAnsi="Times New Roman"/>
          <w:bCs w:val="0"/>
          <w:color w:val="000000" w:themeColor="text1"/>
          <w:spacing w:val="0"/>
          <w:kern w:val="2"/>
          <w:sz w:val="28"/>
          <w:szCs w:val="28"/>
          <w:lang w:val="en-US" w:eastAsia="zh-CN"/>
          <w14:textFill>
            <w14:solidFill>
              <w14:schemeClr w14:val="tx1"/>
            </w14:solidFill>
          </w14:textFill>
        </w:rPr>
        <w:t>光伏发电站主要的噪声源有：电磁噪声等。电磁噪声主要有变压器等电气设备在运行中所产生的噪声。</w:t>
      </w:r>
    </w:p>
    <w:p w14:paraId="7C20FC31">
      <w:pPr>
        <w:pageBreakBefore w:val="0"/>
        <w:widowControl w:val="0"/>
        <w:kinsoku/>
        <w:wordWrap/>
        <w:overflowPunct/>
        <w:topLinePunct w:val="0"/>
        <w:autoSpaceDE/>
        <w:autoSpaceDN/>
        <w:bidi w:val="0"/>
        <w:spacing w:line="420" w:lineRule="exact"/>
        <w:jc w:val="left"/>
        <w:textAlignment w:val="auto"/>
        <w:outlineLvl w:val="2"/>
        <w:rPr>
          <w:rFonts w:hint="eastAsia" w:ascii="宋体" w:hAnsi="宋体" w:eastAsia="宋体" w:cs="宋体"/>
          <w:b/>
          <w:bCs/>
          <w:kern w:val="2"/>
          <w:sz w:val="30"/>
          <w:szCs w:val="30"/>
          <w:lang w:val="en-US" w:eastAsia="zh-CN" w:bidi="ar-SA"/>
        </w:rPr>
      </w:pPr>
      <w:bookmarkStart w:id="357" w:name="_Toc14725"/>
      <w:r>
        <w:rPr>
          <w:rFonts w:hint="eastAsia" w:ascii="宋体" w:hAnsi="宋体" w:eastAsia="宋体" w:cs="宋体"/>
          <w:b/>
          <w:bCs/>
          <w:kern w:val="2"/>
          <w:sz w:val="30"/>
          <w:szCs w:val="30"/>
          <w:lang w:val="en-US" w:eastAsia="zh-CN" w:bidi="ar-SA"/>
        </w:rPr>
        <w:t>3.10.</w:t>
      </w:r>
      <w:r>
        <w:rPr>
          <w:rFonts w:hint="eastAsia" w:ascii="宋体" w:hAnsi="宋体" w:cs="宋体"/>
          <w:b/>
          <w:bCs/>
          <w:kern w:val="2"/>
          <w:sz w:val="30"/>
          <w:szCs w:val="30"/>
          <w:lang w:val="en-US" w:eastAsia="zh-CN" w:bidi="ar-SA"/>
        </w:rPr>
        <w:t>2采光照明不良</w:t>
      </w:r>
      <w:r>
        <w:rPr>
          <w:rFonts w:hint="eastAsia" w:ascii="宋体" w:hAnsi="宋体" w:eastAsia="宋体" w:cs="宋体"/>
          <w:b/>
          <w:bCs/>
          <w:kern w:val="2"/>
          <w:sz w:val="30"/>
          <w:szCs w:val="30"/>
          <w:lang w:val="en-US" w:eastAsia="zh-CN" w:bidi="ar-SA"/>
        </w:rPr>
        <w:t>危害因素分析</w:t>
      </w:r>
      <w:bookmarkEnd w:id="357"/>
    </w:p>
    <w:p w14:paraId="6431104B">
      <w:pPr>
        <w:pageBreakBefore w:val="0"/>
        <w:widowControl w:val="0"/>
        <w:kinsoku/>
        <w:wordWrap/>
        <w:overflowPunct/>
        <w:topLinePunct w:val="0"/>
        <w:autoSpaceDE/>
        <w:autoSpaceDN/>
        <w:bidi w:val="0"/>
        <w:spacing w:line="420" w:lineRule="exact"/>
        <w:ind w:firstLine="560" w:firstLineChars="200"/>
        <w:jc w:val="left"/>
        <w:textAlignment w:val="auto"/>
        <w:rPr>
          <w:rFonts w:hint="default"/>
          <w:color w:val="000000" w:themeColor="text1"/>
          <w:sz w:val="28"/>
          <w:szCs w:val="28"/>
          <w:lang w:val="en-US" w:eastAsia="zh-CN"/>
          <w14:textFill>
            <w14:solidFill>
              <w14:schemeClr w14:val="tx1"/>
            </w14:solidFill>
          </w14:textFill>
        </w:rPr>
      </w:pPr>
      <w:r>
        <w:rPr>
          <w:rFonts w:hint="default"/>
          <w:color w:val="000000" w:themeColor="text1"/>
          <w:sz w:val="28"/>
          <w:szCs w:val="28"/>
          <w:lang w:val="en-US" w:eastAsia="zh-CN"/>
          <w14:textFill>
            <w14:solidFill>
              <w14:schemeClr w14:val="tx1"/>
            </w14:solidFill>
          </w14:textFill>
        </w:rPr>
        <w:t>光照的亮度和照度不足，会使操作人员作业困难，视力分辨力下降，对危险的地段会因照明不足引起意外事故。另外，光照太强也会引起操作人员视力疲劳。</w:t>
      </w:r>
    </w:p>
    <w:p w14:paraId="43E98000">
      <w:pPr>
        <w:pageBreakBefore w:val="0"/>
        <w:widowControl w:val="0"/>
        <w:kinsoku/>
        <w:wordWrap/>
        <w:overflowPunct/>
        <w:topLinePunct w:val="0"/>
        <w:autoSpaceDE/>
        <w:autoSpaceDN/>
        <w:bidi w:val="0"/>
        <w:spacing w:line="420" w:lineRule="exact"/>
        <w:jc w:val="left"/>
        <w:textAlignment w:val="auto"/>
        <w:outlineLvl w:val="2"/>
        <w:rPr>
          <w:rFonts w:hint="eastAsia" w:ascii="宋体" w:hAnsi="宋体" w:eastAsia="宋体" w:cs="宋体"/>
          <w:b/>
          <w:bCs/>
          <w:kern w:val="2"/>
          <w:sz w:val="30"/>
          <w:szCs w:val="30"/>
          <w:lang w:val="en-US" w:eastAsia="zh-CN" w:bidi="ar-SA"/>
        </w:rPr>
      </w:pPr>
      <w:bookmarkStart w:id="358" w:name="_Toc12642"/>
      <w:r>
        <w:rPr>
          <w:rFonts w:hint="eastAsia" w:ascii="宋体" w:hAnsi="宋体" w:eastAsia="宋体" w:cs="宋体"/>
          <w:b/>
          <w:bCs/>
          <w:kern w:val="2"/>
          <w:sz w:val="30"/>
          <w:szCs w:val="30"/>
          <w:lang w:val="en-US" w:eastAsia="zh-CN" w:bidi="ar-SA"/>
        </w:rPr>
        <w:t>3.10.</w:t>
      </w:r>
      <w:r>
        <w:rPr>
          <w:rFonts w:hint="eastAsia" w:ascii="宋体" w:hAnsi="宋体" w:cs="宋体"/>
          <w:b/>
          <w:bCs/>
          <w:kern w:val="2"/>
          <w:sz w:val="30"/>
          <w:szCs w:val="30"/>
          <w:lang w:val="en-US" w:eastAsia="zh-CN" w:bidi="ar-SA"/>
        </w:rPr>
        <w:t>3</w:t>
      </w:r>
      <w:r>
        <w:rPr>
          <w:rFonts w:hint="default"/>
          <w:b/>
          <w:bCs/>
          <w:color w:val="000000" w:themeColor="text1"/>
          <w:sz w:val="30"/>
          <w:szCs w:val="30"/>
          <w:lang w:val="en-US" w:eastAsia="zh-CN"/>
          <w14:textFill>
            <w14:solidFill>
              <w14:schemeClr w14:val="tx1"/>
            </w14:solidFill>
          </w14:textFill>
        </w:rPr>
        <w:t>工频电场</w:t>
      </w:r>
      <w:r>
        <w:rPr>
          <w:rFonts w:hint="eastAsia" w:ascii="宋体" w:hAnsi="宋体" w:eastAsia="宋体" w:cs="宋体"/>
          <w:b/>
          <w:bCs/>
          <w:kern w:val="2"/>
          <w:sz w:val="30"/>
          <w:szCs w:val="30"/>
          <w:lang w:val="en-US" w:eastAsia="zh-CN" w:bidi="ar-SA"/>
        </w:rPr>
        <w:t>危害因素分析</w:t>
      </w:r>
      <w:bookmarkEnd w:id="358"/>
    </w:p>
    <w:p w14:paraId="790E4EF3">
      <w:pPr>
        <w:pStyle w:val="20"/>
        <w:keepNext w:val="0"/>
        <w:keepLines w:val="0"/>
        <w:pageBreakBefore w:val="0"/>
        <w:widowControl w:val="0"/>
        <w:tabs>
          <w:tab w:val="left" w:pos="3780"/>
        </w:tabs>
        <w:kinsoku/>
        <w:wordWrap/>
        <w:overflowPunct/>
        <w:topLinePunct w:val="0"/>
        <w:autoSpaceDE/>
        <w:autoSpaceDN/>
        <w:bidi w:val="0"/>
        <w:spacing w:after="0" w:line="420" w:lineRule="exact"/>
        <w:ind w:left="0" w:leftChars="0" w:firstLine="560"/>
        <w:textAlignment w:val="auto"/>
        <w:rPr>
          <w:rFonts w:hint="eastAsia" w:ascii="宋体" w:hAnsi="宋体" w:eastAsia="宋体" w:cs="宋体"/>
          <w:bCs w:val="0"/>
          <w:color w:val="000000" w:themeColor="text1"/>
          <w:spacing w:val="0"/>
          <w:kern w:val="2"/>
          <w:sz w:val="28"/>
          <w:szCs w:val="28"/>
          <w:lang w:val="en-US" w:eastAsia="zh-CN"/>
          <w14:textFill>
            <w14:solidFill>
              <w14:schemeClr w14:val="tx1"/>
            </w14:solidFill>
          </w14:textFill>
        </w:rPr>
      </w:pPr>
      <w:r>
        <w:rPr>
          <w:rFonts w:hint="eastAsia" w:ascii="宋体" w:hAnsi="宋体" w:eastAsia="宋体" w:cs="宋体"/>
          <w:bCs w:val="0"/>
          <w:color w:val="000000" w:themeColor="text1"/>
          <w:spacing w:val="0"/>
          <w:kern w:val="2"/>
          <w:sz w:val="28"/>
          <w:szCs w:val="28"/>
          <w:lang w:val="en-US" w:eastAsia="zh-CN"/>
          <w14:textFill>
            <w14:solidFill>
              <w14:schemeClr w14:val="tx1"/>
            </w14:solidFill>
          </w14:textFill>
        </w:rPr>
        <w:t>工频电场：属于极低频电磁场辐射范畴，主要以电场辐射形式作用于人体。电磁波侵入根据有关的流行病学调查显示长期暴露于极低频电场可导致儿童白血病和成人脑瘤、乳腺癌发病率增高，对长期作业于工频电场的维修、巡检等作业人群调查发现，其神经衰弱症候群如头晕、头痛、失眠、心悸的发生率增加，心电图出现P-R时间延长、Q-T间期缩短以及外周血微核有所增高等改变。职业接触限值为：频率50Hz电场强度5kv/m。</w:t>
      </w:r>
    </w:p>
    <w:p w14:paraId="3669E7EB">
      <w:pPr>
        <w:pStyle w:val="20"/>
        <w:keepNext w:val="0"/>
        <w:keepLines w:val="0"/>
        <w:pageBreakBefore w:val="0"/>
        <w:widowControl w:val="0"/>
        <w:tabs>
          <w:tab w:val="left" w:pos="3780"/>
        </w:tabs>
        <w:kinsoku/>
        <w:wordWrap/>
        <w:overflowPunct/>
        <w:topLinePunct w:val="0"/>
        <w:autoSpaceDE/>
        <w:autoSpaceDN/>
        <w:bidi w:val="0"/>
        <w:spacing w:after="0" w:line="420" w:lineRule="exact"/>
        <w:ind w:left="0" w:leftChars="0" w:firstLine="560"/>
        <w:textAlignment w:val="auto"/>
        <w:rPr>
          <w:rFonts w:hint="eastAsia" w:ascii="宋体" w:hAnsi="宋体" w:eastAsia="宋体" w:cs="宋体"/>
          <w:bCs w:val="0"/>
          <w:color w:val="000000" w:themeColor="text1"/>
          <w:spacing w:val="0"/>
          <w:kern w:val="2"/>
          <w:sz w:val="28"/>
          <w:szCs w:val="28"/>
          <w:lang w:val="en-US" w:eastAsia="zh-CN"/>
          <w14:textFill>
            <w14:solidFill>
              <w14:schemeClr w14:val="tx1"/>
            </w14:solidFill>
          </w14:textFill>
        </w:rPr>
      </w:pPr>
      <w:r>
        <w:rPr>
          <w:rFonts w:hint="eastAsia" w:ascii="宋体" w:hAnsi="宋体" w:eastAsia="宋体" w:cs="宋体"/>
          <w:bCs w:val="0"/>
          <w:color w:val="000000" w:themeColor="text1"/>
          <w:spacing w:val="0"/>
          <w:kern w:val="2"/>
          <w:sz w:val="28"/>
          <w:szCs w:val="28"/>
          <w:lang w:val="en-US" w:eastAsia="zh-CN"/>
          <w14:textFill>
            <w14:solidFill>
              <w14:schemeClr w14:val="tx1"/>
            </w14:solidFill>
          </w14:textFill>
        </w:rPr>
        <w:t>工频磁场：根据《电力行业劳动环境监测技术规范 第7部分：工频电场、工频磁场监测》（DL/T 799.7-2019）中第8.2条规定：“根据ICNIRP导则规定，工频磁场职业接触限值为500μT。”类比类似项目检测资料，工频磁场检测结果远小于行业职业接触限值。但工频磁场对人体健康有一定的危害，在工作中应注意健康防护。</w:t>
      </w:r>
    </w:p>
    <w:p w14:paraId="06E1F955">
      <w:pPr>
        <w:pStyle w:val="20"/>
        <w:keepNext w:val="0"/>
        <w:keepLines w:val="0"/>
        <w:pageBreakBefore w:val="0"/>
        <w:widowControl w:val="0"/>
        <w:tabs>
          <w:tab w:val="left" w:pos="3780"/>
        </w:tabs>
        <w:kinsoku/>
        <w:wordWrap/>
        <w:overflowPunct/>
        <w:topLinePunct w:val="0"/>
        <w:autoSpaceDE/>
        <w:autoSpaceDN/>
        <w:bidi w:val="0"/>
        <w:spacing w:after="0" w:line="420" w:lineRule="exact"/>
        <w:ind w:left="0" w:leftChars="0" w:firstLine="560"/>
        <w:textAlignment w:val="auto"/>
        <w:rPr>
          <w:rFonts w:hint="eastAsia" w:ascii="宋体" w:hAnsi="宋体" w:eastAsia="宋体" w:cs="宋体"/>
          <w:bCs w:val="0"/>
          <w:color w:val="000000" w:themeColor="text1"/>
          <w:spacing w:val="0"/>
          <w:kern w:val="2"/>
          <w:sz w:val="28"/>
          <w:szCs w:val="28"/>
          <w:lang w:val="en-US" w:eastAsia="zh-CN"/>
          <w14:textFill>
            <w14:solidFill>
              <w14:schemeClr w14:val="tx1"/>
            </w14:solidFill>
          </w14:textFill>
        </w:rPr>
      </w:pPr>
      <w:r>
        <w:rPr>
          <w:rFonts w:hint="eastAsia" w:ascii="宋体" w:hAnsi="宋体" w:eastAsia="宋体" w:cs="宋体"/>
          <w:bCs w:val="0"/>
          <w:color w:val="000000" w:themeColor="text1"/>
          <w:spacing w:val="0"/>
          <w:kern w:val="2"/>
          <w:sz w:val="28"/>
          <w:szCs w:val="28"/>
          <w:lang w:val="en-US" w:eastAsia="zh-CN"/>
          <w14:textFill>
            <w14:solidFill>
              <w14:schemeClr w14:val="tx1"/>
            </w14:solidFill>
          </w14:textFill>
        </w:rPr>
        <w:t>直埋电缆埋于地下电缆沟内，工频电场为天然屏蔽；光伏组件、直流汇流箱、箱变、逆变器、分接线箱均为户外布置，采取的防护措施主要以距离防护和控制接触时间为主。</w:t>
      </w:r>
    </w:p>
    <w:p w14:paraId="0D91855D">
      <w:pPr>
        <w:pStyle w:val="20"/>
        <w:keepNext w:val="0"/>
        <w:keepLines w:val="0"/>
        <w:pageBreakBefore w:val="0"/>
        <w:widowControl w:val="0"/>
        <w:tabs>
          <w:tab w:val="left" w:pos="3780"/>
        </w:tabs>
        <w:kinsoku/>
        <w:wordWrap/>
        <w:overflowPunct/>
        <w:topLinePunct w:val="0"/>
        <w:autoSpaceDE/>
        <w:autoSpaceDN/>
        <w:bidi w:val="0"/>
        <w:spacing w:after="0" w:line="420" w:lineRule="exact"/>
        <w:ind w:left="0" w:leftChars="0" w:firstLine="560"/>
        <w:textAlignment w:val="auto"/>
        <w:rPr>
          <w:rFonts w:hint="default" w:ascii="Times New Roman" w:hAnsi="Times New Roman"/>
          <w:bCs w:val="0"/>
          <w:color w:val="000000" w:themeColor="text1"/>
          <w:spacing w:val="0"/>
          <w:kern w:val="2"/>
          <w:lang w:val="en-US" w:eastAsia="zh-CN"/>
          <w14:textFill>
            <w14:solidFill>
              <w14:schemeClr w14:val="tx1"/>
            </w14:solidFill>
          </w14:textFill>
        </w:rPr>
      </w:pPr>
      <w:r>
        <w:rPr>
          <w:rFonts w:hint="eastAsia" w:ascii="宋体" w:hAnsi="宋体" w:eastAsia="宋体" w:cs="宋体"/>
          <w:bCs w:val="0"/>
          <w:color w:val="000000" w:themeColor="text1"/>
          <w:spacing w:val="0"/>
          <w:kern w:val="2"/>
          <w:sz w:val="28"/>
          <w:szCs w:val="28"/>
          <w:lang w:val="en-US" w:eastAsia="zh-CN"/>
          <w14:textFill>
            <w14:solidFill>
              <w14:schemeClr w14:val="tx1"/>
            </w14:solidFill>
          </w14:textFill>
        </w:rPr>
        <w:t>工作人员主要在中控室内值班、远程操作，对光伏组件、直流汇流箱、逆变器、箱变、分接线箱以巡检方式为主，接触工频电场的时间较短，对其身体健康影响较小。</w:t>
      </w:r>
    </w:p>
    <w:p w14:paraId="024666A2">
      <w:pPr>
        <w:pageBreakBefore w:val="0"/>
        <w:widowControl w:val="0"/>
        <w:kinsoku/>
        <w:wordWrap/>
        <w:overflowPunct/>
        <w:topLinePunct w:val="0"/>
        <w:autoSpaceDE/>
        <w:autoSpaceDN/>
        <w:bidi w:val="0"/>
        <w:spacing w:line="420" w:lineRule="exact"/>
        <w:jc w:val="left"/>
        <w:textAlignment w:val="auto"/>
        <w:outlineLvl w:val="1"/>
        <w:rPr>
          <w:rFonts w:hint="eastAsia" w:ascii="宋体" w:hAnsi="宋体" w:eastAsia="宋体" w:cs="宋体"/>
          <w:b/>
          <w:bCs/>
          <w:kern w:val="2"/>
          <w:sz w:val="32"/>
          <w:szCs w:val="32"/>
          <w:lang w:val="en-US" w:eastAsia="zh-CN" w:bidi="ar-SA"/>
        </w:rPr>
      </w:pPr>
      <w:bookmarkStart w:id="359" w:name="_Toc18482"/>
      <w:r>
        <w:rPr>
          <w:rFonts w:hint="eastAsia" w:ascii="宋体" w:hAnsi="宋体" w:eastAsia="宋体" w:cs="宋体"/>
          <w:b/>
          <w:bCs/>
          <w:kern w:val="2"/>
          <w:sz w:val="32"/>
          <w:szCs w:val="32"/>
          <w:lang w:val="en-US" w:eastAsia="zh-CN" w:bidi="ar-SA"/>
        </w:rPr>
        <w:t>3.11重大危险源辨识分析</w:t>
      </w:r>
      <w:bookmarkEnd w:id="359"/>
    </w:p>
    <w:p w14:paraId="4A5CA3E0">
      <w:pPr>
        <w:pageBreakBefore w:val="0"/>
        <w:widowControl w:val="0"/>
        <w:kinsoku/>
        <w:wordWrap/>
        <w:overflowPunct/>
        <w:topLinePunct w:val="0"/>
        <w:autoSpaceDE/>
        <w:autoSpaceDN/>
        <w:bidi w:val="0"/>
        <w:spacing w:line="420" w:lineRule="exact"/>
        <w:jc w:val="left"/>
        <w:textAlignment w:val="auto"/>
        <w:outlineLvl w:val="2"/>
        <w:rPr>
          <w:rFonts w:hint="eastAsia" w:ascii="宋体" w:hAnsi="宋体" w:cs="宋体"/>
          <w:b/>
          <w:bCs/>
          <w:kern w:val="2"/>
          <w:sz w:val="30"/>
          <w:szCs w:val="30"/>
          <w:lang w:val="en-US" w:eastAsia="zh-CN" w:bidi="ar-SA"/>
        </w:rPr>
      </w:pPr>
      <w:bookmarkStart w:id="360" w:name="_Toc5691"/>
      <w:r>
        <w:rPr>
          <w:rFonts w:hint="eastAsia" w:ascii="宋体" w:hAnsi="宋体" w:eastAsia="宋体" w:cs="宋体"/>
          <w:b/>
          <w:bCs/>
          <w:kern w:val="2"/>
          <w:sz w:val="30"/>
          <w:szCs w:val="30"/>
          <w:lang w:val="en-US" w:eastAsia="zh-CN" w:bidi="ar-SA"/>
        </w:rPr>
        <w:t>3.11.1重大危险源辨识</w:t>
      </w:r>
      <w:r>
        <w:rPr>
          <w:rFonts w:hint="eastAsia" w:ascii="宋体" w:hAnsi="宋体" w:cs="宋体"/>
          <w:b/>
          <w:bCs/>
          <w:kern w:val="2"/>
          <w:sz w:val="30"/>
          <w:szCs w:val="30"/>
          <w:lang w:val="en-US" w:eastAsia="zh-CN" w:bidi="ar-SA"/>
        </w:rPr>
        <w:t>依据</w:t>
      </w:r>
      <w:bookmarkEnd w:id="360"/>
    </w:p>
    <w:p w14:paraId="44EA1BFF">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判断是否构成重大危险源的依据是《危险化学品重大危险源辨识》（GB18218-20</w:t>
      </w:r>
      <w:r>
        <w:rPr>
          <w:rFonts w:hint="eastAsia" w:ascii="宋体" w:hAnsi="宋体" w:eastAsia="宋体" w:cs="宋体"/>
          <w:color w:val="000000" w:themeColor="text1"/>
          <w:sz w:val="28"/>
          <w:szCs w:val="28"/>
          <w:lang w:val="en-US" w:eastAsia="zh-CN"/>
          <w14:textFill>
            <w14:solidFill>
              <w14:schemeClr w14:val="tx1"/>
            </w14:solidFill>
          </w14:textFill>
        </w:rPr>
        <w:t>18</w:t>
      </w:r>
      <w:r>
        <w:rPr>
          <w:rFonts w:hint="eastAsia" w:ascii="宋体" w:hAnsi="宋体" w:eastAsia="宋体" w:cs="宋体"/>
          <w:color w:val="000000" w:themeColor="text1"/>
          <w:sz w:val="28"/>
          <w:szCs w:val="28"/>
          <w14:textFill>
            <w14:solidFill>
              <w14:schemeClr w14:val="tx1"/>
            </w14:solidFill>
          </w14:textFill>
        </w:rPr>
        <w:t>）。</w:t>
      </w:r>
      <w:bookmarkStart w:id="361" w:name="_Toc26547"/>
      <w:r>
        <w:rPr>
          <w:rFonts w:hint="eastAsia" w:ascii="宋体" w:hAnsi="宋体" w:eastAsia="宋体" w:cs="宋体"/>
          <w:color w:val="000000" w:themeColor="text1"/>
          <w:sz w:val="28"/>
          <w:szCs w:val="28"/>
          <w14:textFill>
            <w14:solidFill>
              <w14:schemeClr w14:val="tx1"/>
            </w14:solidFill>
          </w14:textFill>
        </w:rPr>
        <w:t>根据《危险化学品重大危险源辨识》（GB18218-20</w:t>
      </w:r>
      <w:r>
        <w:rPr>
          <w:rFonts w:hint="eastAsia" w:ascii="宋体" w:hAnsi="宋体" w:eastAsia="宋体" w:cs="宋体"/>
          <w:color w:val="000000" w:themeColor="text1"/>
          <w:sz w:val="28"/>
          <w:szCs w:val="28"/>
          <w:lang w:val="en-US" w:eastAsia="zh-CN"/>
          <w14:textFill>
            <w14:solidFill>
              <w14:schemeClr w14:val="tx1"/>
            </w14:solidFill>
          </w14:textFill>
        </w:rPr>
        <w:t>18</w:t>
      </w:r>
      <w:r>
        <w:rPr>
          <w:rFonts w:hint="eastAsia" w:ascii="宋体" w:hAnsi="宋体" w:eastAsia="宋体" w:cs="宋体"/>
          <w:color w:val="000000" w:themeColor="text1"/>
          <w:sz w:val="28"/>
          <w:szCs w:val="28"/>
          <w14:textFill>
            <w14:solidFill>
              <w14:schemeClr w14:val="tx1"/>
            </w14:solidFill>
          </w14:textFill>
        </w:rPr>
        <w:t>）辨识</w:t>
      </w:r>
      <w:bookmarkEnd w:id="361"/>
      <w:r>
        <w:rPr>
          <w:rFonts w:hint="eastAsia" w:ascii="宋体" w:hAnsi="宋体" w:eastAsia="宋体" w:cs="宋体"/>
          <w:color w:val="000000" w:themeColor="text1"/>
          <w:sz w:val="28"/>
          <w:szCs w:val="28"/>
          <w:lang w:eastAsia="zh-CN"/>
          <w14:textFill>
            <w14:solidFill>
              <w14:schemeClr w14:val="tx1"/>
            </w14:solidFill>
          </w14:textFill>
        </w:rPr>
        <w:t>：</w:t>
      </w:r>
    </w:p>
    <w:p w14:paraId="0B6D191B">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color w:val="000000" w:themeColor="text1"/>
          <w:kern w:val="2"/>
          <w:sz w:val="28"/>
          <w:szCs w:val="28"/>
          <w:lang w:val="en-US" w:eastAsia="zh-CN" w:bidi="ar-SA"/>
          <w14:textFill>
            <w14:solidFill>
              <w14:schemeClr w14:val="tx1"/>
            </w14:solidFill>
          </w14:textFill>
        </w:rPr>
      </w:pPr>
      <w:bookmarkStart w:id="362" w:name="_Toc20563"/>
      <w:bookmarkStart w:id="363" w:name="_Toc27274"/>
      <w:r>
        <w:rPr>
          <w:rFonts w:hint="eastAsia" w:ascii="宋体" w:hAnsi="宋体" w:cs="Times New Roman"/>
          <w:color w:val="000000" w:themeColor="text1"/>
          <w:kern w:val="2"/>
          <w:sz w:val="28"/>
          <w:szCs w:val="28"/>
          <w:lang w:val="en-US" w:eastAsia="zh-CN" w:bidi="ar-SA"/>
          <w14:textFill>
            <w14:solidFill>
              <w14:schemeClr w14:val="tx1"/>
            </w14:solidFill>
          </w14:textFill>
        </w:rPr>
        <w:t>1.危险化学品重大危险源是指“长期地或临时地生产、储存、使用和经营危险化学品，且危险化学品的数量等于或超过临界量的单元”。</w:t>
      </w:r>
    </w:p>
    <w:p w14:paraId="7D6110AF">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2.生产单元：危险化学品的生产、加工及使用等的装置及设施，当装置及设施之间有切断阀时，以切断阀作为分隔界限划分为独立的单元。</w:t>
      </w:r>
    </w:p>
    <w:p w14:paraId="68AB5D19">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3.</w:t>
      </w:r>
      <w:r>
        <w:rPr>
          <w:rFonts w:hint="eastAsia" w:ascii="宋体" w:hAnsi="宋体" w:cs="Times New Roman"/>
          <w:color w:val="000000" w:themeColor="text1"/>
          <w:kern w:val="2"/>
          <w:sz w:val="28"/>
          <w:szCs w:val="28"/>
          <w:lang w:val="zh-TW" w:eastAsia="zh-CN" w:bidi="ar-SA"/>
          <w14:textFill>
            <w14:solidFill>
              <w14:schemeClr w14:val="tx1"/>
            </w14:solidFill>
          </w14:textFill>
        </w:rPr>
        <w:t>储存单元</w:t>
      </w:r>
      <w:r>
        <w:rPr>
          <w:rFonts w:hint="eastAsia" w:ascii="宋体" w:hAnsi="宋体" w:cs="Times New Roman"/>
          <w:color w:val="000000" w:themeColor="text1"/>
          <w:kern w:val="2"/>
          <w:sz w:val="28"/>
          <w:szCs w:val="28"/>
          <w:lang w:val="en-US" w:eastAsia="zh-CN" w:bidi="ar-SA"/>
          <w14:textFill>
            <w14:solidFill>
              <w14:schemeClr w14:val="tx1"/>
            </w14:solidFill>
          </w14:textFill>
        </w:rPr>
        <w:t>：</w:t>
      </w:r>
      <w:r>
        <w:rPr>
          <w:rFonts w:hint="eastAsia" w:ascii="宋体" w:hAnsi="宋体" w:cs="Times New Roman"/>
          <w:color w:val="000000" w:themeColor="text1"/>
          <w:kern w:val="2"/>
          <w:sz w:val="28"/>
          <w:szCs w:val="28"/>
          <w:lang w:val="zh-TW" w:eastAsia="zh-CN" w:bidi="ar-SA"/>
          <w14:textFill>
            <w14:solidFill>
              <w14:schemeClr w14:val="tx1"/>
            </w14:solidFill>
          </w14:textFill>
        </w:rPr>
        <w:t>用于储存危险化学品的储罐或仓库组成的相对独立的区域，储罐区以罐区防火堤为界限划分为独立的单元，仓库以独立库房（独立建筑物</w:t>
      </w:r>
      <w:r>
        <w:rPr>
          <w:rFonts w:hint="eastAsia" w:ascii="宋体" w:hAnsi="宋体" w:cs="Times New Roman"/>
          <w:color w:val="000000" w:themeColor="text1"/>
          <w:kern w:val="2"/>
          <w:sz w:val="28"/>
          <w:szCs w:val="28"/>
          <w:lang w:val="en-US" w:eastAsia="zh-CN" w:bidi="ar-SA"/>
          <w14:textFill>
            <w14:solidFill>
              <w14:schemeClr w14:val="tx1"/>
            </w14:solidFill>
          </w14:textFill>
        </w:rPr>
        <w:t>）</w:t>
      </w:r>
      <w:r>
        <w:rPr>
          <w:rFonts w:hint="eastAsia" w:ascii="宋体" w:hAnsi="宋体" w:cs="Times New Roman"/>
          <w:color w:val="000000" w:themeColor="text1"/>
          <w:kern w:val="2"/>
          <w:sz w:val="28"/>
          <w:szCs w:val="28"/>
          <w:lang w:val="zh-TW" w:eastAsia="zh-CN" w:bidi="ar-SA"/>
          <w14:textFill>
            <w14:solidFill>
              <w14:schemeClr w14:val="tx1"/>
            </w14:solidFill>
          </w14:textFill>
        </w:rPr>
        <w:t>为界限划分为独立的单元。</w:t>
      </w:r>
    </w:p>
    <w:p w14:paraId="1A988FE8">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4.生产单元、储存单元内存在危险化学品的数量等于或超规定的临界量，即被定为重大危险源。单元内存在的危险化学品的数量根据危险化学品种类的多少区分为以下两种情况：</w:t>
      </w:r>
    </w:p>
    <w:p w14:paraId="00AB9CC8">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（1）生产单元、储存单元内存在的危险化学品为单一品种时，该危险化学品的数量即为单元内危险化学品的总量，若等于或超过相应的临界量，则定为重大危险源。</w:t>
      </w:r>
    </w:p>
    <w:p w14:paraId="11DDF56D">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（2）生产单元、储存单元内存在的危险化学品为多品种时，按式（1）计算，若满足下式，则定为重大危险源：</w:t>
      </w:r>
    </w:p>
    <w:p w14:paraId="28F9FC39">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q1/Q1+q2/Q2+……+qn/QN≧1</w:t>
      </w:r>
    </w:p>
    <w:p w14:paraId="5213C066">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式中：</w:t>
      </w:r>
    </w:p>
    <w:p w14:paraId="1CAA7014">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q1，q2，…，qn——每种危险化学品实际存在量，单位为吨（t）；</w:t>
      </w:r>
    </w:p>
    <w:p w14:paraId="53E6D14B">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Q1，Q2，…，QN——与各危险化学品相对应的临界量，单位为吨（t）。</w:t>
      </w:r>
    </w:p>
    <w:bookmarkEnd w:id="362"/>
    <w:bookmarkEnd w:id="363"/>
    <w:p w14:paraId="44FBDACA">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lang w:val="en-US" w:eastAsia="zh-CN"/>
          <w14:textFill>
            <w14:solidFill>
              <w14:schemeClr w14:val="tx1"/>
            </w14:solidFill>
          </w14:textFill>
        </w:rPr>
      </w:pPr>
      <w:bookmarkStart w:id="364" w:name="_Toc2981"/>
      <w:r>
        <w:rPr>
          <w:rFonts w:hint="eastAsia" w:ascii="宋体" w:hAnsi="宋体" w:eastAsia="宋体" w:cs="宋体"/>
          <w:b/>
          <w:bCs w:val="0"/>
          <w:color w:val="000000" w:themeColor="text1"/>
          <w:sz w:val="30"/>
          <w:szCs w:val="30"/>
          <w:lang w:val="en-US" w:eastAsia="zh-CN"/>
          <w14:textFill>
            <w14:solidFill>
              <w14:schemeClr w14:val="tx1"/>
            </w14:solidFill>
          </w14:textFill>
        </w:rPr>
        <w:t>3.11.2本项目涉及的危险化学品及辨识结果</w:t>
      </w:r>
      <w:bookmarkEnd w:id="364"/>
    </w:p>
    <w:p w14:paraId="53E04CE6">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经过辨识，该项目所涉及的主要危险物质中被列入《危险化学品重大危险源辨识》（GB18218-2018）的有压缩氧气、乙炔。</w:t>
      </w:r>
    </w:p>
    <w:p w14:paraId="705B2E91">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根据《危险化学品重大危险源辨识》（GB18218-2018），结合报告“主要原辅材料”的内容，本项目危险化学品的临界量标准分析如下表：</w:t>
      </w:r>
    </w:p>
    <w:p w14:paraId="31EF572A">
      <w:pPr>
        <w:keepNext w:val="0"/>
        <w:keepLines w:val="0"/>
        <w:pageBreakBefore w:val="0"/>
        <w:widowControl w:val="0"/>
        <w:kinsoku/>
        <w:wordWrap/>
        <w:overflowPunct/>
        <w:topLinePunct w:val="0"/>
        <w:autoSpaceDE/>
        <w:autoSpaceDN/>
        <w:bidi w:val="0"/>
        <w:spacing w:line="420" w:lineRule="exact"/>
        <w:ind w:firstLine="0" w:firstLineChars="0"/>
        <w:jc w:val="center"/>
        <w:textAlignment w:val="auto"/>
        <w:rPr>
          <w:rFonts w:ascii="宋体" w:hAnsi="宋体"/>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表</w:t>
      </w:r>
      <w:r>
        <w:rPr>
          <w:rFonts w:hint="eastAsia" w:ascii="宋体" w:hAnsi="宋体"/>
          <w:b/>
          <w:color w:val="000000" w:themeColor="text1"/>
          <w:sz w:val="24"/>
          <w:lang w:val="en-US" w:eastAsia="zh-CN"/>
          <w14:textFill>
            <w14:solidFill>
              <w14:schemeClr w14:val="tx1"/>
            </w14:solidFill>
          </w14:textFill>
        </w:rPr>
        <w:t>3</w:t>
      </w:r>
      <w:r>
        <w:rPr>
          <w:rFonts w:ascii="宋体" w:hAnsi="宋体"/>
          <w:b/>
          <w:color w:val="000000" w:themeColor="text1"/>
          <w:sz w:val="24"/>
          <w14:textFill>
            <w14:solidFill>
              <w14:schemeClr w14:val="tx1"/>
            </w14:solidFill>
          </w14:textFill>
        </w:rPr>
        <w:t>-</w:t>
      </w:r>
      <w:r>
        <w:rPr>
          <w:rFonts w:hint="eastAsia" w:ascii="宋体" w:hAnsi="宋体"/>
          <w:b/>
          <w:color w:val="000000" w:themeColor="text1"/>
          <w:sz w:val="24"/>
          <w:lang w:val="en-US" w:eastAsia="zh-CN"/>
          <w14:textFill>
            <w14:solidFill>
              <w14:schemeClr w14:val="tx1"/>
            </w14:solidFill>
          </w14:textFill>
        </w:rPr>
        <w:t>11.1</w:t>
      </w:r>
      <w:r>
        <w:rPr>
          <w:rFonts w:hint="eastAsia" w:ascii="宋体" w:hAnsi="宋体"/>
          <w:b/>
          <w:color w:val="000000" w:themeColor="text1"/>
          <w:sz w:val="24"/>
          <w14:textFill>
            <w14:solidFill>
              <w14:schemeClr w14:val="tx1"/>
            </w14:solidFill>
          </w14:textFill>
        </w:rPr>
        <w:t>危险物质临界量标准表</w:t>
      </w:r>
    </w:p>
    <w:tbl>
      <w:tblPr>
        <w:tblStyle w:val="21"/>
        <w:tblW w:w="914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57" w:type="dxa"/>
          <w:left w:w="57" w:type="dxa"/>
          <w:bottom w:w="57" w:type="dxa"/>
          <w:right w:w="57" w:type="dxa"/>
        </w:tblCellMar>
      </w:tblPr>
      <w:tblGrid>
        <w:gridCol w:w="676"/>
        <w:gridCol w:w="1702"/>
        <w:gridCol w:w="1113"/>
        <w:gridCol w:w="1200"/>
        <w:gridCol w:w="1014"/>
        <w:gridCol w:w="3437"/>
      </w:tblGrid>
      <w:tr w14:paraId="28658DD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435" w:hRule="atLeast"/>
          <w:tblHeader/>
          <w:jc w:val="center"/>
        </w:trPr>
        <w:tc>
          <w:tcPr>
            <w:tcW w:w="676" w:type="dxa"/>
            <w:tcBorders>
              <w:tl2br w:val="nil"/>
              <w:tr2bl w:val="nil"/>
            </w:tcBorders>
            <w:noWrap w:val="0"/>
            <w:vAlign w:val="center"/>
          </w:tcPr>
          <w:p w14:paraId="751C8585">
            <w:pPr>
              <w:keepNext w:val="0"/>
              <w:keepLines w:val="0"/>
              <w:pageBreakBefore w:val="0"/>
              <w:widowControl w:val="0"/>
              <w:kinsoku/>
              <w:wordWrap/>
              <w:overflowPunct/>
              <w:topLinePunct w:val="0"/>
              <w:autoSpaceDE/>
              <w:autoSpaceDN/>
              <w:bidi w:val="0"/>
              <w:spacing w:line="480" w:lineRule="exact"/>
              <w:ind w:firstLine="0" w:firstLineChars="0"/>
              <w:jc w:val="center"/>
              <w:textAlignment w:val="auto"/>
              <w:rPr>
                <w:rFonts w:ascii="宋体" w:hAnsi="宋体"/>
                <w:b/>
                <w:color w:val="000000" w:themeColor="text1"/>
                <w:sz w:val="21"/>
                <w:szCs w:val="21"/>
                <w14:textFill>
                  <w14:solidFill>
                    <w14:schemeClr w14:val="tx1"/>
                  </w14:solidFill>
                </w14:textFill>
              </w:rPr>
            </w:pPr>
            <w:r>
              <w:rPr>
                <w:rFonts w:ascii="宋体" w:hAnsi="宋体"/>
                <w:b/>
                <w:color w:val="000000" w:themeColor="text1"/>
                <w:sz w:val="21"/>
                <w:szCs w:val="21"/>
                <w14:textFill>
                  <w14:solidFill>
                    <w14:schemeClr w14:val="tx1"/>
                  </w14:solidFill>
                </w14:textFill>
              </w:rPr>
              <w:t>序号</w:t>
            </w:r>
          </w:p>
        </w:tc>
        <w:tc>
          <w:tcPr>
            <w:tcW w:w="1702" w:type="dxa"/>
            <w:tcBorders>
              <w:tl2br w:val="nil"/>
              <w:tr2bl w:val="nil"/>
            </w:tcBorders>
            <w:noWrap w:val="0"/>
            <w:vAlign w:val="center"/>
          </w:tcPr>
          <w:p w14:paraId="2B945ED5">
            <w:pPr>
              <w:keepNext w:val="0"/>
              <w:keepLines w:val="0"/>
              <w:pageBreakBefore w:val="0"/>
              <w:widowControl w:val="0"/>
              <w:kinsoku/>
              <w:wordWrap/>
              <w:overflowPunct/>
              <w:topLinePunct w:val="0"/>
              <w:autoSpaceDE/>
              <w:autoSpaceDN/>
              <w:bidi w:val="0"/>
              <w:spacing w:line="480" w:lineRule="exact"/>
              <w:ind w:firstLine="0" w:firstLineChars="0"/>
              <w:jc w:val="center"/>
              <w:textAlignment w:val="auto"/>
              <w:rPr>
                <w:rFonts w:ascii="宋体" w:hAnsi="宋体"/>
                <w:b/>
                <w:color w:val="000000" w:themeColor="text1"/>
                <w:sz w:val="21"/>
                <w:szCs w:val="21"/>
                <w14:textFill>
                  <w14:solidFill>
                    <w14:schemeClr w14:val="tx1"/>
                  </w14:solidFill>
                </w14:textFill>
              </w:rPr>
            </w:pPr>
            <w:r>
              <w:rPr>
                <w:rFonts w:hint="eastAsia" w:ascii="宋体" w:hAnsi="宋体"/>
                <w:b/>
                <w:color w:val="000000" w:themeColor="text1"/>
                <w:sz w:val="21"/>
                <w:szCs w:val="21"/>
                <w14:textFill>
                  <w14:solidFill>
                    <w14:schemeClr w14:val="tx1"/>
                  </w14:solidFill>
                </w14:textFill>
              </w:rPr>
              <w:t>危险化学品</w:t>
            </w:r>
            <w:r>
              <w:rPr>
                <w:rFonts w:ascii="宋体" w:hAnsi="宋体"/>
                <w:b/>
                <w:color w:val="000000" w:themeColor="text1"/>
                <w:sz w:val="21"/>
                <w:szCs w:val="21"/>
                <w14:textFill>
                  <w14:solidFill>
                    <w14:schemeClr w14:val="tx1"/>
                  </w14:solidFill>
                </w14:textFill>
              </w:rPr>
              <w:t>名称</w:t>
            </w:r>
          </w:p>
        </w:tc>
        <w:tc>
          <w:tcPr>
            <w:tcW w:w="1113" w:type="dxa"/>
            <w:tcBorders>
              <w:tl2br w:val="nil"/>
              <w:tr2bl w:val="nil"/>
            </w:tcBorders>
            <w:noWrap w:val="0"/>
            <w:vAlign w:val="center"/>
          </w:tcPr>
          <w:p w14:paraId="3159FC47">
            <w:pPr>
              <w:keepNext w:val="0"/>
              <w:keepLines w:val="0"/>
              <w:pageBreakBefore w:val="0"/>
              <w:widowControl w:val="0"/>
              <w:kinsoku/>
              <w:wordWrap/>
              <w:overflowPunct/>
              <w:topLinePunct w:val="0"/>
              <w:autoSpaceDE/>
              <w:autoSpaceDN/>
              <w:bidi w:val="0"/>
              <w:spacing w:line="480" w:lineRule="exact"/>
              <w:ind w:firstLine="0" w:firstLineChars="0"/>
              <w:jc w:val="center"/>
              <w:textAlignment w:val="auto"/>
              <w:rPr>
                <w:rFonts w:ascii="宋体" w:hAnsi="宋体"/>
                <w:b/>
                <w:color w:val="000000" w:themeColor="text1"/>
                <w:sz w:val="21"/>
                <w:szCs w:val="21"/>
                <w14:textFill>
                  <w14:solidFill>
                    <w14:schemeClr w14:val="tx1"/>
                  </w14:solidFill>
                </w14:textFill>
              </w:rPr>
            </w:pPr>
            <w:r>
              <w:rPr>
                <w:rFonts w:ascii="宋体" w:hAnsi="宋体"/>
                <w:b/>
                <w:color w:val="000000" w:themeColor="text1"/>
                <w:sz w:val="21"/>
                <w:szCs w:val="21"/>
                <w14:textFill>
                  <w14:solidFill>
                    <w14:schemeClr w14:val="tx1"/>
                  </w14:solidFill>
                </w14:textFill>
              </w:rPr>
              <w:t>临界量</w:t>
            </w:r>
            <w:r>
              <w:rPr>
                <w:rFonts w:hint="eastAsia" w:ascii="宋体" w:hAnsi="宋体"/>
                <w:b/>
                <w:color w:val="000000" w:themeColor="text1"/>
                <w:sz w:val="21"/>
                <w:szCs w:val="21"/>
                <w14:textFill>
                  <w14:solidFill>
                    <w14:schemeClr w14:val="tx1"/>
                  </w14:solidFill>
                </w14:textFill>
              </w:rPr>
              <w:t>（</w:t>
            </w:r>
            <w:r>
              <w:rPr>
                <w:rFonts w:ascii="宋体" w:hAnsi="宋体"/>
                <w:b/>
                <w:color w:val="000000" w:themeColor="text1"/>
                <w:sz w:val="21"/>
                <w:szCs w:val="21"/>
                <w14:textFill>
                  <w14:solidFill>
                    <w14:schemeClr w14:val="tx1"/>
                  </w14:solidFill>
                </w14:textFill>
              </w:rPr>
              <w:t>t</w:t>
            </w:r>
            <w:r>
              <w:rPr>
                <w:rFonts w:hint="eastAsia" w:ascii="宋体" w:hAnsi="宋体"/>
                <w:b/>
                <w:color w:val="000000" w:themeColor="text1"/>
                <w:sz w:val="21"/>
                <w:szCs w:val="21"/>
                <w14:textFill>
                  <w14:solidFill>
                    <w14:schemeClr w14:val="tx1"/>
                  </w14:solidFill>
                </w14:textFill>
              </w:rPr>
              <w:t>）</w:t>
            </w:r>
          </w:p>
        </w:tc>
        <w:tc>
          <w:tcPr>
            <w:tcW w:w="1200" w:type="dxa"/>
            <w:tcBorders>
              <w:tl2br w:val="nil"/>
              <w:tr2bl w:val="nil"/>
            </w:tcBorders>
            <w:noWrap w:val="0"/>
            <w:vAlign w:val="center"/>
          </w:tcPr>
          <w:p w14:paraId="7F8C8E64">
            <w:pPr>
              <w:keepNext w:val="0"/>
              <w:keepLines w:val="0"/>
              <w:pageBreakBefore w:val="0"/>
              <w:widowControl w:val="0"/>
              <w:kinsoku/>
              <w:wordWrap/>
              <w:overflowPunct/>
              <w:topLinePunct w:val="0"/>
              <w:autoSpaceDE/>
              <w:autoSpaceDN/>
              <w:bidi w:val="0"/>
              <w:spacing w:line="480" w:lineRule="exact"/>
              <w:ind w:firstLine="0" w:firstLineChars="0"/>
              <w:jc w:val="center"/>
              <w:textAlignment w:val="auto"/>
              <w:rPr>
                <w:rFonts w:ascii="宋体" w:hAnsi="宋体"/>
                <w:b/>
                <w:color w:val="000000" w:themeColor="text1"/>
                <w:sz w:val="21"/>
                <w:szCs w:val="21"/>
                <w14:textFill>
                  <w14:solidFill>
                    <w14:schemeClr w14:val="tx1"/>
                  </w14:solidFill>
                </w14:textFill>
              </w:rPr>
            </w:pPr>
            <w:r>
              <w:rPr>
                <w:rFonts w:hint="eastAsia" w:ascii="宋体" w:hAnsi="宋体"/>
                <w:b/>
                <w:color w:val="000000" w:themeColor="text1"/>
                <w:sz w:val="21"/>
                <w:szCs w:val="21"/>
                <w14:textFill>
                  <w14:solidFill>
                    <w14:schemeClr w14:val="tx1"/>
                  </w14:solidFill>
                </w14:textFill>
              </w:rPr>
              <w:t>实际</w:t>
            </w:r>
            <w:r>
              <w:rPr>
                <w:rFonts w:ascii="宋体" w:hAnsi="宋体"/>
                <w:b/>
                <w:color w:val="000000" w:themeColor="text1"/>
                <w:sz w:val="21"/>
                <w:szCs w:val="21"/>
                <w14:textFill>
                  <w14:solidFill>
                    <w14:schemeClr w14:val="tx1"/>
                  </w14:solidFill>
                </w14:textFill>
              </w:rPr>
              <w:t>量</w:t>
            </w:r>
            <w:r>
              <w:rPr>
                <w:rFonts w:hint="eastAsia" w:ascii="宋体" w:hAnsi="宋体"/>
                <w:b/>
                <w:color w:val="000000" w:themeColor="text1"/>
                <w:sz w:val="21"/>
                <w:szCs w:val="21"/>
                <w14:textFill>
                  <w14:solidFill>
                    <w14:schemeClr w14:val="tx1"/>
                  </w14:solidFill>
                </w14:textFill>
              </w:rPr>
              <w:t>（t）</w:t>
            </w:r>
          </w:p>
        </w:tc>
        <w:tc>
          <w:tcPr>
            <w:tcW w:w="1014" w:type="dxa"/>
            <w:tcBorders>
              <w:tl2br w:val="nil"/>
              <w:tr2bl w:val="nil"/>
            </w:tcBorders>
            <w:noWrap w:val="0"/>
            <w:vAlign w:val="center"/>
          </w:tcPr>
          <w:p w14:paraId="2524E516">
            <w:pPr>
              <w:keepNext w:val="0"/>
              <w:keepLines w:val="0"/>
              <w:pageBreakBefore w:val="0"/>
              <w:widowControl w:val="0"/>
              <w:kinsoku/>
              <w:wordWrap/>
              <w:overflowPunct/>
              <w:topLinePunct w:val="0"/>
              <w:autoSpaceDE/>
              <w:autoSpaceDN/>
              <w:bidi w:val="0"/>
              <w:spacing w:line="480" w:lineRule="exact"/>
              <w:ind w:firstLine="0" w:firstLineChars="0"/>
              <w:jc w:val="center"/>
              <w:textAlignment w:val="auto"/>
              <w:rPr>
                <w:rFonts w:ascii="宋体" w:hAnsi="宋体"/>
                <w:b/>
                <w:color w:val="000000" w:themeColor="text1"/>
                <w:sz w:val="21"/>
                <w:szCs w:val="21"/>
                <w14:textFill>
                  <w14:solidFill>
                    <w14:schemeClr w14:val="tx1"/>
                  </w14:solidFill>
                </w14:textFill>
              </w:rPr>
            </w:pPr>
            <w:r>
              <w:rPr>
                <w:rFonts w:ascii="宋体" w:hAnsi="宋体"/>
                <w:b/>
                <w:color w:val="000000" w:themeColor="text1"/>
                <w:sz w:val="21"/>
                <w:szCs w:val="21"/>
                <w14:textFill>
                  <w14:solidFill>
                    <w14:schemeClr w14:val="tx1"/>
                  </w14:solidFill>
                </w14:textFill>
              </w:rPr>
              <w:t>q/Q</w:t>
            </w:r>
          </w:p>
        </w:tc>
        <w:tc>
          <w:tcPr>
            <w:tcW w:w="3437" w:type="dxa"/>
            <w:tcBorders>
              <w:tl2br w:val="nil"/>
              <w:tr2bl w:val="nil"/>
            </w:tcBorders>
            <w:noWrap w:val="0"/>
            <w:vAlign w:val="center"/>
          </w:tcPr>
          <w:p w14:paraId="0516E35A">
            <w:pPr>
              <w:keepNext w:val="0"/>
              <w:keepLines w:val="0"/>
              <w:pageBreakBefore w:val="0"/>
              <w:widowControl w:val="0"/>
              <w:kinsoku/>
              <w:wordWrap/>
              <w:overflowPunct/>
              <w:topLinePunct w:val="0"/>
              <w:autoSpaceDE/>
              <w:autoSpaceDN/>
              <w:bidi w:val="0"/>
              <w:spacing w:line="480" w:lineRule="exact"/>
              <w:ind w:firstLine="0" w:firstLineChars="0"/>
              <w:jc w:val="center"/>
              <w:textAlignment w:val="auto"/>
              <w:rPr>
                <w:rFonts w:ascii="宋体" w:hAnsi="宋体"/>
                <w:b/>
                <w:color w:val="000000" w:themeColor="text1"/>
                <w:sz w:val="21"/>
                <w:szCs w:val="21"/>
                <w14:textFill>
                  <w14:solidFill>
                    <w14:schemeClr w14:val="tx1"/>
                  </w14:solidFill>
                </w14:textFill>
              </w:rPr>
            </w:pPr>
            <w:r>
              <w:rPr>
                <w:rFonts w:hint="eastAsia" w:ascii="宋体" w:hAnsi="宋体"/>
                <w:b/>
                <w:color w:val="000000" w:themeColor="text1"/>
                <w:sz w:val="21"/>
                <w:szCs w:val="21"/>
                <w14:textFill>
                  <w14:solidFill>
                    <w14:schemeClr w14:val="tx1"/>
                  </w14:solidFill>
                </w14:textFill>
              </w:rPr>
              <w:t>备注</w:t>
            </w:r>
          </w:p>
        </w:tc>
      </w:tr>
      <w:tr w14:paraId="3D0E1D3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556" w:hRule="atLeast"/>
          <w:jc w:val="center"/>
        </w:trPr>
        <w:tc>
          <w:tcPr>
            <w:tcW w:w="676" w:type="dxa"/>
            <w:tcBorders>
              <w:tl2br w:val="nil"/>
              <w:tr2bl w:val="nil"/>
            </w:tcBorders>
            <w:noWrap w:val="0"/>
            <w:vAlign w:val="center"/>
          </w:tcPr>
          <w:p w14:paraId="32FD85E0">
            <w:pPr>
              <w:keepNext w:val="0"/>
              <w:keepLines w:val="0"/>
              <w:pageBreakBefore w:val="0"/>
              <w:widowControl w:val="0"/>
              <w:kinsoku/>
              <w:wordWrap/>
              <w:overflowPunct/>
              <w:topLinePunct w:val="0"/>
              <w:autoSpaceDE/>
              <w:autoSpaceDN/>
              <w:bidi w:val="0"/>
              <w:spacing w:line="480" w:lineRule="exact"/>
              <w:ind w:firstLine="0" w:firstLineChars="0"/>
              <w:jc w:val="center"/>
              <w:textAlignment w:val="auto"/>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1</w:t>
            </w:r>
          </w:p>
        </w:tc>
        <w:tc>
          <w:tcPr>
            <w:tcW w:w="1702" w:type="dxa"/>
            <w:tcBorders>
              <w:tl2br w:val="nil"/>
              <w:tr2bl w:val="nil"/>
            </w:tcBorders>
            <w:noWrap w:val="0"/>
            <w:vAlign w:val="center"/>
          </w:tcPr>
          <w:p w14:paraId="71314A50">
            <w:pPr>
              <w:keepNext w:val="0"/>
              <w:keepLines w:val="0"/>
              <w:pageBreakBefore w:val="0"/>
              <w:widowControl w:val="0"/>
              <w:kinsoku/>
              <w:wordWrap/>
              <w:overflowPunct/>
              <w:topLinePunct w:val="0"/>
              <w:autoSpaceDE/>
              <w:autoSpaceDN/>
              <w:bidi w:val="0"/>
              <w:spacing w:line="480" w:lineRule="exact"/>
              <w:ind w:firstLine="0" w:firstLineChars="0"/>
              <w:jc w:val="center"/>
              <w:textAlignment w:val="auto"/>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氧气[压缩的或液化的]</w:t>
            </w:r>
          </w:p>
        </w:tc>
        <w:tc>
          <w:tcPr>
            <w:tcW w:w="1113" w:type="dxa"/>
            <w:tcBorders>
              <w:tl2br w:val="nil"/>
              <w:tr2bl w:val="nil"/>
            </w:tcBorders>
            <w:noWrap w:val="0"/>
            <w:vAlign w:val="center"/>
          </w:tcPr>
          <w:p w14:paraId="28923495">
            <w:pPr>
              <w:keepNext w:val="0"/>
              <w:keepLines w:val="0"/>
              <w:pageBreakBefore w:val="0"/>
              <w:widowControl w:val="0"/>
              <w:kinsoku/>
              <w:wordWrap/>
              <w:overflowPunct/>
              <w:topLinePunct w:val="0"/>
              <w:autoSpaceDE/>
              <w:autoSpaceDN/>
              <w:bidi w:val="0"/>
              <w:spacing w:line="480" w:lineRule="exact"/>
              <w:ind w:firstLine="0" w:firstLineChars="0"/>
              <w:jc w:val="center"/>
              <w:textAlignment w:val="auto"/>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200</w:t>
            </w:r>
          </w:p>
        </w:tc>
        <w:tc>
          <w:tcPr>
            <w:tcW w:w="1200" w:type="dxa"/>
            <w:tcBorders>
              <w:tl2br w:val="nil"/>
              <w:tr2bl w:val="nil"/>
            </w:tcBorders>
            <w:noWrap w:val="0"/>
            <w:vAlign w:val="center"/>
          </w:tcPr>
          <w:p w14:paraId="203C4254">
            <w:pPr>
              <w:keepNext w:val="0"/>
              <w:keepLines w:val="0"/>
              <w:pageBreakBefore w:val="0"/>
              <w:widowControl w:val="0"/>
              <w:kinsoku/>
              <w:wordWrap/>
              <w:overflowPunct/>
              <w:topLinePunct w:val="0"/>
              <w:autoSpaceDE/>
              <w:autoSpaceDN/>
              <w:bidi w:val="0"/>
              <w:spacing w:line="480" w:lineRule="exact"/>
              <w:ind w:firstLine="0" w:firstLineChars="0"/>
              <w:jc w:val="center"/>
              <w:textAlignment w:val="auto"/>
              <w:rPr>
                <w:rFonts w:hint="eastAsia" w:ascii="宋体" w:hAnsi="宋体" w:eastAsia="宋体"/>
                <w:color w:val="000000" w:themeColor="text1"/>
                <w:sz w:val="21"/>
                <w:szCs w:val="21"/>
                <w:lang w:eastAsia="zh-CN"/>
                <w14:textFill>
                  <w14:solidFill>
                    <w14:schemeClr w14:val="tx1"/>
                  </w14:solidFill>
                </w14:textFill>
              </w:rPr>
            </w:pPr>
            <w:r>
              <w:rPr>
                <w:rFonts w:hint="eastAsia" w:ascii="宋体" w:hAnsi="宋体"/>
                <w:color w:val="000000" w:themeColor="text1"/>
                <w:sz w:val="21"/>
                <w:szCs w:val="21"/>
                <w14:textFill>
                  <w14:solidFill>
                    <w14:schemeClr w14:val="tx1"/>
                  </w14:solidFill>
                </w14:textFill>
              </w:rPr>
              <w:t>0.0</w:t>
            </w:r>
            <w:r>
              <w:rPr>
                <w:rFonts w:hint="eastAsia" w:ascii="宋体" w:hAnsi="宋体"/>
                <w:color w:val="000000" w:themeColor="text1"/>
                <w:sz w:val="21"/>
                <w:szCs w:val="21"/>
                <w:lang w:val="en-US" w:eastAsia="zh-CN"/>
                <w14:textFill>
                  <w14:solidFill>
                    <w14:schemeClr w14:val="tx1"/>
                  </w14:solidFill>
                </w14:textFill>
              </w:rPr>
              <w:t>4</w:t>
            </w:r>
          </w:p>
        </w:tc>
        <w:tc>
          <w:tcPr>
            <w:tcW w:w="1014" w:type="dxa"/>
            <w:tcBorders>
              <w:tl2br w:val="nil"/>
              <w:tr2bl w:val="nil"/>
            </w:tcBorders>
            <w:noWrap w:val="0"/>
            <w:vAlign w:val="center"/>
          </w:tcPr>
          <w:p w14:paraId="21A7C3FC">
            <w:pPr>
              <w:keepNext w:val="0"/>
              <w:keepLines w:val="0"/>
              <w:pageBreakBefore w:val="0"/>
              <w:widowControl w:val="0"/>
              <w:kinsoku/>
              <w:wordWrap/>
              <w:overflowPunct/>
              <w:topLinePunct w:val="0"/>
              <w:autoSpaceDE/>
              <w:autoSpaceDN/>
              <w:bidi w:val="0"/>
              <w:spacing w:line="480" w:lineRule="exact"/>
              <w:ind w:firstLine="0" w:firstLineChars="0"/>
              <w:jc w:val="center"/>
              <w:textAlignment w:val="auto"/>
              <w:rPr>
                <w:rFonts w:hint="eastAsia" w:ascii="宋体" w:hAnsi="宋体" w:eastAsia="宋体"/>
                <w:color w:val="000000" w:themeColor="text1"/>
                <w:sz w:val="21"/>
                <w:szCs w:val="21"/>
                <w:lang w:eastAsia="zh-CN"/>
                <w14:textFill>
                  <w14:solidFill>
                    <w14:schemeClr w14:val="tx1"/>
                  </w14:solidFill>
                </w14:textFill>
              </w:rPr>
            </w:pPr>
            <w:r>
              <w:rPr>
                <w:rFonts w:hint="eastAsia" w:ascii="宋体" w:hAnsi="宋体"/>
                <w:color w:val="000000" w:themeColor="text1"/>
                <w:sz w:val="21"/>
                <w:szCs w:val="21"/>
                <w14:textFill>
                  <w14:solidFill>
                    <w14:schemeClr w14:val="tx1"/>
                  </w14:solidFill>
                </w14:textFill>
              </w:rPr>
              <w:t>0.000</w:t>
            </w:r>
            <w:r>
              <w:rPr>
                <w:rFonts w:hint="eastAsia" w:ascii="宋体" w:hAnsi="宋体"/>
                <w:color w:val="000000" w:themeColor="text1"/>
                <w:sz w:val="21"/>
                <w:szCs w:val="21"/>
                <w:lang w:val="en-US" w:eastAsia="zh-CN"/>
                <w14:textFill>
                  <w14:solidFill>
                    <w14:schemeClr w14:val="tx1"/>
                  </w14:solidFill>
                </w14:textFill>
              </w:rPr>
              <w:t>2</w:t>
            </w:r>
          </w:p>
        </w:tc>
        <w:tc>
          <w:tcPr>
            <w:tcW w:w="3437" w:type="dxa"/>
            <w:tcBorders>
              <w:tl2br w:val="nil"/>
              <w:tr2bl w:val="nil"/>
            </w:tcBorders>
            <w:noWrap w:val="0"/>
            <w:vAlign w:val="top"/>
          </w:tcPr>
          <w:p w14:paraId="79CB4E29">
            <w:pPr>
              <w:keepNext w:val="0"/>
              <w:keepLines w:val="0"/>
              <w:pageBreakBefore w:val="0"/>
              <w:widowControl w:val="0"/>
              <w:kinsoku/>
              <w:wordWrap/>
              <w:overflowPunct/>
              <w:topLinePunct w:val="0"/>
              <w:autoSpaceDE/>
              <w:autoSpaceDN/>
              <w:bidi w:val="0"/>
              <w:spacing w:line="480" w:lineRule="exact"/>
              <w:ind w:firstLine="0" w:firstLineChars="0"/>
              <w:jc w:val="center"/>
              <w:textAlignment w:val="auto"/>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氧气的最大储量为</w:t>
            </w:r>
            <w:r>
              <w:rPr>
                <w:rFonts w:hint="eastAsia" w:ascii="宋体" w:hAnsi="宋体"/>
                <w:color w:val="000000" w:themeColor="text1"/>
                <w:sz w:val="21"/>
                <w:szCs w:val="21"/>
                <w:lang w:val="en-US" w:eastAsia="zh-CN"/>
                <w14:textFill>
                  <w14:solidFill>
                    <w14:schemeClr w14:val="tx1"/>
                  </w14:solidFill>
                </w14:textFill>
              </w:rPr>
              <w:t>5</w:t>
            </w:r>
            <w:r>
              <w:rPr>
                <w:rFonts w:hint="eastAsia" w:ascii="宋体" w:hAnsi="宋体"/>
                <w:color w:val="000000" w:themeColor="text1"/>
                <w:sz w:val="21"/>
                <w:szCs w:val="21"/>
                <w14:textFill>
                  <w14:solidFill>
                    <w14:schemeClr w14:val="tx1"/>
                  </w14:solidFill>
                </w14:textFill>
              </w:rPr>
              <w:t>瓶，每瓶</w:t>
            </w:r>
            <w:r>
              <w:rPr>
                <w:rFonts w:ascii="宋体" w:hAnsi="宋体"/>
                <w:color w:val="000000" w:themeColor="text1"/>
                <w:sz w:val="21"/>
                <w:szCs w:val="21"/>
                <w:lang w:val="zh-CN"/>
                <w14:textFill>
                  <w14:solidFill>
                    <w14:schemeClr w14:val="tx1"/>
                  </w14:solidFill>
                </w14:textFill>
              </w:rPr>
              <w:t>≤</w:t>
            </w:r>
            <w:r>
              <w:rPr>
                <w:rFonts w:hint="eastAsia" w:ascii="宋体" w:hAnsi="宋体"/>
                <w:color w:val="000000" w:themeColor="text1"/>
                <w:sz w:val="21"/>
                <w:szCs w:val="21"/>
                <w14:textFill>
                  <w14:solidFill>
                    <w14:schemeClr w14:val="tx1"/>
                  </w14:solidFill>
                </w14:textFill>
              </w:rPr>
              <w:t>40L，最大充装量约8kg</w:t>
            </w:r>
          </w:p>
        </w:tc>
      </w:tr>
      <w:tr w14:paraId="5146AE9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57" w:type="dxa"/>
            <w:left w:w="57" w:type="dxa"/>
            <w:bottom w:w="57" w:type="dxa"/>
            <w:right w:w="57" w:type="dxa"/>
          </w:tblCellMar>
        </w:tblPrEx>
        <w:trPr>
          <w:trHeight w:val="531" w:hRule="atLeast"/>
          <w:jc w:val="center"/>
        </w:trPr>
        <w:tc>
          <w:tcPr>
            <w:tcW w:w="676" w:type="dxa"/>
            <w:tcBorders>
              <w:tl2br w:val="nil"/>
              <w:tr2bl w:val="nil"/>
            </w:tcBorders>
            <w:noWrap w:val="0"/>
            <w:vAlign w:val="center"/>
          </w:tcPr>
          <w:p w14:paraId="0FEFF669">
            <w:pPr>
              <w:keepNext w:val="0"/>
              <w:keepLines w:val="0"/>
              <w:pageBreakBefore w:val="0"/>
              <w:widowControl w:val="0"/>
              <w:kinsoku/>
              <w:wordWrap/>
              <w:overflowPunct/>
              <w:topLinePunct w:val="0"/>
              <w:autoSpaceDE/>
              <w:autoSpaceDN/>
              <w:bidi w:val="0"/>
              <w:spacing w:line="480" w:lineRule="exact"/>
              <w:ind w:firstLine="0" w:firstLineChars="0"/>
              <w:jc w:val="center"/>
              <w:textAlignment w:val="auto"/>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2</w:t>
            </w:r>
          </w:p>
        </w:tc>
        <w:tc>
          <w:tcPr>
            <w:tcW w:w="1702" w:type="dxa"/>
            <w:tcBorders>
              <w:tl2br w:val="nil"/>
              <w:tr2bl w:val="nil"/>
            </w:tcBorders>
            <w:noWrap w:val="0"/>
            <w:vAlign w:val="center"/>
          </w:tcPr>
          <w:p w14:paraId="49DD6700">
            <w:pPr>
              <w:keepNext w:val="0"/>
              <w:keepLines w:val="0"/>
              <w:pageBreakBefore w:val="0"/>
              <w:widowControl w:val="0"/>
              <w:kinsoku/>
              <w:wordWrap/>
              <w:overflowPunct/>
              <w:topLinePunct w:val="0"/>
              <w:autoSpaceDE/>
              <w:autoSpaceDN/>
              <w:bidi w:val="0"/>
              <w:spacing w:line="480" w:lineRule="exact"/>
              <w:ind w:firstLine="0" w:firstLineChars="0"/>
              <w:jc w:val="center"/>
              <w:textAlignment w:val="auto"/>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乙炔</w:t>
            </w:r>
          </w:p>
        </w:tc>
        <w:tc>
          <w:tcPr>
            <w:tcW w:w="1113" w:type="dxa"/>
            <w:tcBorders>
              <w:tl2br w:val="nil"/>
              <w:tr2bl w:val="nil"/>
            </w:tcBorders>
            <w:noWrap w:val="0"/>
            <w:vAlign w:val="center"/>
          </w:tcPr>
          <w:p w14:paraId="687B94F8">
            <w:pPr>
              <w:keepNext w:val="0"/>
              <w:keepLines w:val="0"/>
              <w:pageBreakBefore w:val="0"/>
              <w:widowControl w:val="0"/>
              <w:kinsoku/>
              <w:wordWrap/>
              <w:overflowPunct/>
              <w:topLinePunct w:val="0"/>
              <w:autoSpaceDE/>
              <w:autoSpaceDN/>
              <w:bidi w:val="0"/>
              <w:spacing w:line="480" w:lineRule="exact"/>
              <w:ind w:firstLine="0" w:firstLineChars="0"/>
              <w:jc w:val="center"/>
              <w:textAlignment w:val="auto"/>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1</w:t>
            </w:r>
          </w:p>
        </w:tc>
        <w:tc>
          <w:tcPr>
            <w:tcW w:w="1200" w:type="dxa"/>
            <w:tcBorders>
              <w:tl2br w:val="nil"/>
              <w:tr2bl w:val="nil"/>
            </w:tcBorders>
            <w:noWrap w:val="0"/>
            <w:vAlign w:val="center"/>
          </w:tcPr>
          <w:p w14:paraId="4D93A04B">
            <w:pPr>
              <w:keepNext w:val="0"/>
              <w:keepLines w:val="0"/>
              <w:pageBreakBefore w:val="0"/>
              <w:widowControl w:val="0"/>
              <w:kinsoku/>
              <w:wordWrap/>
              <w:overflowPunct/>
              <w:topLinePunct w:val="0"/>
              <w:autoSpaceDE/>
              <w:autoSpaceDN/>
              <w:bidi w:val="0"/>
              <w:spacing w:line="480" w:lineRule="exact"/>
              <w:ind w:firstLine="0" w:firstLineChars="0"/>
              <w:jc w:val="center"/>
              <w:textAlignment w:val="auto"/>
              <w:rPr>
                <w:rFonts w:hint="default" w:ascii="宋体" w:hAnsi="宋体" w:eastAsia="宋体"/>
                <w:color w:val="000000" w:themeColor="text1"/>
                <w:sz w:val="21"/>
                <w:szCs w:val="21"/>
                <w:lang w:val="en-US" w:eastAsia="zh-CN"/>
                <w14:textFill>
                  <w14:solidFill>
                    <w14:schemeClr w14:val="tx1"/>
                  </w14:solidFill>
                </w14:textFill>
              </w:rPr>
            </w:pPr>
            <w:r>
              <w:rPr>
                <w:rFonts w:ascii="宋体" w:hAnsi="宋体"/>
                <w:color w:val="000000" w:themeColor="text1"/>
                <w:sz w:val="21"/>
                <w:szCs w:val="21"/>
                <w14:textFill>
                  <w14:solidFill>
                    <w14:schemeClr w14:val="tx1"/>
                  </w14:solidFill>
                </w14:textFill>
              </w:rPr>
              <w:t>0.</w:t>
            </w:r>
            <w:r>
              <w:rPr>
                <w:rFonts w:hint="eastAsia" w:ascii="宋体" w:hAnsi="宋体"/>
                <w:color w:val="000000" w:themeColor="text1"/>
                <w:sz w:val="21"/>
                <w:szCs w:val="21"/>
                <w14:textFill>
                  <w14:solidFill>
                    <w14:schemeClr w14:val="tx1"/>
                  </w14:solidFill>
                </w14:textFill>
              </w:rPr>
              <w:t>0</w:t>
            </w:r>
            <w:r>
              <w:rPr>
                <w:rFonts w:hint="eastAsia" w:ascii="宋体" w:hAnsi="宋体"/>
                <w:color w:val="000000" w:themeColor="text1"/>
                <w:sz w:val="21"/>
                <w:szCs w:val="21"/>
                <w:lang w:val="en-US" w:eastAsia="zh-CN"/>
                <w14:textFill>
                  <w14:solidFill>
                    <w14:schemeClr w14:val="tx1"/>
                  </w14:solidFill>
                </w14:textFill>
              </w:rPr>
              <w:t>35</w:t>
            </w:r>
          </w:p>
        </w:tc>
        <w:tc>
          <w:tcPr>
            <w:tcW w:w="1014" w:type="dxa"/>
            <w:tcBorders>
              <w:tl2br w:val="nil"/>
              <w:tr2bl w:val="nil"/>
            </w:tcBorders>
            <w:noWrap w:val="0"/>
            <w:vAlign w:val="center"/>
          </w:tcPr>
          <w:p w14:paraId="309B5E22">
            <w:pPr>
              <w:keepNext w:val="0"/>
              <w:keepLines w:val="0"/>
              <w:pageBreakBefore w:val="0"/>
              <w:widowControl w:val="0"/>
              <w:kinsoku/>
              <w:wordWrap/>
              <w:overflowPunct/>
              <w:topLinePunct w:val="0"/>
              <w:autoSpaceDE/>
              <w:autoSpaceDN/>
              <w:bidi w:val="0"/>
              <w:spacing w:line="480" w:lineRule="exact"/>
              <w:ind w:firstLine="0" w:firstLineChars="0"/>
              <w:jc w:val="center"/>
              <w:textAlignment w:val="auto"/>
              <w:rPr>
                <w:rFonts w:hint="default" w:ascii="宋体" w:hAnsi="宋体" w:eastAsia="宋体"/>
                <w:color w:val="000000" w:themeColor="text1"/>
                <w:sz w:val="21"/>
                <w:szCs w:val="21"/>
                <w:lang w:val="en-US" w:eastAsia="zh-CN"/>
                <w14:textFill>
                  <w14:solidFill>
                    <w14:schemeClr w14:val="tx1"/>
                  </w14:solidFill>
                </w14:textFill>
              </w:rPr>
            </w:pPr>
            <w:r>
              <w:rPr>
                <w:rFonts w:hint="eastAsia" w:ascii="宋体" w:hAnsi="宋体"/>
                <w:color w:val="000000" w:themeColor="text1"/>
                <w:sz w:val="21"/>
                <w:szCs w:val="21"/>
                <w14:textFill>
                  <w14:solidFill>
                    <w14:schemeClr w14:val="tx1"/>
                  </w14:solidFill>
                </w14:textFill>
              </w:rPr>
              <w:t>0.0</w:t>
            </w:r>
            <w:r>
              <w:rPr>
                <w:rFonts w:hint="eastAsia" w:ascii="宋体" w:hAnsi="宋体"/>
                <w:color w:val="000000" w:themeColor="text1"/>
                <w:sz w:val="21"/>
                <w:szCs w:val="21"/>
                <w:lang w:val="en-US" w:eastAsia="zh-CN"/>
                <w14:textFill>
                  <w14:solidFill>
                    <w14:schemeClr w14:val="tx1"/>
                  </w14:solidFill>
                </w14:textFill>
              </w:rPr>
              <w:t>35</w:t>
            </w:r>
          </w:p>
        </w:tc>
        <w:tc>
          <w:tcPr>
            <w:tcW w:w="3437" w:type="dxa"/>
            <w:tcBorders>
              <w:tl2br w:val="nil"/>
              <w:tr2bl w:val="nil"/>
            </w:tcBorders>
            <w:noWrap w:val="0"/>
            <w:vAlign w:val="top"/>
          </w:tcPr>
          <w:p w14:paraId="49A98558">
            <w:pPr>
              <w:keepNext w:val="0"/>
              <w:keepLines w:val="0"/>
              <w:pageBreakBefore w:val="0"/>
              <w:widowControl w:val="0"/>
              <w:kinsoku/>
              <w:wordWrap/>
              <w:overflowPunct/>
              <w:topLinePunct w:val="0"/>
              <w:autoSpaceDE/>
              <w:autoSpaceDN/>
              <w:bidi w:val="0"/>
              <w:spacing w:line="480" w:lineRule="exact"/>
              <w:ind w:firstLine="0" w:firstLineChars="0"/>
              <w:jc w:val="center"/>
              <w:textAlignment w:val="auto"/>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乙炔的最大储量为</w:t>
            </w:r>
            <w:r>
              <w:rPr>
                <w:rFonts w:hint="eastAsia" w:ascii="宋体" w:hAnsi="宋体"/>
                <w:color w:val="000000" w:themeColor="text1"/>
                <w:sz w:val="21"/>
                <w:szCs w:val="21"/>
                <w:lang w:val="en-US" w:eastAsia="zh-CN"/>
                <w14:textFill>
                  <w14:solidFill>
                    <w14:schemeClr w14:val="tx1"/>
                  </w14:solidFill>
                </w14:textFill>
              </w:rPr>
              <w:t>5</w:t>
            </w:r>
            <w:r>
              <w:rPr>
                <w:rFonts w:hint="eastAsia" w:ascii="宋体" w:hAnsi="宋体"/>
                <w:color w:val="000000" w:themeColor="text1"/>
                <w:sz w:val="21"/>
                <w:szCs w:val="21"/>
                <w14:textFill>
                  <w14:solidFill>
                    <w14:schemeClr w14:val="tx1"/>
                  </w14:solidFill>
                </w14:textFill>
              </w:rPr>
              <w:t>瓶，每瓶最大充装量约5-7kg。</w:t>
            </w:r>
          </w:p>
        </w:tc>
      </w:tr>
    </w:tbl>
    <w:p w14:paraId="76D86B57">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由上表可知该项目危险化学品重大危险源计算：</w:t>
      </w:r>
    </w:p>
    <w:p w14:paraId="1B69891A">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S=q1/Q1+q2/Q2+…+qn/Qn=0.0002+0.035=0.0352＜1。</w:t>
      </w:r>
    </w:p>
    <w:p w14:paraId="0DDF67EA">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本项目氧气、乙炔仅用于检维修时由场外供给，现场不做储存，供给最大用量由上表可知，根据《危险化学品重大危险源辨识》（GB18218-2018）的有关规定，该项目不构成危险化学品重大危险源。</w:t>
      </w:r>
    </w:p>
    <w:p w14:paraId="6238C86B">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由上面计算可知：该项目危险化学品未构成重大危险源。</w:t>
      </w:r>
    </w:p>
    <w:p w14:paraId="222B81BE">
      <w:pPr>
        <w:keepNext w:val="0"/>
        <w:keepLines w:val="0"/>
        <w:pageBreakBefore w:val="0"/>
        <w:widowControl w:val="0"/>
        <w:kinsoku/>
        <w:wordWrap/>
        <w:overflowPunct/>
        <w:topLinePunct w:val="0"/>
        <w:autoSpaceDE/>
        <w:autoSpaceDN/>
        <w:bidi w:val="0"/>
        <w:spacing w:line="420" w:lineRule="exact"/>
        <w:jc w:val="left"/>
        <w:textAlignment w:val="auto"/>
        <w:outlineLvl w:val="2"/>
        <w:rPr>
          <w:rFonts w:hint="eastAsia" w:ascii="宋体" w:hAnsi="宋体" w:cs="宋体"/>
          <w:b/>
          <w:bCs/>
          <w:kern w:val="2"/>
          <w:sz w:val="30"/>
          <w:szCs w:val="30"/>
          <w:lang w:val="en-US" w:eastAsia="zh-CN" w:bidi="ar-SA"/>
        </w:rPr>
      </w:pPr>
      <w:bookmarkStart w:id="365" w:name="_Toc2057"/>
      <w:r>
        <w:rPr>
          <w:rFonts w:hint="eastAsia" w:ascii="宋体" w:hAnsi="宋体" w:cs="宋体"/>
          <w:b/>
          <w:bCs/>
          <w:kern w:val="2"/>
          <w:sz w:val="30"/>
          <w:szCs w:val="30"/>
          <w:lang w:val="en-US" w:eastAsia="zh-CN" w:bidi="ar-SA"/>
        </w:rPr>
        <w:t>3.11.3辨识结果</w:t>
      </w:r>
      <w:bookmarkEnd w:id="365"/>
    </w:p>
    <w:p w14:paraId="566710E2">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根据《危险化学品重大危险源辨识》（GB18218-2018）辨识，该项目的危险化学品不构成重大危险源。该项目生产过程中使用乙炔气瓶，虽然总量较小，但乙炔属于重点监管的危险化学品，且乙炔气瓶使用中偶发爆炸事故，因此，使用时公司乙炔应参照重点监管的危险化学品的管理要求严格管理。</w:t>
      </w:r>
    </w:p>
    <w:p w14:paraId="0E77D1E7">
      <w:pPr>
        <w:pStyle w:val="4"/>
        <w:keepNext w:val="0"/>
        <w:keepLines w:val="0"/>
        <w:pageBreakBefore w:val="0"/>
        <w:widowControl w:val="0"/>
        <w:tabs>
          <w:tab w:val="left" w:pos="0"/>
        </w:tabs>
        <w:kinsoku/>
        <w:wordWrap/>
        <w:overflowPunct/>
        <w:topLinePunct w:val="0"/>
        <w:autoSpaceDE/>
        <w:autoSpaceDN/>
        <w:bidi w:val="0"/>
        <w:spacing w:line="420" w:lineRule="exact"/>
        <w:textAlignment w:val="auto"/>
        <w:outlineLvl w:val="2"/>
        <w:rPr>
          <w:rFonts w:hint="eastAsia" w:ascii="宋体" w:hAnsi="宋体" w:eastAsia="宋体" w:cs="宋体"/>
          <w:color w:val="000000" w:themeColor="text1"/>
          <w:sz w:val="30"/>
          <w:szCs w:val="30"/>
          <w14:textFill>
            <w14:solidFill>
              <w14:schemeClr w14:val="tx1"/>
            </w14:solidFill>
          </w14:textFill>
        </w:rPr>
      </w:pPr>
      <w:bookmarkStart w:id="366" w:name="_Toc31195"/>
      <w:bookmarkStart w:id="367" w:name="_Toc170638704"/>
      <w:bookmarkStart w:id="368" w:name="_Toc5680"/>
      <w:bookmarkStart w:id="369" w:name="_Toc170639003"/>
      <w:bookmarkStart w:id="370" w:name="_Toc195431136"/>
      <w:bookmarkStart w:id="371" w:name="_Toc28892"/>
      <w:bookmarkStart w:id="372" w:name="_Toc19306"/>
      <w:r>
        <w:rPr>
          <w:rFonts w:hint="eastAsia" w:ascii="宋体" w:hAnsi="宋体" w:eastAsia="宋体" w:cs="宋体"/>
          <w:b/>
          <w:bCs w:val="0"/>
          <w:color w:val="000000" w:themeColor="text1"/>
          <w:sz w:val="30"/>
          <w:szCs w:val="30"/>
          <w:lang w:val="en-US" w:eastAsia="zh-CN"/>
          <w14:textFill>
            <w14:solidFill>
              <w14:schemeClr w14:val="tx1"/>
            </w14:solidFill>
          </w14:textFill>
        </w:rPr>
        <w:t>3.11.4</w:t>
      </w:r>
      <w:r>
        <w:rPr>
          <w:rFonts w:hint="eastAsia" w:ascii="宋体" w:hAnsi="宋体" w:eastAsia="宋体" w:cs="宋体"/>
          <w:b/>
          <w:bCs w:val="0"/>
          <w:color w:val="000000" w:themeColor="text1"/>
          <w:sz w:val="30"/>
          <w:szCs w:val="30"/>
          <w:lang w:eastAsia="zh-CN"/>
          <w14:textFill>
            <w14:solidFill>
              <w14:schemeClr w14:val="tx1"/>
            </w14:solidFill>
          </w14:textFill>
        </w:rPr>
        <w:t>危险有害因素</w:t>
      </w:r>
      <w:r>
        <w:rPr>
          <w:rFonts w:hint="eastAsia" w:ascii="宋体" w:hAnsi="宋体" w:eastAsia="宋体" w:cs="宋体"/>
          <w:b/>
          <w:bCs w:val="0"/>
          <w:color w:val="000000" w:themeColor="text1"/>
          <w:sz w:val="30"/>
          <w:szCs w:val="30"/>
          <w14:textFill>
            <w14:solidFill>
              <w14:schemeClr w14:val="tx1"/>
            </w14:solidFill>
          </w14:textFill>
        </w:rPr>
        <w:t>辨识与分析结果</w:t>
      </w:r>
      <w:bookmarkEnd w:id="366"/>
      <w:bookmarkEnd w:id="367"/>
      <w:bookmarkEnd w:id="368"/>
      <w:bookmarkEnd w:id="369"/>
      <w:bookmarkEnd w:id="370"/>
      <w:bookmarkEnd w:id="371"/>
      <w:bookmarkEnd w:id="372"/>
    </w:p>
    <w:p w14:paraId="5928AC18">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通过对</w:t>
      </w:r>
      <w:r>
        <w:rPr>
          <w:rFonts w:hint="eastAsia" w:ascii="宋体" w:hAnsi="宋体" w:eastAsia="宋体" w:cs="宋体"/>
          <w:color w:val="000000" w:themeColor="text1"/>
          <w:sz w:val="28"/>
          <w:szCs w:val="28"/>
          <w:lang w:eastAsia="zh-CN"/>
          <w14:textFill>
            <w14:solidFill>
              <w14:schemeClr w14:val="tx1"/>
            </w14:solidFill>
          </w14:textFill>
        </w:rPr>
        <w:t>华能澜沧江（景洪）新能源有限公司</w:t>
      </w:r>
      <w:r>
        <w:rPr>
          <w:rFonts w:hint="eastAsia" w:ascii="宋体" w:hAnsi="宋体" w:cs="宋体"/>
          <w:color w:val="000000" w:themeColor="text1"/>
          <w:sz w:val="28"/>
          <w:szCs w:val="28"/>
          <w:lang w:val="en-US" w:eastAsia="zh-CN"/>
          <w14:textFill>
            <w14:solidFill>
              <w14:schemeClr w14:val="tx1"/>
            </w14:solidFill>
          </w14:textFill>
        </w:rPr>
        <w:t>景讷乡大寨村云盘</w:t>
      </w:r>
      <w:r>
        <w:rPr>
          <w:rFonts w:hint="eastAsia" w:ascii="宋体" w:hAnsi="宋体" w:eastAsia="宋体" w:cs="宋体"/>
          <w:color w:val="000000" w:themeColor="text1"/>
          <w:sz w:val="28"/>
          <w:szCs w:val="28"/>
          <w:lang w:eastAsia="zh-CN"/>
          <w14:textFill>
            <w14:solidFill>
              <w14:schemeClr w14:val="tx1"/>
            </w14:solidFill>
          </w14:textFill>
        </w:rPr>
        <w:t>光伏电站</w:t>
      </w:r>
      <w:r>
        <w:rPr>
          <w:rFonts w:hint="eastAsia" w:ascii="宋体" w:hAnsi="宋体" w:eastAsia="宋体" w:cs="宋体"/>
          <w:color w:val="000000" w:themeColor="text1"/>
          <w:sz w:val="28"/>
          <w:szCs w:val="28"/>
          <w14:textFill>
            <w14:solidFill>
              <w14:schemeClr w14:val="tx1"/>
            </w14:solidFill>
          </w14:textFill>
        </w:rPr>
        <w:t>总平面布置及周边环境、主要建（构）筑物、主要设备、生产运行、检修、作业场所有害因素等综合分析和识别，在发电过程中，电站潜在的主要危险及有害因素、发生场所及可能后果分析见表3-</w:t>
      </w:r>
      <w:r>
        <w:rPr>
          <w:rFonts w:hint="eastAsia" w:ascii="宋体" w:hAnsi="宋体" w:eastAsia="宋体" w:cs="宋体"/>
          <w:color w:val="000000" w:themeColor="text1"/>
          <w:sz w:val="28"/>
          <w:szCs w:val="28"/>
          <w:lang w:val="en-US" w:eastAsia="zh-CN"/>
          <w14:textFill>
            <w14:solidFill>
              <w14:schemeClr w14:val="tx1"/>
            </w14:solidFill>
          </w14:textFill>
        </w:rPr>
        <w:t>1</w:t>
      </w:r>
      <w:r>
        <w:rPr>
          <w:rFonts w:hint="eastAsia" w:ascii="宋体" w:hAnsi="宋体" w:eastAsia="宋体" w:cs="宋体"/>
          <w:color w:val="000000" w:themeColor="text1"/>
          <w:sz w:val="28"/>
          <w:szCs w:val="28"/>
          <w14:textFill>
            <w14:solidFill>
              <w14:schemeClr w14:val="tx1"/>
            </w14:solidFill>
          </w14:textFill>
        </w:rPr>
        <w:t>。</w:t>
      </w:r>
    </w:p>
    <w:p w14:paraId="3C1E2126">
      <w:pPr>
        <w:pStyle w:val="8"/>
        <w:keepNext w:val="0"/>
        <w:keepLines w:val="0"/>
        <w:pageBreakBefore w:val="0"/>
        <w:widowControl w:val="0"/>
        <w:kinsoku/>
        <w:wordWrap/>
        <w:overflowPunct/>
        <w:topLinePunct w:val="0"/>
        <w:autoSpaceDE/>
        <w:autoSpaceDN/>
        <w:bidi w:val="0"/>
        <w:spacing w:line="420" w:lineRule="exact"/>
        <w:jc w:val="center"/>
        <w:textAlignment w:val="auto"/>
        <w:rPr>
          <w:rFonts w:hint="eastAsia"/>
          <w:color w:val="000000" w:themeColor="text1"/>
          <w:sz w:val="24"/>
          <w:szCs w:val="24"/>
          <w14:textFill>
            <w14:solidFill>
              <w14:schemeClr w14:val="tx1"/>
            </w14:solidFill>
          </w14:textFill>
        </w:rPr>
      </w:pPr>
      <w:r>
        <w:rPr>
          <w:color w:val="000000" w:themeColor="text1"/>
          <w14:textFill>
            <w14:solidFill>
              <w14:schemeClr w14:val="tx1"/>
            </w14:solidFill>
          </w14:textFill>
        </w:rPr>
        <w:t>表</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11.2</w:t>
      </w:r>
      <w:r>
        <w:rPr>
          <w:color w:val="000000" w:themeColor="text1"/>
          <w:sz w:val="24"/>
          <w:szCs w:val="24"/>
          <w14:textFill>
            <w14:solidFill>
              <w14:schemeClr w14:val="tx1"/>
            </w14:solidFill>
          </w14:textFill>
        </w:rPr>
        <w:t>主要</w:t>
      </w:r>
      <w:r>
        <w:rPr>
          <w:rFonts w:hint="eastAsia"/>
          <w:color w:val="000000" w:themeColor="text1"/>
          <w:sz w:val="24"/>
          <w:szCs w:val="24"/>
          <w:lang w:eastAsia="zh-CN"/>
          <w14:textFill>
            <w14:solidFill>
              <w14:schemeClr w14:val="tx1"/>
            </w14:solidFill>
          </w14:textFill>
        </w:rPr>
        <w:t>危险有害因素</w:t>
      </w:r>
      <w:r>
        <w:rPr>
          <w:color w:val="000000" w:themeColor="text1"/>
          <w:sz w:val="24"/>
          <w:szCs w:val="24"/>
          <w14:textFill>
            <w14:solidFill>
              <w14:schemeClr w14:val="tx1"/>
            </w14:solidFill>
          </w14:textFill>
        </w:rPr>
        <w:t>分析表</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491"/>
        <w:gridCol w:w="5068"/>
        <w:gridCol w:w="1614"/>
      </w:tblGrid>
      <w:tr w14:paraId="05BD5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blHeader/>
          <w:jc w:val="center"/>
        </w:trPr>
        <w:tc>
          <w:tcPr>
            <w:tcW w:w="704" w:type="dxa"/>
            <w:noWrap w:val="0"/>
            <w:vAlign w:val="center"/>
          </w:tcPr>
          <w:p w14:paraId="63C5C6B3">
            <w:pPr>
              <w:pStyle w:val="27"/>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序号</w:t>
            </w:r>
          </w:p>
        </w:tc>
        <w:tc>
          <w:tcPr>
            <w:tcW w:w="1491" w:type="dxa"/>
            <w:noWrap w:val="0"/>
            <w:vAlign w:val="center"/>
          </w:tcPr>
          <w:p w14:paraId="39D7D30B">
            <w:pPr>
              <w:pStyle w:val="27"/>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辨识项目</w:t>
            </w:r>
          </w:p>
        </w:tc>
        <w:tc>
          <w:tcPr>
            <w:tcW w:w="5068" w:type="dxa"/>
            <w:noWrap w:val="0"/>
            <w:vAlign w:val="center"/>
          </w:tcPr>
          <w:p w14:paraId="39A30A11">
            <w:pPr>
              <w:pStyle w:val="27"/>
              <w:keepNext w:val="0"/>
              <w:keepLines w:val="0"/>
              <w:pageBreakBefore w:val="0"/>
              <w:widowControl w:val="0"/>
              <w:kinsoku/>
              <w:bidi w:val="0"/>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危险有害因素</w:t>
            </w:r>
          </w:p>
        </w:tc>
        <w:tc>
          <w:tcPr>
            <w:tcW w:w="1614" w:type="dxa"/>
            <w:noWrap w:val="0"/>
            <w:vAlign w:val="center"/>
          </w:tcPr>
          <w:p w14:paraId="58AF4C2C">
            <w:pPr>
              <w:pStyle w:val="27"/>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可能后果</w:t>
            </w:r>
          </w:p>
        </w:tc>
      </w:tr>
      <w:tr w14:paraId="1E5D0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704" w:type="dxa"/>
            <w:noWrap w:val="0"/>
            <w:vAlign w:val="center"/>
          </w:tcPr>
          <w:p w14:paraId="316D73D9">
            <w:pPr>
              <w:pStyle w:val="28"/>
              <w:keepNext w:val="0"/>
              <w:keepLines w:val="0"/>
              <w:pageBreakBefore w:val="0"/>
              <w:widowControl w:val="0"/>
              <w:numPr>
                <w:ilvl w:val="0"/>
                <w:numId w:val="24"/>
              </w:numPr>
              <w:kinsoku/>
              <w:bidi w:val="0"/>
              <w:ind w:left="425" w:leftChars="0" w:hanging="425" w:firstLineChars="0"/>
              <w:rPr>
                <w:color w:val="000000" w:themeColor="text1"/>
                <w14:textFill>
                  <w14:solidFill>
                    <w14:schemeClr w14:val="tx1"/>
                  </w14:solidFill>
                </w14:textFill>
              </w:rPr>
            </w:pPr>
          </w:p>
        </w:tc>
        <w:tc>
          <w:tcPr>
            <w:tcW w:w="1491" w:type="dxa"/>
            <w:noWrap w:val="0"/>
            <w:vAlign w:val="center"/>
          </w:tcPr>
          <w:p w14:paraId="2853499C">
            <w:pPr>
              <w:pStyle w:val="28"/>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000000" w:themeColor="text1"/>
                <w14:textFill>
                  <w14:solidFill>
                    <w14:schemeClr w14:val="tx1"/>
                  </w14:solidFill>
                </w14:textFill>
              </w:rPr>
            </w:pPr>
            <w:r>
              <w:rPr>
                <w:color w:val="000000" w:themeColor="text1"/>
                <w14:textFill>
                  <w14:solidFill>
                    <w14:schemeClr w14:val="tx1"/>
                  </w14:solidFill>
                </w14:textFill>
              </w:rPr>
              <w:t>总体布置</w:t>
            </w:r>
            <w:r>
              <w:rPr>
                <w:rFonts w:hint="eastAsia"/>
                <w:color w:val="000000" w:themeColor="text1"/>
                <w14:textFill>
                  <w14:solidFill>
                    <w14:schemeClr w14:val="tx1"/>
                  </w14:solidFill>
                </w14:textFill>
              </w:rPr>
              <w:t>、周边环境</w:t>
            </w:r>
          </w:p>
        </w:tc>
        <w:tc>
          <w:tcPr>
            <w:tcW w:w="5068" w:type="dxa"/>
            <w:noWrap w:val="0"/>
            <w:vAlign w:val="center"/>
          </w:tcPr>
          <w:p w14:paraId="3F31E0B3">
            <w:pPr>
              <w:pStyle w:val="28"/>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地质危害、人为影响</w:t>
            </w:r>
          </w:p>
        </w:tc>
        <w:tc>
          <w:tcPr>
            <w:tcW w:w="1614" w:type="dxa"/>
            <w:noWrap w:val="0"/>
            <w:vAlign w:val="center"/>
          </w:tcPr>
          <w:p w14:paraId="1FB6EC3A">
            <w:pPr>
              <w:pStyle w:val="28"/>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人员伤害，建筑物及设备损坏</w:t>
            </w:r>
          </w:p>
        </w:tc>
      </w:tr>
      <w:tr w14:paraId="6AB76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704" w:type="dxa"/>
            <w:noWrap w:val="0"/>
            <w:vAlign w:val="center"/>
          </w:tcPr>
          <w:p w14:paraId="5E638AAF">
            <w:pPr>
              <w:pStyle w:val="28"/>
              <w:keepNext w:val="0"/>
              <w:keepLines w:val="0"/>
              <w:pageBreakBefore w:val="0"/>
              <w:widowControl w:val="0"/>
              <w:numPr>
                <w:ilvl w:val="0"/>
                <w:numId w:val="24"/>
              </w:numPr>
              <w:kinsoku/>
              <w:bidi w:val="0"/>
              <w:ind w:left="425" w:leftChars="0" w:hanging="425" w:firstLineChars="0"/>
              <w:rPr>
                <w:color w:val="000000" w:themeColor="text1"/>
                <w14:textFill>
                  <w14:solidFill>
                    <w14:schemeClr w14:val="tx1"/>
                  </w14:solidFill>
                </w14:textFill>
              </w:rPr>
            </w:pPr>
          </w:p>
        </w:tc>
        <w:tc>
          <w:tcPr>
            <w:tcW w:w="1491" w:type="dxa"/>
            <w:noWrap w:val="0"/>
            <w:vAlign w:val="center"/>
          </w:tcPr>
          <w:p w14:paraId="413EEFCA">
            <w:pPr>
              <w:pStyle w:val="28"/>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建（构）筑物</w:t>
            </w:r>
          </w:p>
        </w:tc>
        <w:tc>
          <w:tcPr>
            <w:tcW w:w="5068" w:type="dxa"/>
            <w:noWrap w:val="0"/>
            <w:vAlign w:val="center"/>
          </w:tcPr>
          <w:p w14:paraId="0C3250DC">
            <w:pPr>
              <w:pStyle w:val="28"/>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地震、坍塌、不良地质、施工质量缺陷、安全监测缺陷</w:t>
            </w:r>
          </w:p>
        </w:tc>
        <w:tc>
          <w:tcPr>
            <w:tcW w:w="1614" w:type="dxa"/>
            <w:noWrap w:val="0"/>
            <w:vAlign w:val="center"/>
          </w:tcPr>
          <w:p w14:paraId="3177D7DB">
            <w:pPr>
              <w:pStyle w:val="28"/>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人员伤害，建构筑物损坏</w:t>
            </w:r>
          </w:p>
        </w:tc>
      </w:tr>
      <w:tr w14:paraId="61E5D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704" w:type="dxa"/>
            <w:noWrap w:val="0"/>
            <w:vAlign w:val="center"/>
          </w:tcPr>
          <w:p w14:paraId="49EB4AD9">
            <w:pPr>
              <w:pStyle w:val="28"/>
              <w:keepNext w:val="0"/>
              <w:keepLines w:val="0"/>
              <w:pageBreakBefore w:val="0"/>
              <w:widowControl w:val="0"/>
              <w:numPr>
                <w:ilvl w:val="0"/>
                <w:numId w:val="24"/>
              </w:numPr>
              <w:kinsoku/>
              <w:bidi w:val="0"/>
              <w:ind w:left="425" w:leftChars="0" w:hanging="425" w:firstLineChars="0"/>
              <w:rPr>
                <w:color w:val="000000" w:themeColor="text1"/>
                <w14:textFill>
                  <w14:solidFill>
                    <w14:schemeClr w14:val="tx1"/>
                  </w14:solidFill>
                </w14:textFill>
              </w:rPr>
            </w:pPr>
          </w:p>
        </w:tc>
        <w:tc>
          <w:tcPr>
            <w:tcW w:w="1491" w:type="dxa"/>
            <w:noWrap w:val="0"/>
            <w:vAlign w:val="center"/>
          </w:tcPr>
          <w:p w14:paraId="72422DF7">
            <w:pPr>
              <w:pStyle w:val="28"/>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主要设备</w:t>
            </w:r>
          </w:p>
        </w:tc>
        <w:tc>
          <w:tcPr>
            <w:tcW w:w="5068" w:type="dxa"/>
            <w:noWrap w:val="0"/>
            <w:vAlign w:val="center"/>
          </w:tcPr>
          <w:p w14:paraId="5BA163CD">
            <w:pPr>
              <w:pStyle w:val="28"/>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火灾、爆炸、触电、雷电、过电压、安全工器具失效、直流系统故障、孤岛运行保护、安全工器具缺陷、热斑效应</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过电压</w:t>
            </w:r>
          </w:p>
        </w:tc>
        <w:tc>
          <w:tcPr>
            <w:tcW w:w="1614" w:type="dxa"/>
            <w:noWrap w:val="0"/>
            <w:vAlign w:val="center"/>
          </w:tcPr>
          <w:p w14:paraId="3618805C">
            <w:pPr>
              <w:pStyle w:val="28"/>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人员伤害，设备损坏</w:t>
            </w:r>
          </w:p>
        </w:tc>
      </w:tr>
      <w:tr w14:paraId="32847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704" w:type="dxa"/>
            <w:noWrap w:val="0"/>
            <w:vAlign w:val="center"/>
          </w:tcPr>
          <w:p w14:paraId="371EC09D">
            <w:pPr>
              <w:pStyle w:val="28"/>
              <w:keepNext w:val="0"/>
              <w:keepLines w:val="0"/>
              <w:pageBreakBefore w:val="0"/>
              <w:widowControl w:val="0"/>
              <w:numPr>
                <w:ilvl w:val="0"/>
                <w:numId w:val="24"/>
              </w:numPr>
              <w:kinsoku/>
              <w:bidi w:val="0"/>
              <w:ind w:left="425" w:leftChars="0" w:hanging="425" w:firstLineChars="0"/>
              <w:rPr>
                <w:color w:val="000000" w:themeColor="text1"/>
                <w14:textFill>
                  <w14:solidFill>
                    <w14:schemeClr w14:val="tx1"/>
                  </w14:solidFill>
                </w14:textFill>
              </w:rPr>
            </w:pPr>
          </w:p>
        </w:tc>
        <w:tc>
          <w:tcPr>
            <w:tcW w:w="1491" w:type="dxa"/>
            <w:noWrap w:val="0"/>
            <w:vAlign w:val="center"/>
          </w:tcPr>
          <w:p w14:paraId="061EDBD4">
            <w:pPr>
              <w:pStyle w:val="28"/>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生产过程中</w:t>
            </w:r>
          </w:p>
        </w:tc>
        <w:tc>
          <w:tcPr>
            <w:tcW w:w="5068" w:type="dxa"/>
            <w:noWrap w:val="0"/>
            <w:vAlign w:val="center"/>
          </w:tcPr>
          <w:p w14:paraId="689471EA">
            <w:pPr>
              <w:pStyle w:val="28"/>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火灾和爆炸、触电、高处坠落、机械伤害、车辆伤害、过电压、雷电、高温、低温、有限空间作业</w:t>
            </w:r>
          </w:p>
        </w:tc>
        <w:tc>
          <w:tcPr>
            <w:tcW w:w="1614" w:type="dxa"/>
            <w:noWrap w:val="0"/>
            <w:vAlign w:val="center"/>
          </w:tcPr>
          <w:p w14:paraId="0E9B2104">
            <w:pPr>
              <w:pStyle w:val="28"/>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人员伤害，设备损坏</w:t>
            </w:r>
          </w:p>
        </w:tc>
      </w:tr>
      <w:tr w14:paraId="13D92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04" w:type="dxa"/>
            <w:noWrap w:val="0"/>
            <w:vAlign w:val="center"/>
          </w:tcPr>
          <w:p w14:paraId="0033952D">
            <w:pPr>
              <w:pStyle w:val="28"/>
              <w:keepNext w:val="0"/>
              <w:keepLines w:val="0"/>
              <w:pageBreakBefore w:val="0"/>
              <w:widowControl w:val="0"/>
              <w:numPr>
                <w:ilvl w:val="0"/>
                <w:numId w:val="24"/>
              </w:numPr>
              <w:kinsoku/>
              <w:bidi w:val="0"/>
              <w:ind w:left="425" w:leftChars="0" w:hanging="425" w:firstLineChars="0"/>
              <w:rPr>
                <w:color w:val="000000" w:themeColor="text1"/>
                <w14:textFill>
                  <w14:solidFill>
                    <w14:schemeClr w14:val="tx1"/>
                  </w14:solidFill>
                </w14:textFill>
              </w:rPr>
            </w:pPr>
          </w:p>
        </w:tc>
        <w:tc>
          <w:tcPr>
            <w:tcW w:w="1491" w:type="dxa"/>
            <w:noWrap w:val="0"/>
            <w:vAlign w:val="center"/>
          </w:tcPr>
          <w:p w14:paraId="1106BB44">
            <w:pPr>
              <w:pStyle w:val="28"/>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作业场所</w:t>
            </w:r>
          </w:p>
        </w:tc>
        <w:tc>
          <w:tcPr>
            <w:tcW w:w="5068" w:type="dxa"/>
            <w:noWrap w:val="0"/>
            <w:vAlign w:val="center"/>
          </w:tcPr>
          <w:p w14:paraId="1910F555">
            <w:pPr>
              <w:pStyle w:val="28"/>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color w:val="000000" w:themeColor="text1"/>
                <w14:textFill>
                  <w14:solidFill>
                    <w14:schemeClr w14:val="tx1"/>
                  </w14:solidFill>
                </w14:textFill>
              </w:rPr>
            </w:pPr>
            <w:r>
              <w:rPr>
                <w:color w:val="000000" w:themeColor="text1"/>
                <w14:textFill>
                  <w14:solidFill>
                    <w14:schemeClr w14:val="tx1"/>
                  </w14:solidFill>
                </w14:textFill>
              </w:rPr>
              <w:t>噪声、</w:t>
            </w:r>
            <w:r>
              <w:rPr>
                <w:rFonts w:hint="eastAsia"/>
                <w:color w:val="000000" w:themeColor="text1"/>
                <w14:textFill>
                  <w14:solidFill>
                    <w14:schemeClr w14:val="tx1"/>
                  </w14:solidFill>
                </w14:textFill>
              </w:rPr>
              <w:t>采光照明、工频电场</w:t>
            </w:r>
          </w:p>
        </w:tc>
        <w:tc>
          <w:tcPr>
            <w:tcW w:w="1614" w:type="dxa"/>
            <w:noWrap w:val="0"/>
            <w:vAlign w:val="center"/>
          </w:tcPr>
          <w:p w14:paraId="7A126E4F">
            <w:pPr>
              <w:pStyle w:val="28"/>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影响人员健康</w:t>
            </w:r>
          </w:p>
        </w:tc>
      </w:tr>
    </w:tbl>
    <w:p w14:paraId="1D5D0F99">
      <w:pPr>
        <w:keepNext w:val="0"/>
        <w:keepLines w:val="0"/>
        <w:pageBreakBefore w:val="0"/>
        <w:numPr>
          <w:ilvl w:val="0"/>
          <w:numId w:val="0"/>
        </w:numPr>
        <w:kinsoku/>
        <w:wordWrap/>
        <w:overflowPunct/>
        <w:topLinePunct w:val="0"/>
        <w:autoSpaceDE/>
        <w:autoSpaceDN/>
        <w:bidi w:val="0"/>
        <w:adjustRightInd/>
        <w:snapToGrid/>
        <w:spacing w:line="480" w:lineRule="exact"/>
        <w:jc w:val="both"/>
        <w:textAlignment w:val="auto"/>
        <w:rPr>
          <w:rFonts w:hint="default" w:ascii="宋体" w:hAnsi="宋体" w:eastAsia="宋体" w:cs="宋体"/>
          <w:b/>
          <w:bCs w:val="0"/>
          <w:color w:val="000000" w:themeColor="text1"/>
          <w:sz w:val="30"/>
          <w:szCs w:val="30"/>
          <w:lang w:val="en-US" w:eastAsia="zh-CN"/>
          <w14:textFill>
            <w14:solidFill>
              <w14:schemeClr w14:val="tx1"/>
            </w14:solidFill>
          </w14:textFill>
        </w:rPr>
        <w:sectPr>
          <w:pgSz w:w="11906" w:h="16838"/>
          <w:pgMar w:top="1417" w:right="1417" w:bottom="1417" w:left="1587" w:header="851" w:footer="992" w:gutter="0"/>
          <w:pgNumType w:fmt="decimal"/>
          <w:cols w:space="425" w:num="1"/>
          <w:docGrid w:type="lines" w:linePitch="312" w:charSpace="0"/>
        </w:sectPr>
      </w:pPr>
    </w:p>
    <w:p w14:paraId="37E754CC">
      <w:pPr>
        <w:pStyle w:val="2"/>
        <w:keepNext w:val="0"/>
        <w:keepLines w:val="0"/>
        <w:pageBreakBefore w:val="0"/>
        <w:widowControl w:val="0"/>
        <w:tabs>
          <w:tab w:val="left" w:pos="5220"/>
        </w:tabs>
        <w:kinsoku/>
        <w:wordWrap/>
        <w:overflowPunct/>
        <w:topLinePunct w:val="0"/>
        <w:autoSpaceDE/>
        <w:autoSpaceDN/>
        <w:bidi w:val="0"/>
        <w:adjustRightInd/>
        <w:snapToGrid/>
        <w:spacing w:line="420" w:lineRule="exact"/>
        <w:jc w:val="center"/>
        <w:textAlignment w:val="auto"/>
        <w:rPr>
          <w:rFonts w:hint="eastAsia" w:ascii="宋体" w:hAnsi="宋体" w:eastAsia="宋体" w:cs="宋体"/>
          <w:color w:val="000000" w:themeColor="text1"/>
          <w:sz w:val="32"/>
          <w:szCs w:val="32"/>
          <w14:textFill>
            <w14:solidFill>
              <w14:schemeClr w14:val="tx1"/>
            </w14:solidFill>
          </w14:textFill>
        </w:rPr>
      </w:pPr>
      <w:bookmarkStart w:id="373" w:name="_Toc11342"/>
      <w:r>
        <w:rPr>
          <w:rFonts w:hint="eastAsia" w:ascii="宋体" w:hAnsi="宋体" w:eastAsia="宋体" w:cs="宋体"/>
          <w:color w:val="000000" w:themeColor="text1"/>
          <w:sz w:val="32"/>
          <w:szCs w:val="32"/>
          <w:lang w:val="en-US" w:eastAsia="zh-CN"/>
          <w14:textFill>
            <w14:solidFill>
              <w14:schemeClr w14:val="tx1"/>
            </w14:solidFill>
          </w14:textFill>
        </w:rPr>
        <w:t xml:space="preserve">4 </w:t>
      </w:r>
      <w:r>
        <w:rPr>
          <w:rFonts w:hint="eastAsia" w:ascii="宋体" w:hAnsi="宋体" w:eastAsia="宋体" w:cs="宋体"/>
          <w:color w:val="000000" w:themeColor="text1"/>
          <w:sz w:val="32"/>
          <w:szCs w:val="32"/>
          <w14:textFill>
            <w14:solidFill>
              <w14:schemeClr w14:val="tx1"/>
            </w14:solidFill>
          </w14:textFill>
        </w:rPr>
        <w:t>评价单元划分和评价方法选择</w:t>
      </w:r>
      <w:bookmarkEnd w:id="373"/>
    </w:p>
    <w:p w14:paraId="2F1009E2">
      <w:pPr>
        <w:pStyle w:val="3"/>
        <w:keepNext w:val="0"/>
        <w:keepLines w:val="0"/>
        <w:pageBreakBefore w:val="0"/>
        <w:widowControl w:val="0"/>
        <w:tabs>
          <w:tab w:val="left" w:pos="0"/>
        </w:tabs>
        <w:kinsoku/>
        <w:wordWrap/>
        <w:overflowPunct/>
        <w:topLinePunct w:val="0"/>
        <w:autoSpaceDE/>
        <w:autoSpaceDN/>
        <w:bidi w:val="0"/>
        <w:spacing w:line="420" w:lineRule="exact"/>
        <w:textAlignment w:val="auto"/>
        <w:rPr>
          <w:rFonts w:hint="eastAsia" w:ascii="宋体" w:hAnsi="宋体" w:eastAsia="宋体" w:cs="宋体"/>
          <w:color w:val="000000" w:themeColor="text1"/>
          <w14:textFill>
            <w14:solidFill>
              <w14:schemeClr w14:val="tx1"/>
            </w14:solidFill>
          </w14:textFill>
        </w:rPr>
      </w:pPr>
      <w:bookmarkStart w:id="374" w:name="_Toc170639005"/>
      <w:bookmarkStart w:id="375" w:name="_Toc195431138"/>
      <w:bookmarkStart w:id="376" w:name="_Toc2107"/>
      <w:bookmarkStart w:id="377" w:name="_Toc170638706"/>
      <w:bookmarkStart w:id="378" w:name="_Toc16452"/>
      <w:bookmarkStart w:id="379" w:name="_Toc154304135"/>
      <w:bookmarkStart w:id="380" w:name="_Toc156705400"/>
      <w:bookmarkStart w:id="381" w:name="_Toc10523"/>
      <w:bookmarkStart w:id="382" w:name="_Toc19067"/>
      <w:r>
        <w:rPr>
          <w:rFonts w:hint="eastAsia" w:ascii="宋体" w:hAnsi="宋体" w:eastAsia="宋体" w:cs="宋体"/>
          <w:color w:val="000000" w:themeColor="text1"/>
          <w:lang w:val="en-US" w:eastAsia="zh-CN"/>
          <w14:textFill>
            <w14:solidFill>
              <w14:schemeClr w14:val="tx1"/>
            </w14:solidFill>
          </w14:textFill>
        </w:rPr>
        <w:t>4.1</w:t>
      </w:r>
      <w:r>
        <w:rPr>
          <w:rFonts w:hint="eastAsia" w:ascii="宋体" w:hAnsi="宋体" w:eastAsia="宋体" w:cs="宋体"/>
          <w:color w:val="000000" w:themeColor="text1"/>
          <w14:textFill>
            <w14:solidFill>
              <w14:schemeClr w14:val="tx1"/>
            </w14:solidFill>
          </w14:textFill>
        </w:rPr>
        <w:t>评价单元划分</w:t>
      </w:r>
      <w:bookmarkEnd w:id="374"/>
      <w:bookmarkEnd w:id="375"/>
      <w:bookmarkEnd w:id="376"/>
      <w:bookmarkEnd w:id="377"/>
      <w:bookmarkEnd w:id="378"/>
      <w:bookmarkEnd w:id="379"/>
      <w:bookmarkEnd w:id="380"/>
      <w:bookmarkEnd w:id="381"/>
      <w:bookmarkEnd w:id="382"/>
    </w:p>
    <w:p w14:paraId="182B8020">
      <w:pPr>
        <w:pStyle w:val="4"/>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383" w:name="_Toc15434"/>
      <w:bookmarkStart w:id="384" w:name="_Toc10636"/>
      <w:bookmarkStart w:id="385" w:name="_Toc10137"/>
      <w:r>
        <w:rPr>
          <w:rFonts w:hint="eastAsia" w:ascii="宋体" w:hAnsi="宋体" w:eastAsia="宋体" w:cs="宋体"/>
          <w:b/>
          <w:bCs w:val="0"/>
          <w:color w:val="000000" w:themeColor="text1"/>
          <w:sz w:val="30"/>
          <w:szCs w:val="30"/>
          <w:lang w:val="en-US" w:eastAsia="zh-CN"/>
          <w14:textFill>
            <w14:solidFill>
              <w14:schemeClr w14:val="tx1"/>
            </w14:solidFill>
          </w14:textFill>
        </w:rPr>
        <w:t>4.1.1</w:t>
      </w:r>
      <w:r>
        <w:rPr>
          <w:rFonts w:hint="eastAsia" w:ascii="宋体" w:hAnsi="宋体" w:eastAsia="宋体" w:cs="宋体"/>
          <w:b/>
          <w:bCs w:val="0"/>
          <w:color w:val="000000" w:themeColor="text1"/>
          <w:sz w:val="30"/>
          <w:szCs w:val="30"/>
          <w14:textFill>
            <w14:solidFill>
              <w14:schemeClr w14:val="tx1"/>
            </w14:solidFill>
          </w14:textFill>
        </w:rPr>
        <w:t>评价单元划分的原则</w:t>
      </w:r>
      <w:bookmarkEnd w:id="383"/>
      <w:bookmarkEnd w:id="384"/>
      <w:bookmarkEnd w:id="385"/>
    </w:p>
    <w:p w14:paraId="16FC3876">
      <w:pPr>
        <w:keepNext w:val="0"/>
        <w:keepLines w:val="0"/>
        <w:pageBreakBefore w:val="0"/>
        <w:widowControl w:val="0"/>
        <w:kinsoku/>
        <w:wordWrap/>
        <w:overflowPunct/>
        <w:topLinePunct w:val="0"/>
        <w:autoSpaceDE/>
        <w:autoSpaceDN/>
        <w:bidi w:val="0"/>
        <w:spacing w:line="420" w:lineRule="exact"/>
        <w:ind w:firstLine="560" w:firstLineChars="200"/>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评价单元的划分是在对危险、有害因素辨析的基础上，根据评价目的和评价方法的需要，将系统分成若干有限的、范围确定的需要评价的单元，以提高评价的客观性和准确性。</w:t>
      </w:r>
    </w:p>
    <w:p w14:paraId="6485D48E">
      <w:pPr>
        <w:keepNext w:val="0"/>
        <w:keepLines w:val="0"/>
        <w:pageBreakBefore w:val="0"/>
        <w:widowControl w:val="0"/>
        <w:kinsoku/>
        <w:wordWrap/>
        <w:overflowPunct/>
        <w:topLinePunct w:val="0"/>
        <w:autoSpaceDE/>
        <w:autoSpaceDN/>
        <w:bidi w:val="0"/>
        <w:spacing w:line="420" w:lineRule="exact"/>
        <w:ind w:firstLine="560" w:firstLineChars="200"/>
        <w:textAlignment w:val="auto"/>
        <w:rPr>
          <w:color w:val="000000" w:themeColor="text1"/>
          <w14:textFill>
            <w14:solidFill>
              <w14:schemeClr w14:val="tx1"/>
            </w14:solidFill>
          </w14:textFill>
        </w:rPr>
      </w:pPr>
      <w:r>
        <w:rPr>
          <w:color w:val="000000" w:themeColor="text1"/>
          <w:sz w:val="28"/>
          <w:szCs w:val="28"/>
          <w14:textFill>
            <w14:solidFill>
              <w14:schemeClr w14:val="tx1"/>
            </w14:solidFill>
          </w14:textFill>
        </w:rPr>
        <w:t>评价单元一般以生产工艺，物料的特性及危险、有害因素的类别、分布状况综合考虑进行划分。</w:t>
      </w:r>
    </w:p>
    <w:p w14:paraId="4846E265">
      <w:pPr>
        <w:pStyle w:val="4"/>
        <w:keepNext w:val="0"/>
        <w:keepLines w:val="0"/>
        <w:pageBreakBefore w:val="0"/>
        <w:widowControl w:val="0"/>
        <w:kinsoku/>
        <w:wordWrap/>
        <w:overflowPunct/>
        <w:topLinePunct w:val="0"/>
        <w:autoSpaceDE/>
        <w:autoSpaceDN/>
        <w:bidi w:val="0"/>
        <w:spacing w:line="420" w:lineRule="exact"/>
        <w:textAlignment w:val="auto"/>
        <w:rPr>
          <w:rFonts w:hint="eastAsia" w:eastAsia="宋体"/>
          <w:color w:val="000000" w:themeColor="text1"/>
          <w:lang w:val="en-US" w:eastAsia="zh-CN"/>
          <w14:textFill>
            <w14:solidFill>
              <w14:schemeClr w14:val="tx1"/>
            </w14:solidFill>
          </w14:textFill>
        </w:rPr>
      </w:pPr>
      <w:bookmarkStart w:id="386" w:name="_Toc15037"/>
      <w:r>
        <w:rPr>
          <w:rFonts w:hint="eastAsia" w:ascii="宋体" w:hAnsi="宋体" w:eastAsia="宋体" w:cs="宋体"/>
          <w:b/>
          <w:bCs w:val="0"/>
          <w:color w:val="000000" w:themeColor="text1"/>
          <w:sz w:val="30"/>
          <w:szCs w:val="30"/>
          <w:lang w:val="en-US" w:eastAsia="zh-CN"/>
          <w14:textFill>
            <w14:solidFill>
              <w14:schemeClr w14:val="tx1"/>
            </w14:solidFill>
          </w14:textFill>
        </w:rPr>
        <w:t>4.1.2</w:t>
      </w:r>
      <w:r>
        <w:rPr>
          <w:rFonts w:hint="eastAsia" w:ascii="宋体" w:hAnsi="宋体" w:eastAsia="宋体" w:cs="宋体"/>
          <w:b/>
          <w:bCs w:val="0"/>
          <w:color w:val="000000" w:themeColor="text1"/>
          <w:sz w:val="30"/>
          <w:szCs w:val="30"/>
          <w14:textFill>
            <w14:solidFill>
              <w14:schemeClr w14:val="tx1"/>
            </w14:solidFill>
          </w14:textFill>
        </w:rPr>
        <w:t>评价单元划分</w:t>
      </w:r>
      <w:r>
        <w:rPr>
          <w:rFonts w:hint="eastAsia" w:ascii="宋体" w:hAnsi="宋体" w:eastAsia="宋体" w:cs="宋体"/>
          <w:b/>
          <w:bCs w:val="0"/>
          <w:color w:val="000000" w:themeColor="text1"/>
          <w:sz w:val="30"/>
          <w:szCs w:val="30"/>
          <w:lang w:val="en-US" w:eastAsia="zh-CN"/>
          <w14:textFill>
            <w14:solidFill>
              <w14:schemeClr w14:val="tx1"/>
            </w14:solidFill>
          </w14:textFill>
        </w:rPr>
        <w:t>方法</w:t>
      </w:r>
      <w:bookmarkEnd w:id="386"/>
    </w:p>
    <w:p w14:paraId="4968F58D">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常用的评价单元划分方法有：</w:t>
      </w:r>
    </w:p>
    <w:p w14:paraId="3F6DF790">
      <w:pPr>
        <w:keepNext w:val="0"/>
        <w:keepLines w:val="0"/>
        <w:pageBreakBefore w:val="0"/>
        <w:widowControl w:val="0"/>
        <w:numPr>
          <w:ilvl w:val="0"/>
          <w:numId w:val="25"/>
        </w:numPr>
        <w:kinsoku/>
        <w:wordWrap/>
        <w:overflowPunct/>
        <w:topLinePunct w:val="0"/>
        <w:autoSpaceDE/>
        <w:autoSpaceDN/>
        <w:bidi w:val="0"/>
        <w:adjustRightInd/>
        <w:snapToGrid/>
        <w:spacing w:line="420" w:lineRule="exact"/>
        <w:ind w:left="0" w:leftChars="0" w:firstLine="560" w:firstLineChars="200"/>
        <w:textAlignment w:val="auto"/>
        <w:outlineLvl w:val="9"/>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以危险、有害因素的类别为主划分评价单元。</w:t>
      </w:r>
    </w:p>
    <w:p w14:paraId="5F8F308F">
      <w:pPr>
        <w:keepNext w:val="0"/>
        <w:keepLines w:val="0"/>
        <w:pageBreakBefore w:val="0"/>
        <w:widowControl w:val="0"/>
        <w:numPr>
          <w:ilvl w:val="0"/>
          <w:numId w:val="26"/>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对工艺方案、总平面布置及自然条件、环境对系统影响等综合方面的危险、有害因素的分析和评价，可将整个系统作为一个评价单元；</w:t>
      </w:r>
    </w:p>
    <w:p w14:paraId="45A21F4C">
      <w:pPr>
        <w:keepNext w:val="0"/>
        <w:keepLines w:val="0"/>
        <w:pageBreakBefore w:val="0"/>
        <w:widowControl w:val="0"/>
        <w:numPr>
          <w:ilvl w:val="0"/>
          <w:numId w:val="26"/>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将具有共性危险因素、有害因素的场所和装置划为一个单元。</w:t>
      </w:r>
    </w:p>
    <w:p w14:paraId="7B7D0D34">
      <w:pPr>
        <w:keepNext w:val="0"/>
        <w:keepLines w:val="0"/>
        <w:pageBreakBefore w:val="0"/>
        <w:widowControl w:val="0"/>
        <w:numPr>
          <w:ilvl w:val="0"/>
          <w:numId w:val="25"/>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以装置和物质特征划分评价单元。</w:t>
      </w:r>
    </w:p>
    <w:p w14:paraId="2EA6F9CB">
      <w:pPr>
        <w:keepNext w:val="0"/>
        <w:keepLines w:val="0"/>
        <w:pageBreakBefore w:val="0"/>
        <w:widowControl w:val="0"/>
        <w:numPr>
          <w:ilvl w:val="0"/>
          <w:numId w:val="27"/>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按装置工艺功能划分；</w:t>
      </w:r>
    </w:p>
    <w:p w14:paraId="22E78F22">
      <w:pPr>
        <w:keepNext w:val="0"/>
        <w:keepLines w:val="0"/>
        <w:pageBreakBefore w:val="0"/>
        <w:widowControl w:val="0"/>
        <w:numPr>
          <w:ilvl w:val="0"/>
          <w:numId w:val="27"/>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按布置的相对独立性划分；</w:t>
      </w:r>
    </w:p>
    <w:p w14:paraId="29971041">
      <w:pPr>
        <w:keepNext w:val="0"/>
        <w:keepLines w:val="0"/>
        <w:pageBreakBefore w:val="0"/>
        <w:widowControl w:val="0"/>
        <w:numPr>
          <w:ilvl w:val="0"/>
          <w:numId w:val="27"/>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按工艺条件划分评价单元；</w:t>
      </w:r>
    </w:p>
    <w:p w14:paraId="24803578">
      <w:pPr>
        <w:keepNext w:val="0"/>
        <w:keepLines w:val="0"/>
        <w:pageBreakBefore w:val="0"/>
        <w:widowControl w:val="0"/>
        <w:numPr>
          <w:ilvl w:val="0"/>
          <w:numId w:val="27"/>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按贮存、处理危险物品的潜在化学能、毒性和危险物品的数量划分评价单元；</w:t>
      </w:r>
    </w:p>
    <w:p w14:paraId="344564C5">
      <w:pPr>
        <w:keepNext w:val="0"/>
        <w:keepLines w:val="0"/>
        <w:pageBreakBefore w:val="0"/>
        <w:widowControl w:val="0"/>
        <w:numPr>
          <w:ilvl w:val="0"/>
          <w:numId w:val="27"/>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根据以往事故资料，将发生事故能导致停产、波及范围大、造成巨大损失和伤害的关键设备作为一个单元；</w:t>
      </w:r>
    </w:p>
    <w:p w14:paraId="36FD2954">
      <w:pPr>
        <w:keepNext w:val="0"/>
        <w:keepLines w:val="0"/>
        <w:pageBreakBefore w:val="0"/>
        <w:widowControl w:val="0"/>
        <w:numPr>
          <w:ilvl w:val="0"/>
          <w:numId w:val="27"/>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将危险性大且资金密度大的区域作为一个评价单元；</w:t>
      </w:r>
    </w:p>
    <w:p w14:paraId="2937847F">
      <w:pPr>
        <w:keepNext w:val="0"/>
        <w:keepLines w:val="0"/>
        <w:pageBreakBefore w:val="0"/>
        <w:widowControl w:val="0"/>
        <w:numPr>
          <w:ilvl w:val="0"/>
          <w:numId w:val="27"/>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将危险性特别大的区域、装置作为一个评价单元；</w:t>
      </w:r>
    </w:p>
    <w:p w14:paraId="54116DD9">
      <w:pPr>
        <w:keepNext w:val="0"/>
        <w:keepLines w:val="0"/>
        <w:pageBreakBefore w:val="0"/>
        <w:widowControl w:val="0"/>
        <w:kinsoku/>
        <w:wordWrap/>
        <w:overflowPunct/>
        <w:topLinePunct w:val="0"/>
        <w:autoSpaceDE/>
        <w:autoSpaceDN/>
        <w:bidi w:val="0"/>
        <w:spacing w:line="420" w:lineRule="exact"/>
        <w:ind w:firstLine="560" w:firstLineChars="200"/>
        <w:textAlignment w:val="auto"/>
        <w:outlineLvl w:val="9"/>
        <w:rPr>
          <w:rFonts w:hint="eastAsia" w:ascii="宋体" w:hAnsi="宋体" w:eastAsia="宋体" w:cs="宋体"/>
          <w:b/>
          <w:bCs w:val="0"/>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将具有类似危险性潜能的单元合并为一个大单元。</w:t>
      </w:r>
    </w:p>
    <w:p w14:paraId="416C5FD5">
      <w:pPr>
        <w:keepNext w:val="0"/>
        <w:keepLines w:val="0"/>
        <w:pageBreakBefore w:val="0"/>
        <w:widowControl w:val="0"/>
        <w:kinsoku/>
        <w:wordWrap/>
        <w:overflowPunct/>
        <w:topLinePunct w:val="0"/>
        <w:autoSpaceDE/>
        <w:autoSpaceDN/>
        <w:bidi w:val="0"/>
        <w:spacing w:line="420" w:lineRule="exact"/>
        <w:jc w:val="left"/>
        <w:textAlignment w:val="auto"/>
        <w:outlineLvl w:val="2"/>
        <w:rPr>
          <w:rFonts w:hint="eastAsia" w:ascii="宋体" w:hAnsi="宋体" w:eastAsia="宋体" w:cs="宋体"/>
          <w:b/>
          <w:bCs/>
          <w:kern w:val="2"/>
          <w:sz w:val="30"/>
          <w:szCs w:val="30"/>
          <w:lang w:val="en-US" w:eastAsia="zh-CN" w:bidi="ar-SA"/>
        </w:rPr>
      </w:pPr>
      <w:bookmarkStart w:id="387" w:name="_Toc19844"/>
      <w:r>
        <w:rPr>
          <w:rFonts w:hint="eastAsia" w:ascii="宋体" w:hAnsi="宋体" w:eastAsia="宋体" w:cs="宋体"/>
          <w:b/>
          <w:bCs/>
          <w:kern w:val="2"/>
          <w:sz w:val="30"/>
          <w:szCs w:val="30"/>
          <w:lang w:val="en-US" w:eastAsia="zh-CN" w:bidi="ar-SA"/>
        </w:rPr>
        <w:t>4.1.3评价单元的划分</w:t>
      </w:r>
      <w:bookmarkEnd w:id="387"/>
    </w:p>
    <w:p w14:paraId="3B69035F">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14:textFill>
            <w14:solidFill>
              <w14:schemeClr w14:val="tx1"/>
            </w14:solidFill>
          </w14:textFill>
        </w:rPr>
        <w:t>通过对该工程各主要设备及其附属设施中存在的危险、有害因素的分析，结合光伏、电力行业特点和该工程的具体情况，按工艺流程，并兼顾平面布置及各主要设备及其附属设施中存在的危险、有害因素的相似特性等划分为</w:t>
      </w:r>
      <w:r>
        <w:rPr>
          <w:rFonts w:hint="eastAsia" w:ascii="宋体" w:hAnsi="宋体" w:cs="宋体"/>
          <w:snapToGrid w:val="0"/>
          <w:color w:val="000000" w:themeColor="text1"/>
          <w:kern w:val="0"/>
          <w:sz w:val="28"/>
          <w:szCs w:val="28"/>
          <w:lang w:val="en-US" w:eastAsia="zh-CN"/>
          <w14:textFill>
            <w14:solidFill>
              <w14:schemeClr w14:val="tx1"/>
            </w14:solidFill>
          </w14:textFill>
        </w:rPr>
        <w:t>8</w:t>
      </w:r>
      <w:r>
        <w:rPr>
          <w:rFonts w:hint="eastAsia" w:ascii="宋体" w:hAnsi="宋体" w:eastAsia="宋体" w:cs="宋体"/>
          <w:snapToGrid w:val="0"/>
          <w:color w:val="000000" w:themeColor="text1"/>
          <w:kern w:val="0"/>
          <w:sz w:val="28"/>
          <w:szCs w:val="28"/>
          <w14:textFill>
            <w14:solidFill>
              <w14:schemeClr w14:val="tx1"/>
            </w14:solidFill>
          </w14:textFill>
        </w:rPr>
        <w:t>个评价单元进行评价，即</w:t>
      </w:r>
      <w:r>
        <w:rPr>
          <w:rFonts w:hint="eastAsia" w:ascii="宋体" w:hAnsi="宋体" w:eastAsia="宋体" w:cs="宋体"/>
          <w:color w:val="000000" w:themeColor="text1"/>
          <w:sz w:val="28"/>
          <w:szCs w:val="28"/>
          <w14:textFill>
            <w14:solidFill>
              <w14:schemeClr w14:val="tx1"/>
            </w14:solidFill>
          </w14:textFill>
        </w:rPr>
        <w:t>：</w:t>
      </w:r>
    </w:p>
    <w:p w14:paraId="10C57727">
      <w:pPr>
        <w:keepNext w:val="0"/>
        <w:keepLines w:val="0"/>
        <w:pageBreakBefore w:val="0"/>
        <w:widowControl w:val="0"/>
        <w:numPr>
          <w:ilvl w:val="0"/>
          <w:numId w:val="28"/>
        </w:numPr>
        <w:kinsoku/>
        <w:wordWrap/>
        <w:overflowPunct/>
        <w:topLinePunct w:val="0"/>
        <w:autoSpaceDE/>
        <w:autoSpaceDN/>
        <w:bidi w:val="0"/>
        <w:adjustRightInd/>
        <w:snapToGrid/>
        <w:spacing w:line="420" w:lineRule="exact"/>
        <w:ind w:left="280" w:leftChars="0" w:firstLine="560" w:firstLine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pacing w:val="6"/>
          <w:sz w:val="28"/>
          <w:szCs w:val="28"/>
          <w14:textFill>
            <w14:solidFill>
              <w14:schemeClr w14:val="tx1"/>
            </w14:solidFill>
          </w14:textFill>
        </w:rPr>
        <w:t>安全设施“三同时</w:t>
      </w:r>
      <w:r>
        <w:rPr>
          <w:rFonts w:hint="eastAsia" w:ascii="宋体" w:hAnsi="宋体" w:eastAsia="宋体" w:cs="宋体"/>
          <w:color w:val="000000" w:themeColor="text1"/>
          <w:spacing w:val="-63"/>
          <w:sz w:val="28"/>
          <w:szCs w:val="28"/>
          <w14:textFill>
            <w14:solidFill>
              <w14:schemeClr w14:val="tx1"/>
            </w14:solidFill>
          </w14:textFill>
        </w:rPr>
        <w:t xml:space="preserve"> </w:t>
      </w:r>
      <w:r>
        <w:rPr>
          <w:rFonts w:hint="eastAsia" w:ascii="宋体" w:hAnsi="宋体" w:eastAsia="宋体" w:cs="宋体"/>
          <w:color w:val="000000" w:themeColor="text1"/>
          <w:spacing w:val="6"/>
          <w:sz w:val="28"/>
          <w:szCs w:val="28"/>
          <w14:textFill>
            <w14:solidFill>
              <w14:schemeClr w14:val="tx1"/>
            </w14:solidFill>
          </w14:textFill>
        </w:rPr>
        <w:t>”程序单元</w:t>
      </w:r>
    </w:p>
    <w:p w14:paraId="1576652D">
      <w:pPr>
        <w:keepNext w:val="0"/>
        <w:keepLines w:val="0"/>
        <w:pageBreakBefore w:val="0"/>
        <w:widowControl w:val="0"/>
        <w:numPr>
          <w:ilvl w:val="0"/>
          <w:numId w:val="28"/>
        </w:numPr>
        <w:kinsoku/>
        <w:wordWrap/>
        <w:overflowPunct/>
        <w:topLinePunct w:val="0"/>
        <w:autoSpaceDE/>
        <w:autoSpaceDN/>
        <w:bidi w:val="0"/>
        <w:adjustRightInd/>
        <w:snapToGrid/>
        <w:spacing w:line="420" w:lineRule="exact"/>
        <w:ind w:left="280" w:leftChars="0" w:firstLine="560" w:firstLine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总平面布置单元</w:t>
      </w:r>
    </w:p>
    <w:p w14:paraId="51F13BC3">
      <w:pPr>
        <w:keepNext w:val="0"/>
        <w:keepLines w:val="0"/>
        <w:pageBreakBefore w:val="0"/>
        <w:widowControl w:val="0"/>
        <w:numPr>
          <w:ilvl w:val="0"/>
          <w:numId w:val="28"/>
        </w:numPr>
        <w:kinsoku/>
        <w:wordWrap/>
        <w:overflowPunct/>
        <w:topLinePunct w:val="0"/>
        <w:autoSpaceDE/>
        <w:autoSpaceDN/>
        <w:bidi w:val="0"/>
        <w:adjustRightInd/>
        <w:snapToGrid/>
        <w:spacing w:line="420" w:lineRule="exact"/>
        <w:ind w:left="280" w:leftChars="0" w:firstLine="560" w:firstLine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建（构）筑物等土建工程单元</w:t>
      </w:r>
    </w:p>
    <w:p w14:paraId="2233EE04">
      <w:pPr>
        <w:keepNext w:val="0"/>
        <w:keepLines w:val="0"/>
        <w:pageBreakBefore w:val="0"/>
        <w:widowControl w:val="0"/>
        <w:numPr>
          <w:ilvl w:val="0"/>
          <w:numId w:val="28"/>
        </w:numPr>
        <w:kinsoku/>
        <w:wordWrap/>
        <w:overflowPunct/>
        <w:topLinePunct w:val="0"/>
        <w:autoSpaceDE/>
        <w:autoSpaceDN/>
        <w:bidi w:val="0"/>
        <w:adjustRightInd/>
        <w:snapToGrid/>
        <w:spacing w:line="420" w:lineRule="exact"/>
        <w:ind w:left="280" w:leftChars="0" w:firstLine="560" w:firstLine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光伏发电系统单元</w:t>
      </w:r>
    </w:p>
    <w:p w14:paraId="4D16EEEB">
      <w:pPr>
        <w:keepNext w:val="0"/>
        <w:keepLines w:val="0"/>
        <w:pageBreakBefore w:val="0"/>
        <w:widowControl w:val="0"/>
        <w:numPr>
          <w:ilvl w:val="0"/>
          <w:numId w:val="28"/>
        </w:numPr>
        <w:kinsoku/>
        <w:wordWrap/>
        <w:overflowPunct/>
        <w:topLinePunct w:val="0"/>
        <w:autoSpaceDE/>
        <w:autoSpaceDN/>
        <w:bidi w:val="0"/>
        <w:adjustRightInd/>
        <w:snapToGrid/>
        <w:spacing w:line="420" w:lineRule="exact"/>
        <w:ind w:left="280" w:leftChars="0" w:firstLine="560" w:firstLine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安全设备设施单元</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包括了防火及防爆设施、防雷接地装置、安全工器具及个体防护三个子单元</w:t>
      </w:r>
      <w:r>
        <w:rPr>
          <w:rFonts w:hint="eastAsia" w:ascii="宋体" w:hAnsi="宋体" w:eastAsia="宋体" w:cs="宋体"/>
          <w:color w:val="000000" w:themeColor="text1"/>
          <w:sz w:val="28"/>
          <w:szCs w:val="28"/>
          <w:lang w:eastAsia="zh-CN"/>
          <w14:textFill>
            <w14:solidFill>
              <w14:schemeClr w14:val="tx1"/>
            </w14:solidFill>
          </w14:textFill>
        </w:rPr>
        <w:t>）</w:t>
      </w:r>
    </w:p>
    <w:p w14:paraId="5255FC04">
      <w:pPr>
        <w:keepNext w:val="0"/>
        <w:keepLines w:val="0"/>
        <w:pageBreakBefore w:val="0"/>
        <w:widowControl w:val="0"/>
        <w:numPr>
          <w:ilvl w:val="0"/>
          <w:numId w:val="28"/>
        </w:numPr>
        <w:kinsoku/>
        <w:wordWrap/>
        <w:overflowPunct/>
        <w:topLinePunct w:val="0"/>
        <w:autoSpaceDE/>
        <w:autoSpaceDN/>
        <w:bidi w:val="0"/>
        <w:adjustRightInd/>
        <w:snapToGrid/>
        <w:spacing w:line="420" w:lineRule="exact"/>
        <w:ind w:left="280" w:leftChars="0" w:firstLine="560" w:firstLine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公用工程及辅助设施</w:t>
      </w:r>
      <w:r>
        <w:rPr>
          <w:rFonts w:hint="eastAsia" w:ascii="宋体" w:hAnsi="宋体" w:eastAsia="宋体" w:cs="宋体"/>
          <w:color w:val="000000" w:themeColor="text1"/>
          <w:sz w:val="28"/>
          <w:szCs w:val="28"/>
          <w14:textFill>
            <w14:solidFill>
              <w14:schemeClr w14:val="tx1"/>
            </w14:solidFill>
          </w14:textFill>
        </w:rPr>
        <w:t>单元</w:t>
      </w:r>
    </w:p>
    <w:p w14:paraId="45B9983E">
      <w:pPr>
        <w:keepNext w:val="0"/>
        <w:keepLines w:val="0"/>
        <w:pageBreakBefore w:val="0"/>
        <w:widowControl w:val="0"/>
        <w:numPr>
          <w:ilvl w:val="0"/>
          <w:numId w:val="28"/>
        </w:numPr>
        <w:kinsoku/>
        <w:wordWrap/>
        <w:overflowPunct/>
        <w:topLinePunct w:val="0"/>
        <w:autoSpaceDE/>
        <w:autoSpaceDN/>
        <w:bidi w:val="0"/>
        <w:adjustRightInd/>
        <w:snapToGrid/>
        <w:spacing w:line="420" w:lineRule="exact"/>
        <w:ind w:left="280" w:leftChars="0" w:firstLine="560" w:firstLine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重大电力事故安全隐患判定单元</w:t>
      </w:r>
    </w:p>
    <w:p w14:paraId="35A641D4">
      <w:pPr>
        <w:keepNext w:val="0"/>
        <w:keepLines w:val="0"/>
        <w:pageBreakBefore w:val="0"/>
        <w:widowControl w:val="0"/>
        <w:numPr>
          <w:ilvl w:val="0"/>
          <w:numId w:val="28"/>
        </w:numPr>
        <w:kinsoku/>
        <w:wordWrap/>
        <w:overflowPunct/>
        <w:topLinePunct w:val="0"/>
        <w:autoSpaceDE/>
        <w:autoSpaceDN/>
        <w:bidi w:val="0"/>
        <w:adjustRightInd/>
        <w:snapToGrid/>
        <w:spacing w:line="420" w:lineRule="exact"/>
        <w:ind w:left="280" w:leftChars="0" w:firstLine="560" w:firstLine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安全管理单元</w:t>
      </w:r>
    </w:p>
    <w:p w14:paraId="4BB28CEF">
      <w:pPr>
        <w:keepNext w:val="0"/>
        <w:keepLines w:val="0"/>
        <w:pageBreakBefore w:val="0"/>
        <w:widowControl w:val="0"/>
        <w:kinsoku/>
        <w:wordWrap/>
        <w:overflowPunct/>
        <w:topLinePunct w:val="0"/>
        <w:autoSpaceDE/>
        <w:autoSpaceDN/>
        <w:bidi w:val="0"/>
        <w:spacing w:line="420" w:lineRule="exact"/>
        <w:jc w:val="left"/>
        <w:textAlignment w:val="auto"/>
        <w:outlineLvl w:val="1"/>
        <w:rPr>
          <w:rFonts w:hint="default" w:ascii="宋体" w:hAnsi="宋体" w:eastAsia="宋体" w:cs="宋体"/>
          <w:b/>
          <w:bCs/>
          <w:kern w:val="2"/>
          <w:sz w:val="32"/>
          <w:szCs w:val="32"/>
          <w:lang w:val="en-US" w:eastAsia="zh-CN" w:bidi="ar-SA"/>
        </w:rPr>
      </w:pPr>
      <w:bookmarkStart w:id="388" w:name="_Toc3465"/>
      <w:r>
        <w:rPr>
          <w:rFonts w:hint="eastAsia" w:ascii="宋体" w:hAnsi="宋体" w:eastAsia="宋体" w:cs="宋体"/>
          <w:b/>
          <w:bCs/>
          <w:kern w:val="2"/>
          <w:sz w:val="32"/>
          <w:szCs w:val="32"/>
          <w:lang w:val="en-US" w:eastAsia="zh-CN" w:bidi="ar-SA"/>
        </w:rPr>
        <w:t>4.</w:t>
      </w:r>
      <w:r>
        <w:rPr>
          <w:rFonts w:hint="eastAsia" w:ascii="宋体" w:hAnsi="宋体" w:cs="宋体"/>
          <w:b/>
          <w:bCs/>
          <w:kern w:val="2"/>
          <w:sz w:val="32"/>
          <w:szCs w:val="32"/>
          <w:lang w:val="en-US" w:eastAsia="zh-CN" w:bidi="ar-SA"/>
        </w:rPr>
        <w:t>2</w:t>
      </w:r>
      <w:r>
        <w:rPr>
          <w:rFonts w:hint="eastAsia" w:ascii="宋体" w:hAnsi="宋体" w:eastAsia="宋体" w:cs="宋体"/>
          <w:b/>
          <w:bCs/>
          <w:kern w:val="2"/>
          <w:sz w:val="32"/>
          <w:szCs w:val="32"/>
          <w:lang w:val="en-US" w:eastAsia="zh-CN" w:bidi="ar-SA"/>
        </w:rPr>
        <w:t>评价</w:t>
      </w:r>
      <w:r>
        <w:rPr>
          <w:rFonts w:hint="eastAsia" w:ascii="宋体" w:hAnsi="宋体" w:cs="宋体"/>
          <w:b/>
          <w:bCs/>
          <w:kern w:val="2"/>
          <w:sz w:val="32"/>
          <w:szCs w:val="32"/>
          <w:lang w:val="en-US" w:eastAsia="zh-CN" w:bidi="ar-SA"/>
        </w:rPr>
        <w:t>方法选择</w:t>
      </w:r>
      <w:bookmarkEnd w:id="388"/>
    </w:p>
    <w:p w14:paraId="551058AF">
      <w:pPr>
        <w:keepNext w:val="0"/>
        <w:keepLines w:val="0"/>
        <w:pageBreakBefore w:val="0"/>
        <w:widowControl w:val="0"/>
        <w:kinsoku/>
        <w:wordWrap/>
        <w:overflowPunct/>
        <w:topLinePunct w:val="0"/>
        <w:autoSpaceDE/>
        <w:autoSpaceDN/>
        <w:bidi w:val="0"/>
        <w:spacing w:line="420" w:lineRule="exact"/>
        <w:jc w:val="left"/>
        <w:textAlignment w:val="auto"/>
        <w:outlineLvl w:val="2"/>
        <w:rPr>
          <w:rFonts w:hint="eastAsia" w:ascii="宋体" w:hAnsi="宋体" w:eastAsia="宋体" w:cs="宋体"/>
          <w:b/>
          <w:bCs/>
          <w:kern w:val="2"/>
          <w:sz w:val="30"/>
          <w:szCs w:val="30"/>
          <w:lang w:val="en-US" w:eastAsia="zh-CN" w:bidi="ar-SA"/>
        </w:rPr>
      </w:pPr>
      <w:bookmarkStart w:id="389" w:name="_Toc3486"/>
      <w:r>
        <w:rPr>
          <w:rFonts w:hint="eastAsia" w:ascii="宋体" w:hAnsi="宋体" w:eastAsia="宋体" w:cs="宋体"/>
          <w:b/>
          <w:bCs/>
          <w:kern w:val="2"/>
          <w:sz w:val="30"/>
          <w:szCs w:val="30"/>
          <w:lang w:val="en-US" w:eastAsia="zh-CN" w:bidi="ar-SA"/>
        </w:rPr>
        <w:t>4.2.1评价方法的选择原则</w:t>
      </w:r>
      <w:bookmarkEnd w:id="389"/>
    </w:p>
    <w:p w14:paraId="6503339C">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color w:val="000000" w:themeColor="text1"/>
          <w:sz w:val="28"/>
          <w:szCs w:val="28"/>
          <w14:textFill>
            <w14:solidFill>
              <w14:schemeClr w14:val="tx1"/>
            </w14:solidFill>
          </w14:textFill>
        </w:rPr>
      </w:pPr>
      <w:r>
        <w:rPr>
          <w:rFonts w:hint="eastAsia" w:ascii="宋体" w:hAnsi="宋体" w:eastAsia="宋体" w:cs="Times New Roman"/>
          <w:color w:val="000000" w:themeColor="text1"/>
          <w:sz w:val="28"/>
          <w:szCs w:val="28"/>
          <w14:textFill>
            <w14:solidFill>
              <w14:schemeClr w14:val="tx1"/>
            </w14:solidFill>
          </w14:textFill>
        </w:rPr>
        <w:t>安全评价方法是对系统的各种、有害因素进行分析、评价的工具。目前已经开发数十种，每一种评价方法的原理、目标、应用条件、适用对象不尽相同，各有其特点和优缺点。</w:t>
      </w:r>
    </w:p>
    <w:p w14:paraId="633F71FB">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color w:val="000000" w:themeColor="text1"/>
          <w:sz w:val="28"/>
          <w:szCs w:val="28"/>
          <w14:textFill>
            <w14:solidFill>
              <w14:schemeClr w14:val="tx1"/>
            </w14:solidFill>
          </w14:textFill>
        </w:rPr>
      </w:pPr>
      <w:r>
        <w:rPr>
          <w:rFonts w:hint="eastAsia" w:ascii="宋体" w:hAnsi="宋体" w:eastAsia="宋体" w:cs="Times New Roman"/>
          <w:color w:val="000000" w:themeColor="text1"/>
          <w:sz w:val="28"/>
          <w:szCs w:val="28"/>
          <w14:textFill>
            <w14:solidFill>
              <w14:schemeClr w14:val="tx1"/>
            </w14:solidFill>
          </w14:textFill>
        </w:rPr>
        <w:t>针对本项目中各评价单元的功能、工艺及主要危险有害因素的特点，本次评价采用的评价方法为安全检查表法。</w:t>
      </w:r>
    </w:p>
    <w:p w14:paraId="3158CEB4">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Times New Roman"/>
          <w:color w:val="000000" w:themeColor="text1"/>
          <w:sz w:val="28"/>
          <w:szCs w:val="28"/>
          <w14:textFill>
            <w14:solidFill>
              <w14:schemeClr w14:val="tx1"/>
            </w14:solidFill>
          </w14:textFill>
        </w:rPr>
      </w:pPr>
      <w:r>
        <w:rPr>
          <w:rFonts w:hint="eastAsia" w:ascii="宋体" w:hAnsi="宋体" w:eastAsia="宋体" w:cs="Times New Roman"/>
          <w:color w:val="000000" w:themeColor="text1"/>
          <w:sz w:val="28"/>
          <w:szCs w:val="28"/>
          <w14:textFill>
            <w14:solidFill>
              <w14:schemeClr w14:val="tx1"/>
            </w14:solidFill>
          </w14:textFill>
        </w:rPr>
        <w:t>通过对项目潜在危险和有害因素的初步分析，结合本次评价目的和评价范围，进一步运用有关评价方法进行系统安全评价，找出主要灾害事故被触发的原因，系统地了解各危险源危险状况信息。根据各种评价方法适用的范围和阶段，选择“安全检查表”方法评价较为合适本次现状评价。</w:t>
      </w:r>
    </w:p>
    <w:p w14:paraId="3CA1E08E">
      <w:pPr>
        <w:keepNext w:val="0"/>
        <w:keepLines w:val="0"/>
        <w:pageBreakBefore w:val="0"/>
        <w:widowControl w:val="0"/>
        <w:kinsoku/>
        <w:wordWrap/>
        <w:overflowPunct/>
        <w:topLinePunct w:val="0"/>
        <w:autoSpaceDE/>
        <w:autoSpaceDN/>
        <w:bidi w:val="0"/>
        <w:spacing w:line="420" w:lineRule="exact"/>
        <w:jc w:val="left"/>
        <w:textAlignment w:val="auto"/>
        <w:outlineLvl w:val="2"/>
        <w:rPr>
          <w:rFonts w:hint="default" w:ascii="宋体" w:hAnsi="宋体" w:eastAsia="宋体" w:cs="宋体"/>
          <w:b/>
          <w:bCs/>
          <w:kern w:val="2"/>
          <w:sz w:val="30"/>
          <w:szCs w:val="30"/>
          <w:lang w:val="en-US" w:eastAsia="zh-CN" w:bidi="ar-SA"/>
        </w:rPr>
      </w:pPr>
      <w:bookmarkStart w:id="390" w:name="_Toc4444"/>
      <w:r>
        <w:rPr>
          <w:rFonts w:hint="eastAsia" w:ascii="宋体" w:hAnsi="宋体" w:eastAsia="宋体" w:cs="宋体"/>
          <w:b/>
          <w:bCs/>
          <w:kern w:val="2"/>
          <w:sz w:val="30"/>
          <w:szCs w:val="30"/>
          <w:lang w:val="en-US" w:eastAsia="zh-CN" w:bidi="ar-SA"/>
        </w:rPr>
        <w:t>4.2.</w:t>
      </w:r>
      <w:r>
        <w:rPr>
          <w:rFonts w:hint="eastAsia" w:ascii="宋体" w:hAnsi="宋体" w:cs="宋体"/>
          <w:b/>
          <w:bCs/>
          <w:kern w:val="2"/>
          <w:sz w:val="30"/>
          <w:szCs w:val="30"/>
          <w:lang w:val="en-US" w:eastAsia="zh-CN" w:bidi="ar-SA"/>
        </w:rPr>
        <w:t>2安全检查表法</w:t>
      </w:r>
      <w:bookmarkEnd w:id="390"/>
    </w:p>
    <w:p w14:paraId="04AEE762">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outlineLvl w:val="9"/>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安全检查表评价方法简便灵活，是安全评价的常规方法，具有简便、实用、有效的特点。依据国家、地区、行业等相关的标准、法规编制检查表，判断是否有无，找出缺陷、疏漏、隐患、问题。所以对工程总体和各装置单元的验收评价中均运用了这一方法。本评价中安全检查表的内容主要有三部分：</w:t>
      </w:r>
    </w:p>
    <w:p w14:paraId="5E0B59E3">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outlineLvl w:val="9"/>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①“检查项目和要求”：针对该单元功能、工艺、设备等固有或潜在的主要危险、有害因素，逐条列出检查的项目和国家有关劳动安全卫生方面的</w:t>
      </w:r>
      <w:r>
        <w:rPr>
          <w:rFonts w:hint="eastAsia"/>
          <w:color w:val="000000" w:themeColor="text1"/>
          <w:sz w:val="28"/>
          <w:szCs w:val="28"/>
          <w:lang w:eastAsia="zh-CN"/>
          <w14:textFill>
            <w14:solidFill>
              <w14:schemeClr w14:val="tx1"/>
            </w14:solidFill>
          </w14:textFill>
        </w:rPr>
        <w:t>法律法规</w:t>
      </w:r>
      <w:r>
        <w:rPr>
          <w:rFonts w:hint="eastAsia"/>
          <w:color w:val="000000" w:themeColor="text1"/>
          <w:sz w:val="28"/>
          <w:szCs w:val="28"/>
          <w14:textFill>
            <w14:solidFill>
              <w14:schemeClr w14:val="tx1"/>
            </w14:solidFill>
          </w14:textFill>
        </w:rPr>
        <w:t>、标准以及行业规定中对工程设计、施工、运行管理的各种具体要求。</w:t>
      </w:r>
    </w:p>
    <w:p w14:paraId="7E05175E">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outlineLvl w:val="9"/>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②“检查结果”：针对检查项目和要求，通过审查文件资料，</w:t>
      </w:r>
      <w:r>
        <w:rPr>
          <w:rFonts w:hint="eastAsia"/>
          <w:color w:val="000000" w:themeColor="text1"/>
          <w:sz w:val="28"/>
          <w:szCs w:val="28"/>
          <w:lang w:eastAsia="zh-CN"/>
          <w14:textFill>
            <w14:solidFill>
              <w14:schemeClr w14:val="tx1"/>
            </w14:solidFill>
          </w14:textFill>
        </w:rPr>
        <w:t>勘查现场</w:t>
      </w:r>
      <w:r>
        <w:rPr>
          <w:rFonts w:hint="eastAsia"/>
          <w:color w:val="000000" w:themeColor="text1"/>
          <w:sz w:val="28"/>
          <w:szCs w:val="28"/>
          <w14:textFill>
            <w14:solidFill>
              <w14:schemeClr w14:val="tx1"/>
            </w14:solidFill>
          </w14:textFill>
        </w:rPr>
        <w:t>，建成后的项目是否符合国家或行业的</w:t>
      </w:r>
      <w:r>
        <w:rPr>
          <w:rFonts w:hint="eastAsia"/>
          <w:color w:val="000000" w:themeColor="text1"/>
          <w:sz w:val="28"/>
          <w:szCs w:val="28"/>
          <w:lang w:eastAsia="zh-CN"/>
          <w14:textFill>
            <w14:solidFill>
              <w14:schemeClr w14:val="tx1"/>
            </w14:solidFill>
          </w14:textFill>
        </w:rPr>
        <w:t>法律法规</w:t>
      </w:r>
      <w:r>
        <w:rPr>
          <w:rFonts w:hint="eastAsia"/>
          <w:color w:val="000000" w:themeColor="text1"/>
          <w:sz w:val="28"/>
          <w:szCs w:val="28"/>
          <w14:textFill>
            <w14:solidFill>
              <w14:schemeClr w14:val="tx1"/>
            </w14:solidFill>
          </w14:textFill>
        </w:rPr>
        <w:t>、标准。</w:t>
      </w:r>
    </w:p>
    <w:p w14:paraId="30502C02">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outlineLvl w:val="9"/>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③“检查依据”：与项目相关的国家或行业有关劳动安全卫生方面的</w:t>
      </w:r>
      <w:r>
        <w:rPr>
          <w:rFonts w:hint="eastAsia"/>
          <w:color w:val="000000" w:themeColor="text1"/>
          <w:sz w:val="28"/>
          <w:szCs w:val="28"/>
          <w:lang w:eastAsia="zh-CN"/>
          <w14:textFill>
            <w14:solidFill>
              <w14:schemeClr w14:val="tx1"/>
            </w14:solidFill>
          </w14:textFill>
        </w:rPr>
        <w:t>法律法规</w:t>
      </w:r>
      <w:r>
        <w:rPr>
          <w:rFonts w:hint="eastAsia"/>
          <w:color w:val="000000" w:themeColor="text1"/>
          <w:sz w:val="28"/>
          <w:szCs w:val="28"/>
          <w14:textFill>
            <w14:solidFill>
              <w14:schemeClr w14:val="tx1"/>
            </w14:solidFill>
          </w14:textFill>
        </w:rPr>
        <w:t>、标准。</w:t>
      </w:r>
    </w:p>
    <w:p w14:paraId="6AEFCA9B">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outlineLvl w:val="9"/>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④“实际情况”：对工程建成后实际情况的描述。</w:t>
      </w:r>
    </w:p>
    <w:p w14:paraId="19FB5A5D">
      <w:pPr>
        <w:pStyle w:val="3"/>
        <w:keepLines w:val="0"/>
        <w:pageBreakBefore w:val="0"/>
        <w:widowControl w:val="0"/>
        <w:tabs>
          <w:tab w:val="left" w:pos="0"/>
        </w:tabs>
        <w:kinsoku/>
        <w:wordWrap/>
        <w:overflowPunct/>
        <w:topLinePunct w:val="0"/>
        <w:autoSpaceDE/>
        <w:autoSpaceDN/>
        <w:bidi w:val="0"/>
        <w:spacing w:line="420" w:lineRule="exact"/>
        <w:textAlignment w:val="auto"/>
        <w:rPr>
          <w:rFonts w:hint="eastAsia" w:ascii="宋体" w:hAnsi="宋体" w:eastAsia="宋体" w:cs="宋体"/>
          <w:color w:val="000000" w:themeColor="text1"/>
          <w14:textFill>
            <w14:solidFill>
              <w14:schemeClr w14:val="tx1"/>
            </w14:solidFill>
          </w14:textFill>
        </w:rPr>
      </w:pPr>
      <w:bookmarkStart w:id="391" w:name="_Toc10272"/>
      <w:bookmarkStart w:id="392" w:name="_Toc32518"/>
      <w:bookmarkStart w:id="393" w:name="_Toc24368"/>
      <w:bookmarkStart w:id="394" w:name="_Toc27869"/>
      <w:r>
        <w:rPr>
          <w:rFonts w:hint="eastAsia" w:ascii="宋体" w:hAnsi="宋体" w:eastAsia="宋体" w:cs="宋体"/>
          <w:color w:val="000000" w:themeColor="text1"/>
          <w:lang w:val="en-US" w:eastAsia="zh-CN"/>
          <w14:textFill>
            <w14:solidFill>
              <w14:schemeClr w14:val="tx1"/>
            </w14:solidFill>
          </w14:textFill>
        </w:rPr>
        <w:t>4.3</w:t>
      </w:r>
      <w:r>
        <w:rPr>
          <w:rFonts w:hint="eastAsia" w:ascii="宋体" w:hAnsi="宋体" w:eastAsia="宋体" w:cs="宋体"/>
          <w:color w:val="000000" w:themeColor="text1"/>
          <w14:textFill>
            <w14:solidFill>
              <w14:schemeClr w14:val="tx1"/>
            </w14:solidFill>
          </w14:textFill>
        </w:rPr>
        <w:t>各单元采用的评价方法</w:t>
      </w:r>
      <w:bookmarkEnd w:id="391"/>
      <w:bookmarkEnd w:id="392"/>
      <w:bookmarkEnd w:id="393"/>
      <w:bookmarkEnd w:id="394"/>
    </w:p>
    <w:p w14:paraId="1281609A">
      <w:pPr>
        <w:pStyle w:val="8"/>
        <w:keepNext w:val="0"/>
        <w:keepLines w:val="0"/>
        <w:pageBreakBefore w:val="0"/>
        <w:widowControl w:val="0"/>
        <w:kinsoku/>
        <w:wordWrap/>
        <w:overflowPunct/>
        <w:topLinePunct w:val="0"/>
        <w:autoSpaceDE/>
        <w:autoSpaceDN/>
        <w:bidi w:val="0"/>
        <w:spacing w:line="420" w:lineRule="exact"/>
        <w:textAlignment w:val="auto"/>
        <w:rPr>
          <w:rFonts w:hint="eastAsia"/>
          <w:color w:val="000000" w:themeColor="text1"/>
          <w14:textFill>
            <w14:solidFill>
              <w14:schemeClr w14:val="tx1"/>
            </w14:solidFill>
          </w14:textFill>
        </w:rPr>
      </w:pPr>
      <w:r>
        <w:rPr>
          <w:color w:val="000000" w:themeColor="text1"/>
          <w14:textFill>
            <w14:solidFill>
              <w14:schemeClr w14:val="tx1"/>
            </w14:solidFill>
          </w14:textFill>
        </w:rPr>
        <w:t xml:space="preserve">表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3</w:t>
      </w:r>
      <w:r>
        <w:rPr>
          <w:color w:val="000000" w:themeColor="text1"/>
          <w14:textFill>
            <w14:solidFill>
              <w14:schemeClr w14:val="tx1"/>
            </w14:solidFill>
          </w14:textFill>
        </w:rPr>
        <w:t>评价方法汇总表</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3242"/>
        <w:gridCol w:w="4326"/>
      </w:tblGrid>
      <w:tr w14:paraId="69460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11" w:type="dxa"/>
            <w:noWrap w:val="0"/>
            <w:vAlign w:val="center"/>
          </w:tcPr>
          <w:p w14:paraId="6DCEFCF4">
            <w:pPr>
              <w:pStyle w:val="27"/>
              <w:keepNext w:val="0"/>
              <w:keepLines w:val="0"/>
              <w:pageBreakBefore w:val="0"/>
              <w:widowControl w:val="0"/>
              <w:kinsoku/>
              <w:wordWrap/>
              <w:overflowPunct/>
              <w:topLinePunct w:val="0"/>
              <w:autoSpaceDE/>
              <w:autoSpaceDN/>
              <w:bidi w:val="0"/>
              <w:spacing w:line="480" w:lineRule="exac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序号</w:t>
            </w:r>
          </w:p>
        </w:tc>
        <w:tc>
          <w:tcPr>
            <w:tcW w:w="3242" w:type="dxa"/>
            <w:noWrap w:val="0"/>
            <w:vAlign w:val="center"/>
          </w:tcPr>
          <w:p w14:paraId="64E66EBC">
            <w:pPr>
              <w:pStyle w:val="27"/>
              <w:keepNext w:val="0"/>
              <w:keepLines w:val="0"/>
              <w:pageBreakBefore w:val="0"/>
              <w:widowControl w:val="0"/>
              <w:kinsoku/>
              <w:wordWrap/>
              <w:overflowPunct/>
              <w:topLinePunct w:val="0"/>
              <w:autoSpaceDE/>
              <w:autoSpaceDN/>
              <w:bidi w:val="0"/>
              <w:spacing w:line="480" w:lineRule="exac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评价单元名称</w:t>
            </w:r>
          </w:p>
        </w:tc>
        <w:tc>
          <w:tcPr>
            <w:tcW w:w="4326" w:type="dxa"/>
            <w:noWrap w:val="0"/>
            <w:vAlign w:val="center"/>
          </w:tcPr>
          <w:p w14:paraId="2220C3F6">
            <w:pPr>
              <w:pStyle w:val="27"/>
              <w:keepNext w:val="0"/>
              <w:keepLines w:val="0"/>
              <w:pageBreakBefore w:val="0"/>
              <w:widowControl w:val="0"/>
              <w:kinsoku/>
              <w:wordWrap/>
              <w:overflowPunct/>
              <w:topLinePunct w:val="0"/>
              <w:autoSpaceDE/>
              <w:autoSpaceDN/>
              <w:bidi w:val="0"/>
              <w:spacing w:line="480" w:lineRule="exac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采用的评价方法</w:t>
            </w:r>
          </w:p>
        </w:tc>
      </w:tr>
      <w:tr w14:paraId="1BB0B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11" w:type="dxa"/>
            <w:noWrap w:val="0"/>
            <w:vAlign w:val="center"/>
          </w:tcPr>
          <w:p w14:paraId="3EB03C97">
            <w:pPr>
              <w:pStyle w:val="28"/>
              <w:keepNext w:val="0"/>
              <w:keepLines w:val="0"/>
              <w:pageBreakBefore w:val="0"/>
              <w:widowControl w:val="0"/>
              <w:numPr>
                <w:ilvl w:val="0"/>
                <w:numId w:val="29"/>
              </w:numPr>
              <w:kinsoku/>
              <w:wordWrap/>
              <w:overflowPunct/>
              <w:topLinePunct w:val="0"/>
              <w:autoSpaceDE/>
              <w:autoSpaceDN/>
              <w:bidi w:val="0"/>
              <w:spacing w:line="480" w:lineRule="exact"/>
              <w:ind w:left="425" w:leftChars="0" w:hanging="425"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3242" w:type="dxa"/>
            <w:noWrap w:val="0"/>
            <w:vAlign w:val="center"/>
          </w:tcPr>
          <w:p w14:paraId="7608698D">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outlineLvl w:val="9"/>
              <w:rPr>
                <w:rFonts w:hint="eastAsia" w:ascii="宋体" w:hAnsi="宋体" w:eastAsia="宋体" w:cs="宋体"/>
                <w:b w:val="0"/>
                <w:bCs/>
                <w:color w:val="000000" w:themeColor="text1"/>
                <w:sz w:val="21"/>
                <w:szCs w:val="21"/>
                <w14:textFill>
                  <w14:solidFill>
                    <w14:schemeClr w14:val="tx1"/>
                  </w14:solidFill>
                </w14:textFill>
              </w:rPr>
            </w:pPr>
            <w:r>
              <w:rPr>
                <w:rFonts w:hint="eastAsia" w:ascii="宋体" w:hAnsi="宋体" w:eastAsia="宋体" w:cs="宋体"/>
                <w:color w:val="000000" w:themeColor="text1"/>
                <w:spacing w:val="6"/>
                <w:sz w:val="21"/>
                <w:szCs w:val="21"/>
                <w14:textFill>
                  <w14:solidFill>
                    <w14:schemeClr w14:val="tx1"/>
                  </w14:solidFill>
                </w14:textFill>
              </w:rPr>
              <w:t>安全设施“三同时</w:t>
            </w:r>
            <w:r>
              <w:rPr>
                <w:rFonts w:hint="eastAsia" w:ascii="宋体" w:hAnsi="宋体" w:eastAsia="宋体" w:cs="宋体"/>
                <w:color w:val="000000" w:themeColor="text1"/>
                <w:spacing w:val="-63"/>
                <w:sz w:val="21"/>
                <w:szCs w:val="21"/>
                <w14:textFill>
                  <w14:solidFill>
                    <w14:schemeClr w14:val="tx1"/>
                  </w14:solidFill>
                </w14:textFill>
              </w:rPr>
              <w:t xml:space="preserve"> </w:t>
            </w:r>
            <w:r>
              <w:rPr>
                <w:rFonts w:hint="eastAsia" w:ascii="宋体" w:hAnsi="宋体" w:eastAsia="宋体" w:cs="宋体"/>
                <w:color w:val="000000" w:themeColor="text1"/>
                <w:spacing w:val="6"/>
                <w:sz w:val="21"/>
                <w:szCs w:val="21"/>
                <w14:textFill>
                  <w14:solidFill>
                    <w14:schemeClr w14:val="tx1"/>
                  </w14:solidFill>
                </w14:textFill>
              </w:rPr>
              <w:t>”程序单元</w:t>
            </w:r>
          </w:p>
        </w:tc>
        <w:tc>
          <w:tcPr>
            <w:tcW w:w="4326" w:type="dxa"/>
            <w:noWrap w:val="0"/>
            <w:vAlign w:val="center"/>
          </w:tcPr>
          <w:p w14:paraId="6777D8BE">
            <w:pPr>
              <w:pStyle w:val="27"/>
              <w:keepNext w:val="0"/>
              <w:keepLines w:val="0"/>
              <w:pageBreakBefore w:val="0"/>
              <w:widowControl w:val="0"/>
              <w:kinsoku/>
              <w:wordWrap/>
              <w:overflowPunct/>
              <w:topLinePunct w:val="0"/>
              <w:autoSpaceDE/>
              <w:autoSpaceDN/>
              <w:bidi w:val="0"/>
              <w:spacing w:line="480" w:lineRule="exact"/>
              <w:textAlignment w:val="auto"/>
              <w:rPr>
                <w:rFonts w:hint="eastAsia" w:ascii="宋体" w:hAnsi="宋体" w:eastAsia="宋体" w:cs="宋体"/>
                <w:b w:val="0"/>
                <w:bCs/>
                <w:color w:val="000000" w:themeColor="text1"/>
                <w:sz w:val="21"/>
                <w:szCs w:val="21"/>
                <w14:textFill>
                  <w14:solidFill>
                    <w14:schemeClr w14:val="tx1"/>
                  </w14:solidFill>
                </w14:textFill>
              </w:rPr>
            </w:pPr>
            <w:r>
              <w:rPr>
                <w:rFonts w:hint="eastAsia" w:ascii="宋体" w:hAnsi="宋体" w:eastAsia="宋体" w:cs="宋体"/>
                <w:b w:val="0"/>
                <w:bCs/>
                <w:color w:val="000000" w:themeColor="text1"/>
                <w:sz w:val="21"/>
                <w:szCs w:val="21"/>
                <w14:textFill>
                  <w14:solidFill>
                    <w14:schemeClr w14:val="tx1"/>
                  </w14:solidFill>
                </w14:textFill>
              </w:rPr>
              <w:t>安全检查表法</w:t>
            </w:r>
          </w:p>
        </w:tc>
      </w:tr>
      <w:tr w14:paraId="73E36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11" w:type="dxa"/>
            <w:noWrap w:val="0"/>
            <w:vAlign w:val="center"/>
          </w:tcPr>
          <w:p w14:paraId="5DD0C0FC">
            <w:pPr>
              <w:pStyle w:val="28"/>
              <w:keepNext w:val="0"/>
              <w:keepLines w:val="0"/>
              <w:pageBreakBefore w:val="0"/>
              <w:widowControl w:val="0"/>
              <w:numPr>
                <w:ilvl w:val="0"/>
                <w:numId w:val="29"/>
              </w:numPr>
              <w:kinsoku/>
              <w:wordWrap/>
              <w:overflowPunct/>
              <w:topLinePunct w:val="0"/>
              <w:autoSpaceDE/>
              <w:autoSpaceDN/>
              <w:bidi w:val="0"/>
              <w:spacing w:line="480" w:lineRule="exact"/>
              <w:ind w:left="425" w:leftChars="0" w:hanging="425"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3242" w:type="dxa"/>
            <w:noWrap w:val="0"/>
            <w:vAlign w:val="center"/>
          </w:tcPr>
          <w:p w14:paraId="6094396C">
            <w:pPr>
              <w:pStyle w:val="27"/>
              <w:keepNext w:val="0"/>
              <w:keepLines w:val="0"/>
              <w:pageBreakBefore w:val="0"/>
              <w:widowControl w:val="0"/>
              <w:kinsoku/>
              <w:wordWrap/>
              <w:overflowPunct/>
              <w:topLinePunct w:val="0"/>
              <w:autoSpaceDE/>
              <w:autoSpaceDN/>
              <w:bidi w:val="0"/>
              <w:spacing w:line="480" w:lineRule="exact"/>
              <w:jc w:val="center"/>
              <w:textAlignment w:val="auto"/>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总平面布置单元</w:t>
            </w:r>
          </w:p>
        </w:tc>
        <w:tc>
          <w:tcPr>
            <w:tcW w:w="4326" w:type="dxa"/>
            <w:noWrap w:val="0"/>
            <w:vAlign w:val="center"/>
          </w:tcPr>
          <w:p w14:paraId="3EF7212F">
            <w:pPr>
              <w:pStyle w:val="27"/>
              <w:keepNext w:val="0"/>
              <w:keepLines w:val="0"/>
              <w:pageBreakBefore w:val="0"/>
              <w:widowControl w:val="0"/>
              <w:kinsoku/>
              <w:wordWrap/>
              <w:overflowPunct/>
              <w:topLinePunct w:val="0"/>
              <w:autoSpaceDE/>
              <w:autoSpaceDN/>
              <w:bidi w:val="0"/>
              <w:spacing w:line="480" w:lineRule="exact"/>
              <w:textAlignment w:val="auto"/>
              <w:rPr>
                <w:rFonts w:hint="eastAsia" w:ascii="宋体" w:hAnsi="宋体" w:eastAsia="宋体" w:cs="宋体"/>
                <w:b w:val="0"/>
                <w:bCs/>
                <w:color w:val="000000" w:themeColor="text1"/>
                <w:sz w:val="21"/>
                <w:szCs w:val="21"/>
                <w14:textFill>
                  <w14:solidFill>
                    <w14:schemeClr w14:val="tx1"/>
                  </w14:solidFill>
                </w14:textFill>
              </w:rPr>
            </w:pPr>
            <w:r>
              <w:rPr>
                <w:rFonts w:hint="eastAsia" w:ascii="宋体" w:hAnsi="宋体" w:eastAsia="宋体" w:cs="宋体"/>
                <w:b w:val="0"/>
                <w:bCs/>
                <w:color w:val="000000" w:themeColor="text1"/>
                <w:sz w:val="21"/>
                <w:szCs w:val="21"/>
                <w14:textFill>
                  <w14:solidFill>
                    <w14:schemeClr w14:val="tx1"/>
                  </w14:solidFill>
                </w14:textFill>
              </w:rPr>
              <w:t>安全检查表法</w:t>
            </w:r>
          </w:p>
        </w:tc>
      </w:tr>
      <w:tr w14:paraId="277EA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11" w:type="dxa"/>
            <w:noWrap w:val="0"/>
            <w:vAlign w:val="center"/>
          </w:tcPr>
          <w:p w14:paraId="295FC292">
            <w:pPr>
              <w:pStyle w:val="28"/>
              <w:keepNext w:val="0"/>
              <w:keepLines w:val="0"/>
              <w:pageBreakBefore w:val="0"/>
              <w:widowControl w:val="0"/>
              <w:numPr>
                <w:ilvl w:val="0"/>
                <w:numId w:val="29"/>
              </w:numPr>
              <w:kinsoku/>
              <w:wordWrap/>
              <w:overflowPunct/>
              <w:topLinePunct w:val="0"/>
              <w:autoSpaceDE/>
              <w:autoSpaceDN/>
              <w:bidi w:val="0"/>
              <w:spacing w:line="480" w:lineRule="exact"/>
              <w:ind w:left="425" w:leftChars="0" w:hanging="425" w:firstLineChars="0"/>
              <w:textAlignment w:val="auto"/>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pPr>
          </w:p>
        </w:tc>
        <w:tc>
          <w:tcPr>
            <w:tcW w:w="3242" w:type="dxa"/>
            <w:noWrap w:val="0"/>
            <w:vAlign w:val="center"/>
          </w:tcPr>
          <w:p w14:paraId="6090E693">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outlineLvl w:val="9"/>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建（构）筑物等土建工程单元</w:t>
            </w:r>
          </w:p>
        </w:tc>
        <w:tc>
          <w:tcPr>
            <w:tcW w:w="4326" w:type="dxa"/>
            <w:noWrap w:val="0"/>
            <w:vAlign w:val="center"/>
          </w:tcPr>
          <w:p w14:paraId="3745C375">
            <w:pPr>
              <w:pStyle w:val="27"/>
              <w:keepNext w:val="0"/>
              <w:keepLines w:val="0"/>
              <w:pageBreakBefore w:val="0"/>
              <w:widowControl w:val="0"/>
              <w:kinsoku/>
              <w:wordWrap/>
              <w:overflowPunct/>
              <w:topLinePunct w:val="0"/>
              <w:autoSpaceDE/>
              <w:autoSpaceDN/>
              <w:bidi w:val="0"/>
              <w:spacing w:line="480" w:lineRule="exact"/>
              <w:textAlignment w:val="auto"/>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t>安全检查表法</w:t>
            </w:r>
          </w:p>
        </w:tc>
      </w:tr>
      <w:tr w14:paraId="03937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11" w:type="dxa"/>
            <w:noWrap w:val="0"/>
            <w:vAlign w:val="center"/>
          </w:tcPr>
          <w:p w14:paraId="0C8C0EAD">
            <w:pPr>
              <w:pStyle w:val="28"/>
              <w:keepNext w:val="0"/>
              <w:keepLines w:val="0"/>
              <w:pageBreakBefore w:val="0"/>
              <w:widowControl w:val="0"/>
              <w:numPr>
                <w:ilvl w:val="0"/>
                <w:numId w:val="29"/>
              </w:numPr>
              <w:kinsoku/>
              <w:wordWrap/>
              <w:overflowPunct/>
              <w:topLinePunct w:val="0"/>
              <w:autoSpaceDE/>
              <w:autoSpaceDN/>
              <w:bidi w:val="0"/>
              <w:spacing w:line="480" w:lineRule="exact"/>
              <w:ind w:left="425" w:leftChars="0" w:hanging="425" w:firstLineChars="0"/>
              <w:textAlignment w:val="auto"/>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pPr>
          </w:p>
        </w:tc>
        <w:tc>
          <w:tcPr>
            <w:tcW w:w="3242" w:type="dxa"/>
            <w:noWrap w:val="0"/>
            <w:vAlign w:val="center"/>
          </w:tcPr>
          <w:p w14:paraId="3C482884">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outlineLvl w:val="9"/>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光伏发电系统单元</w:t>
            </w:r>
          </w:p>
        </w:tc>
        <w:tc>
          <w:tcPr>
            <w:tcW w:w="4326" w:type="dxa"/>
            <w:noWrap w:val="0"/>
            <w:vAlign w:val="center"/>
          </w:tcPr>
          <w:p w14:paraId="23BB6B5C">
            <w:pPr>
              <w:pStyle w:val="27"/>
              <w:keepNext w:val="0"/>
              <w:keepLines w:val="0"/>
              <w:pageBreakBefore w:val="0"/>
              <w:widowControl w:val="0"/>
              <w:kinsoku/>
              <w:wordWrap/>
              <w:overflowPunct/>
              <w:topLinePunct w:val="0"/>
              <w:autoSpaceDE/>
              <w:autoSpaceDN/>
              <w:bidi w:val="0"/>
              <w:spacing w:line="480" w:lineRule="exact"/>
              <w:textAlignment w:val="auto"/>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t>安全检查表法</w:t>
            </w:r>
          </w:p>
        </w:tc>
      </w:tr>
      <w:tr w14:paraId="12390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11" w:type="dxa"/>
            <w:noWrap w:val="0"/>
            <w:vAlign w:val="center"/>
          </w:tcPr>
          <w:p w14:paraId="5450872C">
            <w:pPr>
              <w:pStyle w:val="28"/>
              <w:keepNext w:val="0"/>
              <w:keepLines w:val="0"/>
              <w:pageBreakBefore w:val="0"/>
              <w:widowControl w:val="0"/>
              <w:numPr>
                <w:ilvl w:val="0"/>
                <w:numId w:val="29"/>
              </w:numPr>
              <w:kinsoku/>
              <w:wordWrap/>
              <w:overflowPunct/>
              <w:topLinePunct w:val="0"/>
              <w:autoSpaceDE/>
              <w:autoSpaceDN/>
              <w:bidi w:val="0"/>
              <w:spacing w:line="480" w:lineRule="exact"/>
              <w:ind w:left="425" w:leftChars="0" w:hanging="425" w:firstLineChars="0"/>
              <w:textAlignment w:val="auto"/>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pPr>
          </w:p>
        </w:tc>
        <w:tc>
          <w:tcPr>
            <w:tcW w:w="3242" w:type="dxa"/>
            <w:noWrap w:val="0"/>
            <w:vAlign w:val="center"/>
          </w:tcPr>
          <w:p w14:paraId="7EE9D706">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outlineLvl w:val="9"/>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安全设备设施单元</w:t>
            </w:r>
          </w:p>
        </w:tc>
        <w:tc>
          <w:tcPr>
            <w:tcW w:w="4326" w:type="dxa"/>
            <w:noWrap w:val="0"/>
            <w:vAlign w:val="center"/>
          </w:tcPr>
          <w:p w14:paraId="4B6547A3">
            <w:pPr>
              <w:pStyle w:val="27"/>
              <w:keepNext w:val="0"/>
              <w:keepLines w:val="0"/>
              <w:pageBreakBefore w:val="0"/>
              <w:widowControl w:val="0"/>
              <w:kinsoku/>
              <w:wordWrap/>
              <w:overflowPunct/>
              <w:topLinePunct w:val="0"/>
              <w:autoSpaceDE/>
              <w:autoSpaceDN/>
              <w:bidi w:val="0"/>
              <w:spacing w:line="480" w:lineRule="exact"/>
              <w:textAlignment w:val="auto"/>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t>安全检查表法</w:t>
            </w:r>
          </w:p>
        </w:tc>
      </w:tr>
      <w:tr w14:paraId="7A63E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11" w:type="dxa"/>
            <w:noWrap w:val="0"/>
            <w:vAlign w:val="center"/>
          </w:tcPr>
          <w:p w14:paraId="579FB324">
            <w:pPr>
              <w:pStyle w:val="28"/>
              <w:keepNext w:val="0"/>
              <w:keepLines w:val="0"/>
              <w:pageBreakBefore w:val="0"/>
              <w:widowControl w:val="0"/>
              <w:numPr>
                <w:ilvl w:val="0"/>
                <w:numId w:val="29"/>
              </w:numPr>
              <w:kinsoku/>
              <w:wordWrap/>
              <w:overflowPunct/>
              <w:topLinePunct w:val="0"/>
              <w:autoSpaceDE/>
              <w:autoSpaceDN/>
              <w:bidi w:val="0"/>
              <w:spacing w:line="480" w:lineRule="exact"/>
              <w:ind w:left="425" w:leftChars="0" w:hanging="425"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3242" w:type="dxa"/>
            <w:noWrap w:val="0"/>
            <w:vAlign w:val="center"/>
          </w:tcPr>
          <w:p w14:paraId="0FB5B097">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outlineLvl w:val="9"/>
              <w:rPr>
                <w:rFonts w:hint="eastAsia" w:ascii="宋体" w:hAnsi="宋体" w:eastAsia="宋体" w:cs="宋体"/>
                <w:b w:val="0"/>
                <w:bCs/>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公用工程及辅助设施</w:t>
            </w:r>
            <w:r>
              <w:rPr>
                <w:rFonts w:hint="eastAsia" w:ascii="宋体" w:hAnsi="宋体" w:eastAsia="宋体" w:cs="宋体"/>
                <w:color w:val="000000" w:themeColor="text1"/>
                <w:sz w:val="21"/>
                <w:szCs w:val="21"/>
                <w14:textFill>
                  <w14:solidFill>
                    <w14:schemeClr w14:val="tx1"/>
                  </w14:solidFill>
                </w14:textFill>
              </w:rPr>
              <w:t>单元</w:t>
            </w:r>
          </w:p>
        </w:tc>
        <w:tc>
          <w:tcPr>
            <w:tcW w:w="4326" w:type="dxa"/>
            <w:noWrap w:val="0"/>
            <w:vAlign w:val="center"/>
          </w:tcPr>
          <w:p w14:paraId="58C3ED0F">
            <w:pPr>
              <w:pStyle w:val="27"/>
              <w:keepNext w:val="0"/>
              <w:keepLines w:val="0"/>
              <w:pageBreakBefore w:val="0"/>
              <w:widowControl w:val="0"/>
              <w:kinsoku/>
              <w:wordWrap/>
              <w:overflowPunct/>
              <w:topLinePunct w:val="0"/>
              <w:autoSpaceDE/>
              <w:autoSpaceDN/>
              <w:bidi w:val="0"/>
              <w:spacing w:line="480" w:lineRule="exact"/>
              <w:textAlignment w:val="auto"/>
              <w:rPr>
                <w:rFonts w:hint="eastAsia" w:ascii="宋体" w:hAnsi="宋体" w:eastAsia="宋体" w:cs="宋体"/>
                <w:b w:val="0"/>
                <w:bCs/>
                <w:color w:val="000000" w:themeColor="text1"/>
                <w:sz w:val="21"/>
                <w:szCs w:val="21"/>
                <w14:textFill>
                  <w14:solidFill>
                    <w14:schemeClr w14:val="tx1"/>
                  </w14:solidFill>
                </w14:textFill>
              </w:rPr>
            </w:pPr>
            <w:r>
              <w:rPr>
                <w:rFonts w:hint="eastAsia" w:ascii="宋体" w:hAnsi="宋体" w:eastAsia="宋体" w:cs="宋体"/>
                <w:b w:val="0"/>
                <w:bCs/>
                <w:color w:val="000000" w:themeColor="text1"/>
                <w:sz w:val="21"/>
                <w:szCs w:val="21"/>
                <w14:textFill>
                  <w14:solidFill>
                    <w14:schemeClr w14:val="tx1"/>
                  </w14:solidFill>
                </w14:textFill>
              </w:rPr>
              <w:t>安全检查表</w:t>
            </w:r>
            <w:r>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t>法</w:t>
            </w:r>
          </w:p>
        </w:tc>
      </w:tr>
      <w:tr w14:paraId="3427A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11" w:type="dxa"/>
            <w:noWrap w:val="0"/>
            <w:vAlign w:val="center"/>
          </w:tcPr>
          <w:p w14:paraId="021FCE0D">
            <w:pPr>
              <w:pStyle w:val="28"/>
              <w:keepNext w:val="0"/>
              <w:keepLines w:val="0"/>
              <w:pageBreakBefore w:val="0"/>
              <w:widowControl w:val="0"/>
              <w:numPr>
                <w:ilvl w:val="0"/>
                <w:numId w:val="29"/>
              </w:numPr>
              <w:kinsoku/>
              <w:wordWrap/>
              <w:overflowPunct/>
              <w:topLinePunct w:val="0"/>
              <w:autoSpaceDE/>
              <w:autoSpaceDN/>
              <w:bidi w:val="0"/>
              <w:spacing w:line="480" w:lineRule="exact"/>
              <w:ind w:left="425" w:leftChars="0" w:hanging="425"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3242" w:type="dxa"/>
            <w:noWrap w:val="0"/>
            <w:vAlign w:val="center"/>
          </w:tcPr>
          <w:p w14:paraId="4A6B5F20">
            <w:pPr>
              <w:pStyle w:val="27"/>
              <w:keepNext w:val="0"/>
              <w:keepLines w:val="0"/>
              <w:pageBreakBefore w:val="0"/>
              <w:widowControl w:val="0"/>
              <w:kinsoku/>
              <w:wordWrap/>
              <w:overflowPunct/>
              <w:topLinePunct w:val="0"/>
              <w:autoSpaceDE/>
              <w:autoSpaceDN/>
              <w:bidi w:val="0"/>
              <w:spacing w:line="360" w:lineRule="exact"/>
              <w:ind w:firstLine="0" w:firstLineChars="0"/>
              <w:jc w:val="center"/>
              <w:textAlignment w:val="auto"/>
              <w:rPr>
                <w:rFonts w:hint="eastAsia" w:ascii="宋体" w:hAnsi="宋体" w:eastAsia="宋体" w:cs="宋体"/>
                <w:b w:val="0"/>
                <w:bCs/>
                <w:color w:val="000000" w:themeColor="text1"/>
                <w:sz w:val="21"/>
                <w:szCs w:val="21"/>
                <w14:textFill>
                  <w14:solidFill>
                    <w14:schemeClr w14:val="tx1"/>
                  </w14:solidFill>
                </w14:textFill>
              </w:rPr>
            </w:pPr>
            <w:r>
              <w:rPr>
                <w:rFonts w:hint="eastAsia" w:ascii="宋体" w:hAnsi="宋体" w:cs="宋体"/>
                <w:b w:val="0"/>
                <w:bCs/>
                <w:color w:val="000000" w:themeColor="text1"/>
                <w:sz w:val="21"/>
                <w:szCs w:val="21"/>
                <w:lang w:val="en-US" w:eastAsia="zh-CN"/>
                <w14:textFill>
                  <w14:solidFill>
                    <w14:schemeClr w14:val="tx1"/>
                  </w14:solidFill>
                </w14:textFill>
              </w:rPr>
              <w:t>重大电力事故安全隐患判定单元</w:t>
            </w:r>
          </w:p>
        </w:tc>
        <w:tc>
          <w:tcPr>
            <w:tcW w:w="4326" w:type="dxa"/>
            <w:noWrap w:val="0"/>
            <w:vAlign w:val="center"/>
          </w:tcPr>
          <w:p w14:paraId="65C94091">
            <w:pPr>
              <w:pStyle w:val="27"/>
              <w:keepNext w:val="0"/>
              <w:keepLines w:val="0"/>
              <w:pageBreakBefore w:val="0"/>
              <w:widowControl w:val="0"/>
              <w:kinsoku/>
              <w:wordWrap/>
              <w:overflowPunct/>
              <w:topLinePunct w:val="0"/>
              <w:autoSpaceDE/>
              <w:autoSpaceDN/>
              <w:bidi w:val="0"/>
              <w:spacing w:line="360" w:lineRule="exact"/>
              <w:ind w:firstLine="0" w:firstLineChars="0"/>
              <w:textAlignment w:val="auto"/>
              <w:rPr>
                <w:rFonts w:hint="eastAsia" w:ascii="宋体" w:hAnsi="宋体" w:eastAsia="宋体" w:cs="宋体"/>
                <w:b w:val="0"/>
                <w:bCs/>
                <w:color w:val="000000" w:themeColor="text1"/>
                <w:sz w:val="21"/>
                <w:szCs w:val="21"/>
                <w14:textFill>
                  <w14:solidFill>
                    <w14:schemeClr w14:val="tx1"/>
                  </w14:solidFill>
                </w14:textFill>
              </w:rPr>
            </w:pPr>
            <w:r>
              <w:rPr>
                <w:rFonts w:hint="eastAsia" w:ascii="宋体" w:hAnsi="宋体" w:eastAsia="宋体" w:cs="宋体"/>
                <w:b w:val="0"/>
                <w:bCs/>
                <w:color w:val="000000" w:themeColor="text1"/>
                <w:sz w:val="21"/>
                <w:szCs w:val="21"/>
                <w14:textFill>
                  <w14:solidFill>
                    <w14:schemeClr w14:val="tx1"/>
                  </w14:solidFill>
                </w14:textFill>
              </w:rPr>
              <w:t>安全检查表</w:t>
            </w:r>
            <w:r>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t>法</w:t>
            </w:r>
          </w:p>
        </w:tc>
      </w:tr>
      <w:tr w14:paraId="75BF7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11" w:type="dxa"/>
            <w:noWrap w:val="0"/>
            <w:vAlign w:val="center"/>
          </w:tcPr>
          <w:p w14:paraId="6626CF79">
            <w:pPr>
              <w:pStyle w:val="28"/>
              <w:keepNext w:val="0"/>
              <w:keepLines w:val="0"/>
              <w:pageBreakBefore w:val="0"/>
              <w:widowControl w:val="0"/>
              <w:numPr>
                <w:ilvl w:val="0"/>
                <w:numId w:val="29"/>
              </w:numPr>
              <w:kinsoku/>
              <w:wordWrap/>
              <w:overflowPunct/>
              <w:topLinePunct w:val="0"/>
              <w:autoSpaceDE/>
              <w:autoSpaceDN/>
              <w:bidi w:val="0"/>
              <w:spacing w:line="480" w:lineRule="exact"/>
              <w:ind w:left="425" w:leftChars="0" w:hanging="425"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3242" w:type="dxa"/>
            <w:noWrap w:val="0"/>
            <w:vAlign w:val="center"/>
          </w:tcPr>
          <w:p w14:paraId="1D57D501">
            <w:pPr>
              <w:pStyle w:val="27"/>
              <w:keepNext w:val="0"/>
              <w:keepLines w:val="0"/>
              <w:pageBreakBefore w:val="0"/>
              <w:widowControl w:val="0"/>
              <w:kinsoku/>
              <w:wordWrap/>
              <w:overflowPunct/>
              <w:topLinePunct w:val="0"/>
              <w:autoSpaceDE/>
              <w:autoSpaceDN/>
              <w:bidi w:val="0"/>
              <w:spacing w:line="480" w:lineRule="exact"/>
              <w:ind w:firstLine="0" w:firstLineChars="0"/>
              <w:jc w:val="center"/>
              <w:textAlignment w:val="auto"/>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安全管理</w:t>
            </w:r>
            <w:r>
              <w:rPr>
                <w:rFonts w:hint="eastAsia" w:ascii="宋体" w:hAnsi="宋体" w:eastAsia="宋体" w:cs="宋体"/>
                <w:b w:val="0"/>
                <w:bCs/>
                <w:color w:val="000000" w:themeColor="text1"/>
                <w:sz w:val="21"/>
                <w:szCs w:val="21"/>
                <w14:textFill>
                  <w14:solidFill>
                    <w14:schemeClr w14:val="tx1"/>
                  </w14:solidFill>
                </w14:textFill>
              </w:rPr>
              <w:t>单元</w:t>
            </w:r>
          </w:p>
        </w:tc>
        <w:tc>
          <w:tcPr>
            <w:tcW w:w="4326" w:type="dxa"/>
            <w:noWrap w:val="0"/>
            <w:vAlign w:val="center"/>
          </w:tcPr>
          <w:p w14:paraId="28C13981">
            <w:pPr>
              <w:pStyle w:val="27"/>
              <w:keepNext w:val="0"/>
              <w:keepLines w:val="0"/>
              <w:pageBreakBefore w:val="0"/>
              <w:widowControl w:val="0"/>
              <w:kinsoku/>
              <w:wordWrap/>
              <w:overflowPunct/>
              <w:topLinePunct w:val="0"/>
              <w:autoSpaceDE/>
              <w:autoSpaceDN/>
              <w:bidi w:val="0"/>
              <w:spacing w:line="480" w:lineRule="exact"/>
              <w:ind w:firstLine="0" w:firstLineChars="0"/>
              <w:textAlignment w:val="auto"/>
              <w:rPr>
                <w:rFonts w:hint="eastAsia" w:ascii="宋体" w:hAnsi="宋体" w:eastAsia="宋体" w:cs="宋体"/>
                <w:b w:val="0"/>
                <w:bCs/>
                <w:color w:val="000000" w:themeColor="text1"/>
                <w:sz w:val="21"/>
                <w:szCs w:val="21"/>
                <w14:textFill>
                  <w14:solidFill>
                    <w14:schemeClr w14:val="tx1"/>
                  </w14:solidFill>
                </w14:textFill>
              </w:rPr>
            </w:pPr>
            <w:r>
              <w:rPr>
                <w:rFonts w:hint="eastAsia" w:ascii="宋体" w:hAnsi="宋体" w:eastAsia="宋体" w:cs="宋体"/>
                <w:b w:val="0"/>
                <w:bCs/>
                <w:color w:val="000000" w:themeColor="text1"/>
                <w:sz w:val="21"/>
                <w:szCs w:val="21"/>
                <w14:textFill>
                  <w14:solidFill>
                    <w14:schemeClr w14:val="tx1"/>
                  </w14:solidFill>
                </w14:textFill>
              </w:rPr>
              <w:t>安全检查表</w:t>
            </w:r>
            <w:r>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t>法</w:t>
            </w:r>
          </w:p>
        </w:tc>
      </w:tr>
    </w:tbl>
    <w:p w14:paraId="600B2DCF">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jc w:val="center"/>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73609EC3">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jc w:val="center"/>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6E356319">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jc w:val="center"/>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77BAA28B">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jc w:val="center"/>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1173DC33">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jc w:val="center"/>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69722556">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jc w:val="center"/>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2B11BAC1">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jc w:val="center"/>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6B1CAA65">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jc w:val="center"/>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09037AB6">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jc w:val="center"/>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0946353D">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jc w:val="center"/>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58052AA9">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jc w:val="center"/>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7069A142">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jc w:val="center"/>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176FA69C">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jc w:val="center"/>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0C8F3B3B">
      <w:pPr>
        <w:pStyle w:val="2"/>
        <w:keepNext w:val="0"/>
        <w:keepLines w:val="0"/>
        <w:pageBreakBefore w:val="0"/>
        <w:widowControl w:val="0"/>
        <w:tabs>
          <w:tab w:val="left" w:pos="0"/>
        </w:tabs>
        <w:kinsoku/>
        <w:wordWrap/>
        <w:overflowPunct/>
        <w:topLinePunct w:val="0"/>
        <w:autoSpaceDE/>
        <w:autoSpaceDN/>
        <w:bidi w:val="0"/>
        <w:adjustRightInd w:val="0"/>
        <w:snapToGrid w:val="0"/>
        <w:spacing w:line="480" w:lineRule="exact"/>
        <w:jc w:val="center"/>
        <w:textAlignment w:val="auto"/>
        <w:outlineLvl w:val="0"/>
        <w:rPr>
          <w:rFonts w:hint="eastAsia" w:ascii="宋体" w:hAnsi="宋体" w:eastAsia="宋体" w:cs="宋体"/>
          <w:color w:val="000000" w:themeColor="text1"/>
          <w:lang w:val="en-US" w:eastAsia="zh-CN"/>
          <w14:textFill>
            <w14:solidFill>
              <w14:schemeClr w14:val="tx1"/>
            </w14:solidFill>
          </w14:textFill>
        </w:rPr>
      </w:pPr>
    </w:p>
    <w:p w14:paraId="3825A917">
      <w:pPr>
        <w:pStyle w:val="2"/>
        <w:keepNext w:val="0"/>
        <w:keepLines w:val="0"/>
        <w:pageBreakBefore w:val="0"/>
        <w:widowControl w:val="0"/>
        <w:tabs>
          <w:tab w:val="left" w:pos="0"/>
        </w:tabs>
        <w:kinsoku/>
        <w:wordWrap/>
        <w:overflowPunct/>
        <w:topLinePunct w:val="0"/>
        <w:autoSpaceDE/>
        <w:autoSpaceDN/>
        <w:bidi w:val="0"/>
        <w:adjustRightInd w:val="0"/>
        <w:snapToGrid w:val="0"/>
        <w:spacing w:line="420" w:lineRule="exact"/>
        <w:jc w:val="center"/>
        <w:textAlignment w:val="auto"/>
        <w:outlineLvl w:val="0"/>
        <w:rPr>
          <w:rFonts w:hint="eastAsia" w:ascii="宋体" w:hAnsi="宋体" w:eastAsia="宋体" w:cs="宋体"/>
          <w:color w:val="000000" w:themeColor="text1"/>
          <w:lang w:val="en-US" w:eastAsia="zh-CN"/>
          <w14:textFill>
            <w14:solidFill>
              <w14:schemeClr w14:val="tx1"/>
            </w14:solidFill>
          </w14:textFill>
        </w:rPr>
      </w:pPr>
    </w:p>
    <w:p w14:paraId="7DCEF1D9">
      <w:pPr>
        <w:pStyle w:val="2"/>
        <w:keepNext w:val="0"/>
        <w:keepLines w:val="0"/>
        <w:pageBreakBefore w:val="0"/>
        <w:widowControl w:val="0"/>
        <w:tabs>
          <w:tab w:val="left" w:pos="0"/>
        </w:tabs>
        <w:kinsoku/>
        <w:wordWrap/>
        <w:overflowPunct/>
        <w:topLinePunct w:val="0"/>
        <w:autoSpaceDE/>
        <w:autoSpaceDN/>
        <w:bidi w:val="0"/>
        <w:adjustRightInd w:val="0"/>
        <w:snapToGrid w:val="0"/>
        <w:spacing w:line="420" w:lineRule="exact"/>
        <w:jc w:val="center"/>
        <w:textAlignment w:val="auto"/>
        <w:outlineLvl w:val="0"/>
        <w:rPr>
          <w:rFonts w:hint="default" w:ascii="宋体" w:hAnsi="宋体" w:eastAsia="宋体" w:cs="宋体"/>
          <w:color w:val="000000" w:themeColor="text1"/>
          <w:lang w:val="en-US" w:eastAsia="zh-CN"/>
          <w14:textFill>
            <w14:solidFill>
              <w14:schemeClr w14:val="tx1"/>
            </w14:solidFill>
          </w14:textFill>
        </w:rPr>
      </w:pPr>
      <w:bookmarkStart w:id="395" w:name="_Toc3615"/>
      <w:r>
        <w:rPr>
          <w:rFonts w:hint="eastAsia" w:ascii="宋体" w:hAnsi="宋体" w:eastAsia="宋体" w:cs="宋体"/>
          <w:color w:val="000000" w:themeColor="text1"/>
          <w:lang w:val="en-US" w:eastAsia="zh-CN"/>
          <w14:textFill>
            <w14:solidFill>
              <w14:schemeClr w14:val="tx1"/>
            </w14:solidFill>
          </w14:textFill>
        </w:rPr>
        <w:t>5 符合性评价和危险危害程度评价单元</w:t>
      </w:r>
      <w:bookmarkEnd w:id="395"/>
    </w:p>
    <w:p w14:paraId="40BE744B">
      <w:pPr>
        <w:pStyle w:val="3"/>
        <w:pageBreakBefore w:val="0"/>
        <w:widowControl w:val="0"/>
        <w:tabs>
          <w:tab w:val="left" w:pos="0"/>
        </w:tabs>
        <w:kinsoku/>
        <w:wordWrap/>
        <w:overflowPunct/>
        <w:topLinePunct w:val="0"/>
        <w:autoSpaceDE/>
        <w:autoSpaceDN/>
        <w:bidi w:val="0"/>
        <w:spacing w:line="420" w:lineRule="exact"/>
        <w:textAlignment w:val="auto"/>
        <w:rPr>
          <w:rFonts w:hint="eastAsia" w:ascii="宋体" w:hAnsi="宋体" w:eastAsia="宋体" w:cs="宋体"/>
          <w:color w:val="000000" w:themeColor="text1"/>
          <w:lang w:val="en-US" w:eastAsia="zh-CN"/>
          <w14:textFill>
            <w14:solidFill>
              <w14:schemeClr w14:val="tx1"/>
            </w14:solidFill>
          </w14:textFill>
        </w:rPr>
      </w:pPr>
      <w:bookmarkStart w:id="396" w:name="_Toc5947"/>
      <w:bookmarkStart w:id="397" w:name="_Toc28479"/>
      <w:bookmarkStart w:id="398" w:name="_Toc28275"/>
      <w:bookmarkStart w:id="399" w:name="_Toc21479"/>
      <w:r>
        <w:rPr>
          <w:rFonts w:hint="eastAsia" w:ascii="宋体" w:hAnsi="宋体" w:eastAsia="宋体" w:cs="宋体"/>
          <w:color w:val="000000" w:themeColor="text1"/>
          <w:lang w:val="en-US" w:eastAsia="zh-CN"/>
          <w14:textFill>
            <w14:solidFill>
              <w14:schemeClr w14:val="tx1"/>
            </w14:solidFill>
          </w14:textFill>
        </w:rPr>
        <w:t>5.1安全设施“三同时”程序单元</w:t>
      </w:r>
      <w:bookmarkEnd w:id="396"/>
      <w:bookmarkEnd w:id="397"/>
      <w:bookmarkEnd w:id="398"/>
      <w:bookmarkEnd w:id="399"/>
    </w:p>
    <w:p w14:paraId="56B7567D">
      <w:pPr>
        <w:pStyle w:val="4"/>
        <w:pageBreakBefore w:val="0"/>
        <w:widowControl w:val="0"/>
        <w:kinsoku/>
        <w:wordWrap/>
        <w:overflowPunct/>
        <w:topLinePunct w:val="0"/>
        <w:autoSpaceDE/>
        <w:autoSpaceDN/>
        <w:bidi w:val="0"/>
        <w:spacing w:line="420" w:lineRule="exact"/>
        <w:textAlignment w:val="auto"/>
        <w:rPr>
          <w:rFonts w:hint="default"/>
          <w:color w:val="000000" w:themeColor="text1"/>
          <w:lang w:val="en-US" w:eastAsia="zh-CN"/>
          <w14:textFill>
            <w14:solidFill>
              <w14:schemeClr w14:val="tx1"/>
            </w14:solidFill>
          </w14:textFill>
        </w:rPr>
      </w:pPr>
      <w:bookmarkStart w:id="400" w:name="_Toc23725"/>
      <w:r>
        <w:rPr>
          <w:rFonts w:hint="eastAsia" w:ascii="宋体" w:hAnsi="宋体" w:eastAsia="宋体" w:cs="宋体"/>
          <w:b/>
          <w:bCs w:val="0"/>
          <w:color w:val="000000" w:themeColor="text1"/>
          <w:sz w:val="30"/>
          <w:szCs w:val="30"/>
          <w:lang w:val="en-US" w:eastAsia="zh-CN"/>
          <w14:textFill>
            <w14:solidFill>
              <w14:schemeClr w14:val="tx1"/>
            </w14:solidFill>
          </w14:textFill>
        </w:rPr>
        <w:t>5.1.1安全设施“三同时”程序符合性评价</w:t>
      </w:r>
      <w:bookmarkEnd w:id="400"/>
    </w:p>
    <w:p w14:paraId="26DEC2A2">
      <w:pPr>
        <w:pStyle w:val="8"/>
        <w:keepNext w:val="0"/>
        <w:keepLines w:val="0"/>
        <w:pageBreakBefore w:val="0"/>
        <w:widowControl w:val="0"/>
        <w:kinsoku/>
        <w:wordWrap/>
        <w:overflowPunct/>
        <w:topLinePunct w:val="0"/>
        <w:autoSpaceDE/>
        <w:autoSpaceDN/>
        <w:bidi w:val="0"/>
        <w:adjustRightInd/>
        <w:snapToGrid/>
        <w:spacing w:line="420" w:lineRule="exact"/>
        <w:ind w:firstLine="568" w:firstLineChars="200"/>
        <w:jc w:val="both"/>
        <w:textAlignment w:val="auto"/>
        <w:rPr>
          <w:b w:val="0"/>
          <w:bCs/>
          <w:color w:val="000000" w:themeColor="text1"/>
          <w:sz w:val="28"/>
          <w:szCs w:val="28"/>
          <w14:textFill>
            <w14:solidFill>
              <w14:schemeClr w14:val="tx1"/>
            </w14:solidFill>
          </w14:textFill>
        </w:rPr>
      </w:pPr>
      <w:r>
        <w:rPr>
          <w:b w:val="0"/>
          <w:bCs/>
          <w:color w:val="000000" w:themeColor="text1"/>
          <w:spacing w:val="2"/>
          <w:sz w:val="28"/>
          <w:szCs w:val="28"/>
          <w14:textFill>
            <w14:solidFill>
              <w14:schemeClr w14:val="tx1"/>
            </w14:solidFill>
          </w14:textFill>
        </w:rPr>
        <w:t>根据《中华人民共和国安全生产法》《建设项目安全设施“三同时</w:t>
      </w:r>
      <w:r>
        <w:rPr>
          <w:b w:val="0"/>
          <w:bCs/>
          <w:color w:val="000000" w:themeColor="text1"/>
          <w:spacing w:val="-97"/>
          <w:sz w:val="28"/>
          <w:szCs w:val="28"/>
          <w14:textFill>
            <w14:solidFill>
              <w14:schemeClr w14:val="tx1"/>
            </w14:solidFill>
          </w14:textFill>
        </w:rPr>
        <w:t xml:space="preserve"> </w:t>
      </w:r>
      <w:r>
        <w:rPr>
          <w:b w:val="0"/>
          <w:bCs/>
          <w:color w:val="000000" w:themeColor="text1"/>
          <w:spacing w:val="2"/>
          <w:sz w:val="28"/>
          <w:szCs w:val="28"/>
          <w14:textFill>
            <w14:solidFill>
              <w14:schemeClr w14:val="tx1"/>
            </w14:solidFill>
          </w14:textFill>
        </w:rPr>
        <w:t>”监督</w:t>
      </w:r>
      <w:r>
        <w:rPr>
          <w:b w:val="0"/>
          <w:bCs/>
          <w:color w:val="000000" w:themeColor="text1"/>
          <w:spacing w:val="-2"/>
          <w:sz w:val="28"/>
          <w:szCs w:val="28"/>
          <w14:textFill>
            <w14:solidFill>
              <w14:schemeClr w14:val="tx1"/>
            </w14:solidFill>
          </w14:textFill>
        </w:rPr>
        <w:t>管理办法》（原国家安全生产监督管理总局令</w:t>
      </w:r>
      <w:r>
        <w:rPr>
          <w:b w:val="0"/>
          <w:bCs/>
          <w:color w:val="000000" w:themeColor="text1"/>
          <w:spacing w:val="-51"/>
          <w:sz w:val="28"/>
          <w:szCs w:val="28"/>
          <w14:textFill>
            <w14:solidFill>
              <w14:schemeClr w14:val="tx1"/>
            </w14:solidFill>
          </w14:textFill>
        </w:rPr>
        <w:t xml:space="preserve"> </w:t>
      </w:r>
      <w:r>
        <w:rPr>
          <w:b w:val="0"/>
          <w:bCs/>
          <w:color w:val="000000" w:themeColor="text1"/>
          <w:spacing w:val="-2"/>
          <w:sz w:val="28"/>
          <w:szCs w:val="28"/>
          <w14:textFill>
            <w14:solidFill>
              <w14:schemeClr w14:val="tx1"/>
            </w14:solidFill>
          </w14:textFill>
        </w:rPr>
        <w:t>36</w:t>
      </w:r>
      <w:r>
        <w:rPr>
          <w:b w:val="0"/>
          <w:bCs/>
          <w:color w:val="000000" w:themeColor="text1"/>
          <w:spacing w:val="-54"/>
          <w:sz w:val="28"/>
          <w:szCs w:val="28"/>
          <w14:textFill>
            <w14:solidFill>
              <w14:schemeClr w14:val="tx1"/>
            </w14:solidFill>
          </w14:textFill>
        </w:rPr>
        <w:t xml:space="preserve"> </w:t>
      </w:r>
      <w:r>
        <w:rPr>
          <w:b w:val="0"/>
          <w:bCs/>
          <w:color w:val="000000" w:themeColor="text1"/>
          <w:spacing w:val="-2"/>
          <w:sz w:val="28"/>
          <w:szCs w:val="28"/>
          <w14:textFill>
            <w14:solidFill>
              <w14:schemeClr w14:val="tx1"/>
            </w14:solidFill>
          </w14:textFill>
        </w:rPr>
        <w:t>号）的规定要求，采用安全检查表检查核实该电站建设项目是否满足“三同时</w:t>
      </w:r>
      <w:r>
        <w:rPr>
          <w:b w:val="0"/>
          <w:bCs/>
          <w:color w:val="000000" w:themeColor="text1"/>
          <w:spacing w:val="-91"/>
          <w:sz w:val="28"/>
          <w:szCs w:val="28"/>
          <w14:textFill>
            <w14:solidFill>
              <w14:schemeClr w14:val="tx1"/>
            </w14:solidFill>
          </w14:textFill>
        </w:rPr>
        <w:t xml:space="preserve"> </w:t>
      </w:r>
      <w:r>
        <w:rPr>
          <w:b w:val="0"/>
          <w:bCs/>
          <w:color w:val="000000" w:themeColor="text1"/>
          <w:spacing w:val="-2"/>
          <w:sz w:val="28"/>
          <w:szCs w:val="28"/>
          <w14:textFill>
            <w14:solidFill>
              <w14:schemeClr w14:val="tx1"/>
            </w14:solidFill>
          </w14:textFill>
        </w:rPr>
        <w:t>”要求的符合性检查。</w:t>
      </w:r>
    </w:p>
    <w:p w14:paraId="1CA3B6B3">
      <w:pPr>
        <w:pStyle w:val="8"/>
        <w:keepNext w:val="0"/>
        <w:keepLines w:val="0"/>
        <w:pageBreakBefore w:val="0"/>
        <w:widowControl w:val="0"/>
        <w:kinsoku/>
        <w:wordWrap/>
        <w:overflowPunct/>
        <w:topLinePunct w:val="0"/>
        <w:autoSpaceDE/>
        <w:autoSpaceDN/>
        <w:bidi w:val="0"/>
        <w:spacing w:line="420" w:lineRule="exact"/>
        <w:textAlignment w:val="auto"/>
        <w:rPr>
          <w:rFonts w:hint="eastAsia"/>
          <w:color w:val="000000" w:themeColor="text1"/>
          <w:lang w:val="en-US" w:eastAsia="zh-CN"/>
          <w14:textFill>
            <w14:solidFill>
              <w14:schemeClr w14:val="tx1"/>
            </w14:solidFill>
          </w14:textFill>
        </w:rPr>
      </w:pPr>
      <w:r>
        <w:rPr>
          <w:color w:val="000000" w:themeColor="text1"/>
          <w14:textFill>
            <w14:solidFill>
              <w14:schemeClr w14:val="tx1"/>
            </w14:solidFill>
          </w14:textFill>
        </w:rPr>
        <w:t>表</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SEQ 表 \* ARABIC \s 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法规符合性安全检查表</w:t>
      </w:r>
    </w:p>
    <w:tbl>
      <w:tblPr>
        <w:tblStyle w:val="2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8"/>
        <w:gridCol w:w="1732"/>
        <w:gridCol w:w="2761"/>
        <w:gridCol w:w="2298"/>
        <w:gridCol w:w="959"/>
        <w:gridCol w:w="825"/>
      </w:tblGrid>
      <w:tr w14:paraId="6088B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295" w:type="pct"/>
            <w:tcBorders>
              <w:top w:val="single" w:color="auto" w:sz="4" w:space="0"/>
              <w:left w:val="single" w:color="auto" w:sz="4" w:space="0"/>
              <w:bottom w:val="single" w:color="auto" w:sz="4" w:space="0"/>
              <w:right w:val="single" w:color="auto" w:sz="4" w:space="0"/>
            </w:tcBorders>
            <w:noWrap w:val="0"/>
            <w:vAlign w:val="center"/>
          </w:tcPr>
          <w:p w14:paraId="37EAEC9D">
            <w:pPr>
              <w:pStyle w:val="27"/>
              <w:keepNext w:val="0"/>
              <w:keepLines w:val="0"/>
              <w:pageBreakBefore w:val="0"/>
              <w:widowControl w:val="0"/>
              <w:kinsoku/>
              <w:wordWrap/>
              <w:overflowPunct/>
              <w:topLinePunct w:val="0"/>
              <w:autoSpaceDE/>
              <w:autoSpaceDN/>
              <w:bidi w:val="0"/>
              <w:spacing w:line="480" w:lineRule="exac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序号</w:t>
            </w:r>
          </w:p>
        </w:tc>
        <w:tc>
          <w:tcPr>
            <w:tcW w:w="950" w:type="pct"/>
            <w:tcBorders>
              <w:top w:val="single" w:color="auto" w:sz="4" w:space="0"/>
              <w:left w:val="single" w:color="auto" w:sz="4" w:space="0"/>
              <w:bottom w:val="single" w:color="auto" w:sz="4" w:space="0"/>
              <w:right w:val="single" w:color="auto" w:sz="4" w:space="0"/>
            </w:tcBorders>
            <w:noWrap w:val="0"/>
            <w:vAlign w:val="center"/>
          </w:tcPr>
          <w:p w14:paraId="63A71B84">
            <w:pPr>
              <w:pStyle w:val="27"/>
              <w:keepNext w:val="0"/>
              <w:keepLines w:val="0"/>
              <w:pageBreakBefore w:val="0"/>
              <w:widowControl w:val="0"/>
              <w:kinsoku/>
              <w:wordWrap/>
              <w:overflowPunct/>
              <w:topLinePunct w:val="0"/>
              <w:autoSpaceDE/>
              <w:autoSpaceDN/>
              <w:bidi w:val="0"/>
              <w:spacing w:line="480" w:lineRule="exac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检查内容</w:t>
            </w:r>
          </w:p>
        </w:tc>
        <w:tc>
          <w:tcPr>
            <w:tcW w:w="1514" w:type="pct"/>
            <w:tcBorders>
              <w:top w:val="single" w:color="auto" w:sz="4" w:space="0"/>
              <w:left w:val="single" w:color="auto" w:sz="4" w:space="0"/>
              <w:bottom w:val="single" w:color="auto" w:sz="4" w:space="0"/>
              <w:right w:val="single" w:color="auto" w:sz="4" w:space="0"/>
            </w:tcBorders>
            <w:noWrap w:val="0"/>
            <w:vAlign w:val="center"/>
          </w:tcPr>
          <w:p w14:paraId="2E76B6F1">
            <w:pPr>
              <w:pStyle w:val="27"/>
              <w:keepNext w:val="0"/>
              <w:keepLines w:val="0"/>
              <w:pageBreakBefore w:val="0"/>
              <w:widowControl w:val="0"/>
              <w:kinsoku/>
              <w:wordWrap/>
              <w:overflowPunct/>
              <w:topLinePunct w:val="0"/>
              <w:autoSpaceDE/>
              <w:autoSpaceDN/>
              <w:bidi w:val="0"/>
              <w:spacing w:line="480" w:lineRule="exac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依据标准</w:t>
            </w:r>
          </w:p>
        </w:tc>
        <w:tc>
          <w:tcPr>
            <w:tcW w:w="1260" w:type="pct"/>
            <w:tcBorders>
              <w:top w:val="single" w:color="auto" w:sz="4" w:space="0"/>
              <w:left w:val="single" w:color="auto" w:sz="4" w:space="0"/>
              <w:bottom w:val="single" w:color="auto" w:sz="4" w:space="0"/>
              <w:right w:val="single" w:color="auto" w:sz="4" w:space="0"/>
            </w:tcBorders>
            <w:noWrap w:val="0"/>
            <w:vAlign w:val="center"/>
          </w:tcPr>
          <w:p w14:paraId="77CE0235">
            <w:pPr>
              <w:pStyle w:val="27"/>
              <w:keepNext w:val="0"/>
              <w:keepLines w:val="0"/>
              <w:pageBreakBefore w:val="0"/>
              <w:widowControl w:val="0"/>
              <w:kinsoku/>
              <w:wordWrap/>
              <w:overflowPunct/>
              <w:topLinePunct w:val="0"/>
              <w:autoSpaceDE/>
              <w:autoSpaceDN/>
              <w:bidi w:val="0"/>
              <w:spacing w:line="480" w:lineRule="exac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检查情况</w:t>
            </w:r>
          </w:p>
        </w:tc>
        <w:tc>
          <w:tcPr>
            <w:tcW w:w="526" w:type="pct"/>
            <w:tcBorders>
              <w:top w:val="single" w:color="auto" w:sz="4" w:space="0"/>
              <w:left w:val="single" w:color="auto" w:sz="4" w:space="0"/>
              <w:bottom w:val="single" w:color="auto" w:sz="4" w:space="0"/>
              <w:right w:val="single" w:color="auto" w:sz="4" w:space="0"/>
            </w:tcBorders>
            <w:noWrap w:val="0"/>
            <w:vAlign w:val="center"/>
          </w:tcPr>
          <w:p w14:paraId="36B819FF">
            <w:pPr>
              <w:pStyle w:val="27"/>
              <w:keepNext w:val="0"/>
              <w:keepLines w:val="0"/>
              <w:pageBreakBefore w:val="0"/>
              <w:widowControl w:val="0"/>
              <w:kinsoku/>
              <w:wordWrap/>
              <w:overflowPunct/>
              <w:topLinePunct w:val="0"/>
              <w:autoSpaceDE/>
              <w:autoSpaceDN/>
              <w:bidi w:val="0"/>
              <w:spacing w:line="480" w:lineRule="exact"/>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检查</w:t>
            </w:r>
          </w:p>
          <w:p w14:paraId="4CCB67F3">
            <w:pPr>
              <w:pStyle w:val="27"/>
              <w:keepNext w:val="0"/>
              <w:keepLines w:val="0"/>
              <w:pageBreakBefore w:val="0"/>
              <w:widowControl w:val="0"/>
              <w:kinsoku/>
              <w:wordWrap/>
              <w:overflowPunct/>
              <w:topLinePunct w:val="0"/>
              <w:autoSpaceDE/>
              <w:autoSpaceDN/>
              <w:bidi w:val="0"/>
              <w:spacing w:line="480" w:lineRule="exact"/>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类别</w:t>
            </w:r>
          </w:p>
        </w:tc>
        <w:tc>
          <w:tcPr>
            <w:tcW w:w="45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DE66D52">
            <w:pPr>
              <w:pStyle w:val="27"/>
              <w:keepNext w:val="0"/>
              <w:keepLines w:val="0"/>
              <w:pageBreakBefore w:val="0"/>
              <w:widowControl w:val="0"/>
              <w:kinsoku/>
              <w:wordWrap/>
              <w:overflowPunct/>
              <w:topLinePunct w:val="0"/>
              <w:autoSpaceDE/>
              <w:autoSpaceDN/>
              <w:bidi w:val="0"/>
              <w:spacing w:line="480" w:lineRule="exact"/>
              <w:ind w:firstLine="0" w:firstLineChars="0"/>
              <w:textAlignment w:val="auto"/>
              <w:rPr>
                <w:rFonts w:hint="eastAsia" w:ascii="宋体" w:hAnsi="宋体" w:eastAsia="宋体" w:cs="宋体"/>
                <w:b/>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结论</w:t>
            </w:r>
          </w:p>
        </w:tc>
      </w:tr>
      <w:tr w14:paraId="31398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tcBorders>
              <w:top w:val="single" w:color="auto" w:sz="4" w:space="0"/>
              <w:left w:val="single" w:color="auto" w:sz="4" w:space="0"/>
              <w:bottom w:val="single" w:color="auto" w:sz="4" w:space="0"/>
              <w:right w:val="single" w:color="auto" w:sz="4" w:space="0"/>
            </w:tcBorders>
            <w:noWrap w:val="0"/>
            <w:vAlign w:val="center"/>
          </w:tcPr>
          <w:p w14:paraId="4850ECD9">
            <w:pPr>
              <w:pStyle w:val="28"/>
              <w:keepNext w:val="0"/>
              <w:keepLines w:val="0"/>
              <w:pageBreakBefore w:val="0"/>
              <w:widowControl w:val="0"/>
              <w:numPr>
                <w:ilvl w:val="0"/>
                <w:numId w:val="30"/>
              </w:numPr>
              <w:kinsoku/>
              <w:wordWrap/>
              <w:overflowPunct/>
              <w:topLinePunct w:val="0"/>
              <w:autoSpaceDE/>
              <w:autoSpaceDN/>
              <w:bidi w:val="0"/>
              <w:spacing w:line="480" w:lineRule="exact"/>
              <w:ind w:left="425" w:leftChars="0" w:hanging="425"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950" w:type="pct"/>
            <w:tcBorders>
              <w:top w:val="single" w:color="auto" w:sz="4" w:space="0"/>
              <w:left w:val="single" w:color="auto" w:sz="4" w:space="0"/>
              <w:bottom w:val="single" w:color="auto" w:sz="4" w:space="0"/>
              <w:right w:val="single" w:color="auto" w:sz="4" w:space="0"/>
            </w:tcBorders>
            <w:noWrap w:val="0"/>
            <w:vAlign w:val="center"/>
          </w:tcPr>
          <w:p w14:paraId="5A87DDAB">
            <w:pPr>
              <w:pStyle w:val="33"/>
              <w:keepNext w:val="0"/>
              <w:keepLines w:val="0"/>
              <w:pageBreakBefore w:val="0"/>
              <w:widowControl w:val="0"/>
              <w:kinsoku/>
              <w:wordWrap/>
              <w:overflowPunct/>
              <w:topLinePunct w:val="0"/>
              <w:autoSpaceDE/>
              <w:autoSpaceDN/>
              <w:bidi w:val="0"/>
              <w:spacing w:line="480" w:lineRule="exact"/>
              <w:ind w:left="0" w:leftChars="0"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sz w:val="21"/>
                <w:szCs w:val="21"/>
                <w14:textFill>
                  <w14:solidFill>
                    <w14:schemeClr w14:val="tx1"/>
                  </w14:solidFill>
                </w14:textFill>
              </w:rPr>
              <w:t>安</w:t>
            </w:r>
            <w:r>
              <w:rPr>
                <w:rFonts w:hint="eastAsia" w:ascii="宋体" w:hAnsi="宋体" w:eastAsia="宋体" w:cs="宋体"/>
                <w:color w:val="000000" w:themeColor="text1"/>
                <w:spacing w:val="-27"/>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全</w:t>
            </w:r>
            <w:r>
              <w:rPr>
                <w:rFonts w:hint="eastAsia" w:ascii="宋体" w:hAnsi="宋体" w:eastAsia="宋体" w:cs="宋体"/>
                <w:color w:val="000000" w:themeColor="text1"/>
                <w:spacing w:val="-28"/>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生</w:t>
            </w:r>
            <w:r>
              <w:rPr>
                <w:rFonts w:hint="eastAsia" w:ascii="宋体" w:hAnsi="宋体" w:eastAsia="宋体" w:cs="宋体"/>
                <w:color w:val="000000" w:themeColor="text1"/>
                <w:spacing w:val="-27"/>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产</w:t>
            </w:r>
            <w:r>
              <w:rPr>
                <w:rFonts w:hint="eastAsia" w:ascii="宋体" w:hAnsi="宋体" w:eastAsia="宋体" w:cs="宋体"/>
                <w:color w:val="000000" w:themeColor="text1"/>
                <w:sz w:val="21"/>
                <w:szCs w:val="21"/>
                <w14:textFill>
                  <w14:solidFill>
                    <w14:schemeClr w14:val="tx1"/>
                  </w14:solidFill>
                </w14:textFill>
              </w:rPr>
              <w:t xml:space="preserve"> 条</w:t>
            </w:r>
            <w:r>
              <w:rPr>
                <w:rFonts w:hint="eastAsia" w:ascii="宋体" w:hAnsi="宋体" w:eastAsia="宋体" w:cs="宋体"/>
                <w:color w:val="000000" w:themeColor="text1"/>
                <w:spacing w:val="-29"/>
                <w:sz w:val="21"/>
                <w:szCs w:val="21"/>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件</w:t>
            </w:r>
            <w:r>
              <w:rPr>
                <w:rFonts w:hint="eastAsia" w:ascii="宋体" w:hAnsi="宋体" w:eastAsia="宋体" w:cs="宋体"/>
                <w:color w:val="000000" w:themeColor="text1"/>
                <w:spacing w:val="-29"/>
                <w:sz w:val="21"/>
                <w:szCs w:val="21"/>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和</w:t>
            </w:r>
            <w:r>
              <w:rPr>
                <w:rFonts w:hint="eastAsia" w:ascii="宋体" w:hAnsi="宋体" w:eastAsia="宋体" w:cs="宋体"/>
                <w:color w:val="000000" w:themeColor="text1"/>
                <w:spacing w:val="-23"/>
                <w:sz w:val="21"/>
                <w:szCs w:val="21"/>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 xml:space="preserve">设 </w:t>
            </w:r>
            <w:r>
              <w:rPr>
                <w:rFonts w:hint="eastAsia" w:ascii="宋体" w:hAnsi="宋体" w:eastAsia="宋体" w:cs="宋体"/>
                <w:color w:val="000000" w:themeColor="text1"/>
                <w:spacing w:val="-1"/>
                <w:sz w:val="21"/>
                <w:szCs w:val="21"/>
                <w14:textFill>
                  <w14:solidFill>
                    <w14:schemeClr w14:val="tx1"/>
                  </w14:solidFill>
                </w14:textFill>
              </w:rPr>
              <w:t>施</w:t>
            </w:r>
            <w:r>
              <w:rPr>
                <w:rFonts w:hint="eastAsia" w:ascii="宋体" w:hAnsi="宋体" w:eastAsia="宋体" w:cs="宋体"/>
                <w:color w:val="000000" w:themeColor="text1"/>
                <w:spacing w:val="-24"/>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综</w:t>
            </w:r>
            <w:r>
              <w:rPr>
                <w:rFonts w:hint="eastAsia" w:ascii="宋体" w:hAnsi="宋体" w:eastAsia="宋体" w:cs="宋体"/>
                <w:color w:val="000000" w:themeColor="text1"/>
                <w:spacing w:val="-29"/>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合</w:t>
            </w:r>
            <w:r>
              <w:rPr>
                <w:rFonts w:hint="eastAsia" w:ascii="宋体" w:hAnsi="宋体" w:eastAsia="宋体" w:cs="宋体"/>
                <w:color w:val="000000" w:themeColor="text1"/>
                <w:spacing w:val="-24"/>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分</w:t>
            </w:r>
            <w:r>
              <w:rPr>
                <w:rFonts w:hint="eastAsia" w:ascii="宋体" w:hAnsi="宋体" w:eastAsia="宋体" w:cs="宋体"/>
                <w:color w:val="000000" w:themeColor="text1"/>
                <w:sz w:val="21"/>
                <w:szCs w:val="21"/>
                <w14:textFill>
                  <w14:solidFill>
                    <w14:schemeClr w14:val="tx1"/>
                  </w14:solidFill>
                </w14:textFill>
              </w:rPr>
              <w:t xml:space="preserve"> </w:t>
            </w:r>
            <w:r>
              <w:rPr>
                <w:rFonts w:hint="eastAsia" w:ascii="宋体" w:hAnsi="宋体" w:eastAsia="宋体" w:cs="宋体"/>
                <w:color w:val="000000" w:themeColor="text1"/>
                <w:spacing w:val="7"/>
                <w:sz w:val="21"/>
                <w:szCs w:val="21"/>
                <w14:textFill>
                  <w14:solidFill>
                    <w14:schemeClr w14:val="tx1"/>
                  </w14:solidFill>
                </w14:textFill>
              </w:rPr>
              <w:t>析报告</w:t>
            </w:r>
          </w:p>
        </w:tc>
        <w:tc>
          <w:tcPr>
            <w:tcW w:w="1514" w:type="pct"/>
            <w:tcBorders>
              <w:top w:val="single" w:color="auto" w:sz="4" w:space="0"/>
              <w:left w:val="single" w:color="auto" w:sz="4" w:space="0"/>
              <w:bottom w:val="single" w:color="auto" w:sz="4" w:space="0"/>
              <w:right w:val="single" w:color="auto" w:sz="4" w:space="0"/>
            </w:tcBorders>
            <w:noWrap w:val="0"/>
            <w:vAlign w:val="center"/>
          </w:tcPr>
          <w:p w14:paraId="03958816">
            <w:pPr>
              <w:pStyle w:val="33"/>
              <w:keepNext w:val="0"/>
              <w:keepLines w:val="0"/>
              <w:pageBreakBefore w:val="0"/>
              <w:widowControl w:val="0"/>
              <w:kinsoku/>
              <w:wordWrap/>
              <w:overflowPunct/>
              <w:topLinePunct w:val="0"/>
              <w:autoSpaceDE/>
              <w:autoSpaceDN/>
              <w:bidi w:val="0"/>
              <w:spacing w:line="480" w:lineRule="exact"/>
              <w:ind w:left="0" w:leftChars="0" w:right="0" w:rightChars="0" w:firstLine="0" w:firstLineChars="0"/>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《建设项目设施“三同时”监督管理办法》（国家安全生产监督管理总局令36号，国家安全生产监督管理总局令第77号修订）第九条</w:t>
            </w:r>
          </w:p>
        </w:tc>
        <w:tc>
          <w:tcPr>
            <w:tcW w:w="1260" w:type="pct"/>
            <w:tcBorders>
              <w:top w:val="single" w:color="auto" w:sz="4" w:space="0"/>
              <w:left w:val="single" w:color="auto" w:sz="4" w:space="0"/>
              <w:bottom w:val="single" w:color="auto" w:sz="4" w:space="0"/>
              <w:right w:val="single" w:color="auto" w:sz="4" w:space="0"/>
            </w:tcBorders>
            <w:noWrap w:val="0"/>
            <w:vAlign w:val="center"/>
          </w:tcPr>
          <w:p w14:paraId="23D662B6">
            <w:pPr>
              <w:pStyle w:val="33"/>
              <w:keepNext w:val="0"/>
              <w:keepLines w:val="0"/>
              <w:pageBreakBefore w:val="0"/>
              <w:widowControl w:val="0"/>
              <w:kinsoku/>
              <w:wordWrap/>
              <w:overflowPunct/>
              <w:topLinePunct w:val="0"/>
              <w:autoSpaceDE/>
              <w:autoSpaceDN/>
              <w:bidi w:val="0"/>
              <w:spacing w:line="480" w:lineRule="exact"/>
              <w:ind w:left="0" w:leftChars="0" w:firstLine="0" w:firstLineChars="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本项目编制可研究阶段时，企业2023年7月委托大理恒泰安全科技工程有限公司编制完成了安全生产条件和设施进行综合分析报告。</w:t>
            </w:r>
          </w:p>
        </w:tc>
        <w:tc>
          <w:tcPr>
            <w:tcW w:w="526" w:type="pct"/>
            <w:tcBorders>
              <w:top w:val="single" w:color="auto" w:sz="4" w:space="0"/>
              <w:left w:val="single" w:color="auto" w:sz="4" w:space="0"/>
              <w:bottom w:val="single" w:color="auto" w:sz="4" w:space="0"/>
              <w:right w:val="single" w:color="auto" w:sz="4" w:space="0"/>
            </w:tcBorders>
            <w:shd w:val="clear" w:color="auto" w:fill="auto"/>
            <w:noWrap w:val="0"/>
            <w:vAlign w:val="top"/>
          </w:tcPr>
          <w:p w14:paraId="2DC8DD7C">
            <w:pPr>
              <w:pageBreakBefore w:val="0"/>
              <w:widowControl w:val="0"/>
              <w:kinsoku/>
              <w:wordWrap/>
              <w:overflowPunct/>
              <w:topLinePunct w:val="0"/>
              <w:autoSpaceDE/>
              <w:autoSpaceDN/>
              <w:bidi w:val="0"/>
              <w:spacing w:line="480" w:lineRule="exact"/>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1668FEC1">
            <w:pPr>
              <w:pStyle w:val="26"/>
              <w:pageBreakBefore w:val="0"/>
              <w:widowControl w:val="0"/>
              <w:kinsoku/>
              <w:wordWrap/>
              <w:overflowPunct/>
              <w:topLinePunct w:val="0"/>
              <w:autoSpaceDE/>
              <w:autoSpaceDN/>
              <w:bidi w:val="0"/>
              <w:spacing w:before="65" w:line="480" w:lineRule="exact"/>
              <w:textAlignment w:val="auto"/>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一般项</w:t>
            </w:r>
          </w:p>
        </w:tc>
        <w:tc>
          <w:tcPr>
            <w:tcW w:w="45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2BF77DC">
            <w:pPr>
              <w:pStyle w:val="33"/>
              <w:keepNext w:val="0"/>
              <w:keepLines w:val="0"/>
              <w:pageBreakBefore w:val="0"/>
              <w:widowControl w:val="0"/>
              <w:kinsoku/>
              <w:wordWrap/>
              <w:overflowPunct/>
              <w:topLinePunct w:val="0"/>
              <w:autoSpaceDE/>
              <w:autoSpaceDN/>
              <w:bidi w:val="0"/>
              <w:spacing w:line="480" w:lineRule="exact"/>
              <w:ind w:left="0" w:leftChars="0" w:right="0" w:rightChars="0" w:firstLine="0" w:firstLineChars="0"/>
              <w:jc w:val="center"/>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符合</w:t>
            </w:r>
          </w:p>
        </w:tc>
      </w:tr>
      <w:tr w14:paraId="18E6D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tcBorders>
              <w:top w:val="single" w:color="auto" w:sz="4" w:space="0"/>
              <w:left w:val="single" w:color="auto" w:sz="4" w:space="0"/>
              <w:bottom w:val="single" w:color="auto" w:sz="4" w:space="0"/>
              <w:right w:val="single" w:color="auto" w:sz="4" w:space="0"/>
            </w:tcBorders>
            <w:noWrap w:val="0"/>
            <w:vAlign w:val="center"/>
          </w:tcPr>
          <w:p w14:paraId="7535B573">
            <w:pPr>
              <w:pStyle w:val="28"/>
              <w:keepNext w:val="0"/>
              <w:keepLines w:val="0"/>
              <w:pageBreakBefore w:val="0"/>
              <w:widowControl w:val="0"/>
              <w:numPr>
                <w:ilvl w:val="0"/>
                <w:numId w:val="30"/>
              </w:numPr>
              <w:kinsoku/>
              <w:wordWrap/>
              <w:overflowPunct/>
              <w:topLinePunct w:val="0"/>
              <w:autoSpaceDE/>
              <w:autoSpaceDN/>
              <w:bidi w:val="0"/>
              <w:spacing w:line="480" w:lineRule="exact"/>
              <w:ind w:left="425" w:leftChars="0" w:hanging="425"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950" w:type="pct"/>
            <w:tcBorders>
              <w:top w:val="single" w:color="auto" w:sz="4" w:space="0"/>
              <w:left w:val="single" w:color="auto" w:sz="4" w:space="0"/>
              <w:bottom w:val="single" w:color="auto" w:sz="4" w:space="0"/>
              <w:right w:val="single" w:color="auto" w:sz="4" w:space="0"/>
            </w:tcBorders>
            <w:noWrap w:val="0"/>
            <w:vAlign w:val="center"/>
          </w:tcPr>
          <w:p w14:paraId="0346828C">
            <w:pPr>
              <w:pStyle w:val="33"/>
              <w:keepNext w:val="0"/>
              <w:keepLines w:val="0"/>
              <w:pageBreakBefore w:val="0"/>
              <w:widowControl w:val="0"/>
              <w:kinsoku/>
              <w:wordWrap/>
              <w:overflowPunct/>
              <w:topLinePunct w:val="0"/>
              <w:autoSpaceDE/>
              <w:autoSpaceDN/>
              <w:bidi w:val="0"/>
              <w:spacing w:line="480" w:lineRule="exact"/>
              <w:ind w:left="0" w:leftChars="0"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安全设施设计</w:t>
            </w:r>
          </w:p>
        </w:tc>
        <w:tc>
          <w:tcPr>
            <w:tcW w:w="1514" w:type="pct"/>
            <w:tcBorders>
              <w:top w:val="single" w:color="auto" w:sz="4" w:space="0"/>
              <w:left w:val="single" w:color="auto" w:sz="4" w:space="0"/>
              <w:bottom w:val="single" w:color="auto" w:sz="4" w:space="0"/>
              <w:right w:val="single" w:color="auto" w:sz="4" w:space="0"/>
            </w:tcBorders>
            <w:noWrap w:val="0"/>
            <w:vAlign w:val="center"/>
          </w:tcPr>
          <w:p w14:paraId="25D0D643">
            <w:pPr>
              <w:pStyle w:val="33"/>
              <w:keepNext w:val="0"/>
              <w:keepLines w:val="0"/>
              <w:pageBreakBefore w:val="0"/>
              <w:widowControl w:val="0"/>
              <w:kinsoku/>
              <w:wordWrap/>
              <w:overflowPunct/>
              <w:topLinePunct w:val="0"/>
              <w:autoSpaceDE/>
              <w:autoSpaceDN/>
              <w:bidi w:val="0"/>
              <w:spacing w:line="480" w:lineRule="exact"/>
              <w:ind w:left="0" w:leftChars="0"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《建设项目设施“三同时”监督管理办法》（国家安全生产监督管理总局令36号，国家安全生产监督管理总局令第77号修订）第十条</w:t>
            </w:r>
          </w:p>
        </w:tc>
        <w:tc>
          <w:tcPr>
            <w:tcW w:w="1260" w:type="pct"/>
            <w:tcBorders>
              <w:top w:val="single" w:color="auto" w:sz="4" w:space="0"/>
              <w:left w:val="single" w:color="auto" w:sz="4" w:space="0"/>
              <w:bottom w:val="single" w:color="auto" w:sz="4" w:space="0"/>
              <w:right w:val="single" w:color="auto" w:sz="4" w:space="0"/>
            </w:tcBorders>
            <w:noWrap w:val="0"/>
            <w:vAlign w:val="center"/>
          </w:tcPr>
          <w:p w14:paraId="0AFC2B1D">
            <w:pPr>
              <w:pageBreakBefore w:val="0"/>
              <w:widowControl w:val="0"/>
              <w:kinsoku/>
              <w:wordWrap/>
              <w:overflowPunct/>
              <w:topLinePunct w:val="0"/>
              <w:autoSpaceDE/>
              <w:autoSpaceDN/>
              <w:bidi w:val="0"/>
              <w:spacing w:before="97" w:line="480" w:lineRule="exact"/>
              <w:ind w:left="0" w:leftChars="0" w:firstLine="0" w:firstLineChars="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2024年8月由中舜国际工程设计有限公司完成安全设施设计。</w:t>
            </w:r>
          </w:p>
        </w:tc>
        <w:tc>
          <w:tcPr>
            <w:tcW w:w="526" w:type="pct"/>
            <w:tcBorders>
              <w:top w:val="single" w:color="auto" w:sz="4" w:space="0"/>
              <w:left w:val="single" w:color="auto" w:sz="4" w:space="0"/>
              <w:bottom w:val="single" w:color="auto" w:sz="4" w:space="0"/>
              <w:right w:val="single" w:color="auto" w:sz="4" w:space="0"/>
            </w:tcBorders>
            <w:shd w:val="clear" w:color="auto" w:fill="auto"/>
            <w:noWrap w:val="0"/>
            <w:vAlign w:val="top"/>
          </w:tcPr>
          <w:p w14:paraId="54FFF007">
            <w:pPr>
              <w:pageBreakBefore w:val="0"/>
              <w:widowControl w:val="0"/>
              <w:kinsoku/>
              <w:wordWrap/>
              <w:overflowPunct/>
              <w:topLinePunct w:val="0"/>
              <w:autoSpaceDE/>
              <w:autoSpaceDN/>
              <w:bidi w:val="0"/>
              <w:spacing w:before="97" w:line="480" w:lineRule="exact"/>
              <w:ind w:left="0" w:leftChars="0" w:firstLine="0" w:firstLineChars="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0712FAFB">
            <w:pPr>
              <w:pageBreakBefore w:val="0"/>
              <w:widowControl w:val="0"/>
              <w:kinsoku/>
              <w:wordWrap/>
              <w:overflowPunct/>
              <w:topLinePunct w:val="0"/>
              <w:autoSpaceDE/>
              <w:autoSpaceDN/>
              <w:bidi w:val="0"/>
              <w:spacing w:before="97" w:line="480" w:lineRule="exact"/>
              <w:ind w:left="0" w:leftChars="0" w:firstLine="0" w:firstLineChars="0"/>
              <w:textAlignment w:val="auto"/>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否决项</w:t>
            </w:r>
          </w:p>
        </w:tc>
        <w:tc>
          <w:tcPr>
            <w:tcW w:w="45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1217526">
            <w:pPr>
              <w:pageBreakBefore w:val="0"/>
              <w:widowControl w:val="0"/>
              <w:kinsoku/>
              <w:wordWrap/>
              <w:overflowPunct/>
              <w:topLinePunct w:val="0"/>
              <w:autoSpaceDE/>
              <w:autoSpaceDN/>
              <w:bidi w:val="0"/>
              <w:spacing w:before="97" w:line="480" w:lineRule="exact"/>
              <w:ind w:left="0" w:leftChars="0" w:firstLine="0" w:firstLineChars="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符合</w:t>
            </w:r>
          </w:p>
        </w:tc>
      </w:tr>
      <w:tr w14:paraId="3B1B9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tcBorders>
              <w:top w:val="single" w:color="auto" w:sz="4" w:space="0"/>
              <w:left w:val="single" w:color="auto" w:sz="4" w:space="0"/>
              <w:bottom w:val="single" w:color="auto" w:sz="4" w:space="0"/>
              <w:right w:val="single" w:color="auto" w:sz="4" w:space="0"/>
            </w:tcBorders>
            <w:noWrap w:val="0"/>
            <w:vAlign w:val="center"/>
          </w:tcPr>
          <w:p w14:paraId="183D49FB">
            <w:pPr>
              <w:pStyle w:val="28"/>
              <w:keepNext w:val="0"/>
              <w:keepLines w:val="0"/>
              <w:pageBreakBefore w:val="0"/>
              <w:widowControl w:val="0"/>
              <w:numPr>
                <w:ilvl w:val="0"/>
                <w:numId w:val="30"/>
              </w:numPr>
              <w:kinsoku/>
              <w:wordWrap/>
              <w:overflowPunct/>
              <w:topLinePunct w:val="0"/>
              <w:autoSpaceDE/>
              <w:autoSpaceDN/>
              <w:bidi w:val="0"/>
              <w:spacing w:line="480" w:lineRule="exact"/>
              <w:ind w:left="425" w:leftChars="0" w:hanging="425"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950" w:type="pct"/>
            <w:tcBorders>
              <w:top w:val="single" w:color="auto" w:sz="4" w:space="0"/>
              <w:left w:val="single" w:color="auto" w:sz="4" w:space="0"/>
              <w:bottom w:val="single" w:color="auto" w:sz="4" w:space="0"/>
              <w:right w:val="single" w:color="auto" w:sz="4" w:space="0"/>
            </w:tcBorders>
            <w:noWrap w:val="0"/>
            <w:vAlign w:val="center"/>
          </w:tcPr>
          <w:p w14:paraId="165D6CC2">
            <w:pPr>
              <w:pStyle w:val="33"/>
              <w:keepNext w:val="0"/>
              <w:keepLines w:val="0"/>
              <w:pageBreakBefore w:val="0"/>
              <w:widowControl w:val="0"/>
              <w:kinsoku/>
              <w:wordWrap/>
              <w:overflowPunct/>
              <w:topLinePunct w:val="0"/>
              <w:autoSpaceDE/>
              <w:autoSpaceDN/>
              <w:bidi w:val="0"/>
              <w:spacing w:line="480" w:lineRule="exact"/>
              <w:ind w:left="0" w:leftChars="0"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施</w:t>
            </w:r>
            <w:r>
              <w:rPr>
                <w:rFonts w:hint="eastAsia" w:ascii="宋体" w:hAnsi="宋体" w:eastAsia="宋体" w:cs="宋体"/>
                <w:color w:val="000000" w:themeColor="text1"/>
                <w:spacing w:val="-23"/>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工</w:t>
            </w:r>
            <w:r>
              <w:rPr>
                <w:rFonts w:hint="eastAsia" w:ascii="宋体" w:hAnsi="宋体" w:eastAsia="宋体" w:cs="宋体"/>
                <w:color w:val="000000" w:themeColor="text1"/>
                <w:spacing w:val="-24"/>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总</w:t>
            </w:r>
            <w:r>
              <w:rPr>
                <w:rFonts w:hint="eastAsia" w:ascii="宋体" w:hAnsi="宋体" w:eastAsia="宋体" w:cs="宋体"/>
                <w:color w:val="000000" w:themeColor="text1"/>
                <w:spacing w:val="-22"/>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结</w:t>
            </w:r>
            <w:r>
              <w:rPr>
                <w:rFonts w:hint="eastAsia" w:ascii="宋体" w:hAnsi="宋体" w:eastAsia="宋体" w:cs="宋体"/>
                <w:color w:val="000000" w:themeColor="text1"/>
                <w:sz w:val="21"/>
                <w:szCs w:val="21"/>
                <w14:textFill>
                  <w14:solidFill>
                    <w14:schemeClr w14:val="tx1"/>
                  </w14:solidFill>
                </w14:textFill>
              </w:rPr>
              <w:t xml:space="preserve"> </w:t>
            </w:r>
            <w:r>
              <w:rPr>
                <w:rFonts w:hint="eastAsia" w:ascii="宋体" w:hAnsi="宋体" w:eastAsia="宋体" w:cs="宋体"/>
                <w:color w:val="000000" w:themeColor="text1"/>
                <w:spacing w:val="5"/>
                <w:sz w:val="21"/>
                <w:szCs w:val="21"/>
                <w14:textFill>
                  <w14:solidFill>
                    <w14:schemeClr w14:val="tx1"/>
                  </w14:solidFill>
                </w14:textFill>
              </w:rPr>
              <w:t>报告</w:t>
            </w:r>
          </w:p>
        </w:tc>
        <w:tc>
          <w:tcPr>
            <w:tcW w:w="1514" w:type="pct"/>
            <w:tcBorders>
              <w:top w:val="single" w:color="auto" w:sz="4" w:space="0"/>
              <w:left w:val="single" w:color="auto" w:sz="4" w:space="0"/>
              <w:bottom w:val="single" w:color="auto" w:sz="4" w:space="0"/>
              <w:right w:val="single" w:color="auto" w:sz="4" w:space="0"/>
            </w:tcBorders>
            <w:noWrap w:val="0"/>
            <w:vAlign w:val="center"/>
          </w:tcPr>
          <w:p w14:paraId="247F47C9">
            <w:pPr>
              <w:pStyle w:val="33"/>
              <w:keepNext w:val="0"/>
              <w:keepLines w:val="0"/>
              <w:pageBreakBefore w:val="0"/>
              <w:widowControl w:val="0"/>
              <w:kinsoku/>
              <w:wordWrap/>
              <w:overflowPunct/>
              <w:topLinePunct w:val="0"/>
              <w:autoSpaceDE/>
              <w:autoSpaceDN/>
              <w:bidi w:val="0"/>
              <w:spacing w:line="480" w:lineRule="exact"/>
              <w:ind w:left="0" w:leftChars="0"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《建设项目设施“三同时”监督管理办法》（国家安全生产监督管理总局令36号，国家安全生产监督管理总局令第77号修订）第十七条</w:t>
            </w:r>
          </w:p>
        </w:tc>
        <w:tc>
          <w:tcPr>
            <w:tcW w:w="1260" w:type="pct"/>
            <w:tcBorders>
              <w:top w:val="single" w:color="auto" w:sz="4" w:space="0"/>
              <w:left w:val="single" w:color="auto" w:sz="4" w:space="0"/>
              <w:bottom w:val="single" w:color="auto" w:sz="4" w:space="0"/>
              <w:right w:val="single" w:color="auto" w:sz="4" w:space="0"/>
            </w:tcBorders>
            <w:noWrap w:val="0"/>
            <w:vAlign w:val="center"/>
          </w:tcPr>
          <w:p w14:paraId="61E8EB7A">
            <w:pPr>
              <w:pStyle w:val="33"/>
              <w:keepNext w:val="0"/>
              <w:keepLines w:val="0"/>
              <w:pageBreakBefore w:val="0"/>
              <w:widowControl w:val="0"/>
              <w:kinsoku/>
              <w:wordWrap/>
              <w:overflowPunct/>
              <w:topLinePunct w:val="0"/>
              <w:autoSpaceDE/>
              <w:autoSpaceDN/>
              <w:bidi w:val="0"/>
              <w:spacing w:line="480" w:lineRule="exact"/>
              <w:ind w:left="0" w:leftChars="0" w:firstLine="0" w:firstLineChars="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施工单位：中国水利水电第九工程局有限公司。电力工程施工总承包</w:t>
            </w:r>
            <w:r>
              <w:rPr>
                <w:rFonts w:hint="eastAsia" w:ascii="宋体" w:hAnsi="宋体" w:cs="宋体"/>
                <w:color w:val="000000" w:themeColor="text1"/>
                <w:kern w:val="2"/>
                <w:sz w:val="21"/>
                <w:szCs w:val="21"/>
                <w:lang w:val="en-US" w:eastAsia="zh-CN" w:bidi="ar-SA"/>
                <w14:textFill>
                  <w14:solidFill>
                    <w14:schemeClr w14:val="tx1"/>
                  </w14:solidFill>
                </w14:textFill>
              </w:rPr>
              <w:t>壹</w:t>
            </w:r>
            <w:r>
              <w:rPr>
                <w:rFonts w:hint="eastAsia" w:ascii="宋体" w:hAnsi="宋体" w:eastAsia="宋体" w:cs="宋体"/>
                <w:color w:val="000000" w:themeColor="text1"/>
                <w:kern w:val="2"/>
                <w:sz w:val="21"/>
                <w:szCs w:val="21"/>
                <w:lang w:val="en-US" w:eastAsia="zh-CN" w:bidi="ar-SA"/>
                <w14:textFill>
                  <w14:solidFill>
                    <w14:schemeClr w14:val="tx1"/>
                  </w14:solidFill>
                </w14:textFill>
              </w:rPr>
              <w:t>级。</w:t>
            </w:r>
          </w:p>
        </w:tc>
        <w:tc>
          <w:tcPr>
            <w:tcW w:w="526" w:type="pct"/>
            <w:tcBorders>
              <w:top w:val="single" w:color="auto" w:sz="4" w:space="0"/>
              <w:left w:val="single" w:color="auto" w:sz="4" w:space="0"/>
              <w:bottom w:val="single" w:color="auto" w:sz="4" w:space="0"/>
              <w:right w:val="single" w:color="auto" w:sz="4" w:space="0"/>
            </w:tcBorders>
            <w:shd w:val="clear" w:color="auto" w:fill="auto"/>
            <w:noWrap w:val="0"/>
            <w:vAlign w:val="top"/>
          </w:tcPr>
          <w:p w14:paraId="1AF3AD82">
            <w:pPr>
              <w:pageBreakBefore w:val="0"/>
              <w:widowControl w:val="0"/>
              <w:kinsoku/>
              <w:wordWrap/>
              <w:overflowPunct/>
              <w:topLinePunct w:val="0"/>
              <w:autoSpaceDE/>
              <w:autoSpaceDN/>
              <w:bidi w:val="0"/>
              <w:spacing w:line="480" w:lineRule="exact"/>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3BDF84F3">
            <w:pPr>
              <w:pageBreakBefore w:val="0"/>
              <w:widowControl w:val="0"/>
              <w:kinsoku/>
              <w:wordWrap/>
              <w:overflowPunct/>
              <w:topLinePunct w:val="0"/>
              <w:autoSpaceDE/>
              <w:autoSpaceDN/>
              <w:bidi w:val="0"/>
              <w:spacing w:line="480" w:lineRule="exact"/>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74DCDC7C">
            <w:pPr>
              <w:pStyle w:val="26"/>
              <w:pageBreakBefore w:val="0"/>
              <w:widowControl w:val="0"/>
              <w:kinsoku/>
              <w:wordWrap/>
              <w:overflowPunct/>
              <w:topLinePunct w:val="0"/>
              <w:autoSpaceDE/>
              <w:autoSpaceDN/>
              <w:bidi w:val="0"/>
              <w:spacing w:before="65" w:line="480" w:lineRule="exact"/>
              <w:textAlignment w:val="auto"/>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否决项</w:t>
            </w:r>
          </w:p>
        </w:tc>
        <w:tc>
          <w:tcPr>
            <w:tcW w:w="45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41A0301">
            <w:pPr>
              <w:pStyle w:val="33"/>
              <w:keepNext w:val="0"/>
              <w:keepLines w:val="0"/>
              <w:pageBreakBefore w:val="0"/>
              <w:widowControl w:val="0"/>
              <w:kinsoku/>
              <w:wordWrap/>
              <w:overflowPunct/>
              <w:topLinePunct w:val="0"/>
              <w:autoSpaceDE/>
              <w:autoSpaceDN/>
              <w:bidi w:val="0"/>
              <w:spacing w:line="480" w:lineRule="exact"/>
              <w:ind w:left="0" w:leftChars="0" w:right="0" w:rightChars="0" w:firstLine="0" w:firstLineChars="0"/>
              <w:jc w:val="center"/>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符合</w:t>
            </w:r>
          </w:p>
        </w:tc>
      </w:tr>
      <w:tr w14:paraId="2FACF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tcBorders>
              <w:top w:val="single" w:color="auto" w:sz="4" w:space="0"/>
              <w:left w:val="single" w:color="auto" w:sz="4" w:space="0"/>
              <w:bottom w:val="single" w:color="auto" w:sz="4" w:space="0"/>
              <w:right w:val="single" w:color="auto" w:sz="4" w:space="0"/>
            </w:tcBorders>
            <w:noWrap w:val="0"/>
            <w:vAlign w:val="center"/>
          </w:tcPr>
          <w:p w14:paraId="36E7FE7F">
            <w:pPr>
              <w:pStyle w:val="28"/>
              <w:keepNext w:val="0"/>
              <w:keepLines w:val="0"/>
              <w:pageBreakBefore w:val="0"/>
              <w:widowControl w:val="0"/>
              <w:numPr>
                <w:ilvl w:val="0"/>
                <w:numId w:val="30"/>
              </w:numPr>
              <w:kinsoku/>
              <w:wordWrap/>
              <w:overflowPunct/>
              <w:topLinePunct w:val="0"/>
              <w:autoSpaceDE/>
              <w:autoSpaceDN/>
              <w:bidi w:val="0"/>
              <w:spacing w:line="480" w:lineRule="exact"/>
              <w:ind w:left="425" w:leftChars="0" w:hanging="425"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950" w:type="pct"/>
            <w:tcBorders>
              <w:top w:val="single" w:color="auto" w:sz="4" w:space="0"/>
              <w:left w:val="single" w:color="auto" w:sz="4" w:space="0"/>
              <w:bottom w:val="single" w:color="auto" w:sz="4" w:space="0"/>
              <w:right w:val="single" w:color="auto" w:sz="4" w:space="0"/>
            </w:tcBorders>
            <w:noWrap w:val="0"/>
            <w:vAlign w:val="center"/>
          </w:tcPr>
          <w:p w14:paraId="0642600F">
            <w:pPr>
              <w:pStyle w:val="33"/>
              <w:keepNext w:val="0"/>
              <w:keepLines w:val="0"/>
              <w:pageBreakBefore w:val="0"/>
              <w:widowControl w:val="0"/>
              <w:kinsoku/>
              <w:wordWrap/>
              <w:overflowPunct/>
              <w:topLinePunct w:val="0"/>
              <w:autoSpaceDE/>
              <w:autoSpaceDN/>
              <w:bidi w:val="0"/>
              <w:spacing w:line="480" w:lineRule="exact"/>
              <w:ind w:left="0" w:leftChars="0"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sz w:val="21"/>
                <w:szCs w:val="21"/>
                <w14:textFill>
                  <w14:solidFill>
                    <w14:schemeClr w14:val="tx1"/>
                  </w14:solidFill>
                </w14:textFill>
              </w:rPr>
              <w:t>监</w:t>
            </w:r>
            <w:r>
              <w:rPr>
                <w:rFonts w:hint="eastAsia" w:ascii="宋体" w:hAnsi="宋体" w:eastAsia="宋体" w:cs="宋体"/>
                <w:color w:val="000000" w:themeColor="text1"/>
                <w:spacing w:val="-25"/>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理</w:t>
            </w:r>
            <w:r>
              <w:rPr>
                <w:rFonts w:hint="eastAsia" w:ascii="宋体" w:hAnsi="宋体" w:eastAsia="宋体" w:cs="宋体"/>
                <w:color w:val="000000" w:themeColor="text1"/>
                <w:spacing w:val="-28"/>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工</w:t>
            </w:r>
            <w:r>
              <w:rPr>
                <w:rFonts w:hint="eastAsia" w:ascii="宋体" w:hAnsi="宋体" w:eastAsia="宋体" w:cs="宋体"/>
                <w:color w:val="000000" w:themeColor="text1"/>
                <w:spacing w:val="-26"/>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作</w:t>
            </w:r>
            <w:r>
              <w:rPr>
                <w:rFonts w:hint="eastAsia" w:ascii="宋体" w:hAnsi="宋体" w:eastAsia="宋体" w:cs="宋体"/>
                <w:color w:val="000000" w:themeColor="text1"/>
                <w:sz w:val="21"/>
                <w:szCs w:val="21"/>
                <w14:textFill>
                  <w14:solidFill>
                    <w14:schemeClr w14:val="tx1"/>
                  </w14:solidFill>
                </w14:textFill>
              </w:rPr>
              <w:t xml:space="preserve"> </w:t>
            </w:r>
            <w:r>
              <w:rPr>
                <w:rFonts w:hint="eastAsia" w:ascii="宋体" w:hAnsi="宋体" w:eastAsia="宋体" w:cs="宋体"/>
                <w:color w:val="000000" w:themeColor="text1"/>
                <w:spacing w:val="5"/>
                <w:sz w:val="21"/>
                <w:szCs w:val="21"/>
                <w14:textFill>
                  <w14:solidFill>
                    <w14:schemeClr w14:val="tx1"/>
                  </w14:solidFill>
                </w14:textFill>
              </w:rPr>
              <w:t>总结报告</w:t>
            </w:r>
          </w:p>
        </w:tc>
        <w:tc>
          <w:tcPr>
            <w:tcW w:w="1514" w:type="pct"/>
            <w:tcBorders>
              <w:top w:val="single" w:color="auto" w:sz="4" w:space="0"/>
              <w:left w:val="single" w:color="auto" w:sz="4" w:space="0"/>
              <w:bottom w:val="single" w:color="auto" w:sz="4" w:space="0"/>
              <w:right w:val="single" w:color="auto" w:sz="4" w:space="0"/>
            </w:tcBorders>
            <w:noWrap w:val="0"/>
            <w:vAlign w:val="center"/>
          </w:tcPr>
          <w:p w14:paraId="045520E4">
            <w:pPr>
              <w:pStyle w:val="33"/>
              <w:keepNext w:val="0"/>
              <w:keepLines w:val="0"/>
              <w:pageBreakBefore w:val="0"/>
              <w:widowControl w:val="0"/>
              <w:kinsoku/>
              <w:wordWrap/>
              <w:overflowPunct/>
              <w:topLinePunct w:val="0"/>
              <w:autoSpaceDE/>
              <w:autoSpaceDN/>
              <w:bidi w:val="0"/>
              <w:spacing w:line="480" w:lineRule="exact"/>
              <w:ind w:left="0" w:leftChars="0"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《建设项目设施“三同时”监督管理办法》（国家安全生产监督管理总局令36号，国家安全生产监督管理总局令第77号修订）第</w:t>
            </w:r>
            <w:r>
              <w:rPr>
                <w:rFonts w:hint="eastAsia" w:ascii="宋体" w:hAnsi="宋体" w:eastAsia="宋体" w:cs="宋体"/>
                <w:color w:val="000000" w:themeColor="text1"/>
                <w:sz w:val="21"/>
                <w:szCs w:val="21"/>
                <w:lang w:val="en-US" w:eastAsia="zh-CN"/>
                <w14:textFill>
                  <w14:solidFill>
                    <w14:schemeClr w14:val="tx1"/>
                  </w14:solidFill>
                </w14:textFill>
              </w:rPr>
              <w:t>二十条</w:t>
            </w:r>
          </w:p>
        </w:tc>
        <w:tc>
          <w:tcPr>
            <w:tcW w:w="1260" w:type="pct"/>
            <w:tcBorders>
              <w:top w:val="single" w:color="auto" w:sz="4" w:space="0"/>
              <w:left w:val="single" w:color="auto" w:sz="4" w:space="0"/>
              <w:bottom w:val="single" w:color="auto" w:sz="4" w:space="0"/>
              <w:right w:val="single" w:color="auto" w:sz="4" w:space="0"/>
            </w:tcBorders>
            <w:noWrap w:val="0"/>
            <w:vAlign w:val="center"/>
          </w:tcPr>
          <w:p w14:paraId="08266CF9">
            <w:pPr>
              <w:pStyle w:val="33"/>
              <w:keepNext w:val="0"/>
              <w:keepLines w:val="0"/>
              <w:pageBreakBefore w:val="0"/>
              <w:widowControl w:val="0"/>
              <w:kinsoku/>
              <w:wordWrap/>
              <w:overflowPunct/>
              <w:topLinePunct w:val="0"/>
              <w:autoSpaceDE/>
              <w:autoSpaceDN/>
              <w:bidi w:val="0"/>
              <w:spacing w:line="480" w:lineRule="exact"/>
              <w:ind w:firstLine="228" w:firstLineChars="10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pacing w:val="9"/>
                <w:sz w:val="21"/>
                <w:szCs w:val="21"/>
                <w14:textFill>
                  <w14:solidFill>
                    <w14:schemeClr w14:val="tx1"/>
                  </w14:solidFill>
                </w14:textFill>
              </w:rPr>
              <w:t>由江西同济建设项目管理股份有限公司</w:t>
            </w:r>
            <w:r>
              <w:rPr>
                <w:rFonts w:hint="eastAsia" w:ascii="宋体" w:hAnsi="宋体" w:eastAsia="宋体" w:cs="宋体"/>
                <w:color w:val="000000" w:themeColor="text1"/>
                <w:spacing w:val="11"/>
                <w:sz w:val="21"/>
                <w:szCs w:val="21"/>
                <w14:textFill>
                  <w14:solidFill>
                    <w14:schemeClr w14:val="tx1"/>
                  </w14:solidFill>
                </w14:textFill>
              </w:rPr>
              <w:t>负责监理工作。江西同济建设项目管理股份有限公司。对施工质量严格控制，提供有监</w:t>
            </w:r>
            <w:r>
              <w:rPr>
                <w:rFonts w:hint="eastAsia" w:ascii="宋体" w:hAnsi="宋体" w:eastAsia="宋体" w:cs="宋体"/>
                <w:color w:val="000000" w:themeColor="text1"/>
                <w:spacing w:val="6"/>
                <w:sz w:val="21"/>
                <w:szCs w:val="21"/>
                <w14:textFill>
                  <w14:solidFill>
                    <w14:schemeClr w14:val="tx1"/>
                  </w14:solidFill>
                </w14:textFill>
              </w:rPr>
              <w:t>理总结报告。</w:t>
            </w:r>
          </w:p>
        </w:tc>
        <w:tc>
          <w:tcPr>
            <w:tcW w:w="526" w:type="pct"/>
            <w:tcBorders>
              <w:top w:val="single" w:color="auto" w:sz="4" w:space="0"/>
              <w:left w:val="single" w:color="auto" w:sz="4" w:space="0"/>
              <w:bottom w:val="single" w:color="auto" w:sz="4" w:space="0"/>
              <w:right w:val="single" w:color="auto" w:sz="4" w:space="0"/>
            </w:tcBorders>
            <w:shd w:val="clear" w:color="auto" w:fill="auto"/>
            <w:noWrap w:val="0"/>
            <w:vAlign w:val="top"/>
          </w:tcPr>
          <w:p w14:paraId="0CD6AC91">
            <w:pPr>
              <w:pageBreakBefore w:val="0"/>
              <w:widowControl w:val="0"/>
              <w:kinsoku/>
              <w:wordWrap/>
              <w:overflowPunct/>
              <w:topLinePunct w:val="0"/>
              <w:autoSpaceDE/>
              <w:autoSpaceDN/>
              <w:bidi w:val="0"/>
              <w:spacing w:line="480" w:lineRule="exact"/>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283CF1C9">
            <w:pPr>
              <w:pStyle w:val="26"/>
              <w:pageBreakBefore w:val="0"/>
              <w:widowControl w:val="0"/>
              <w:kinsoku/>
              <w:wordWrap/>
              <w:overflowPunct/>
              <w:topLinePunct w:val="0"/>
              <w:autoSpaceDE/>
              <w:autoSpaceDN/>
              <w:bidi w:val="0"/>
              <w:spacing w:before="65" w:line="480" w:lineRule="exact"/>
              <w:textAlignment w:val="auto"/>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一般项</w:t>
            </w:r>
          </w:p>
        </w:tc>
        <w:tc>
          <w:tcPr>
            <w:tcW w:w="45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3275022">
            <w:pPr>
              <w:pStyle w:val="33"/>
              <w:keepNext w:val="0"/>
              <w:keepLines w:val="0"/>
              <w:pageBreakBefore w:val="0"/>
              <w:widowControl w:val="0"/>
              <w:kinsoku/>
              <w:wordWrap/>
              <w:overflowPunct/>
              <w:topLinePunct w:val="0"/>
              <w:autoSpaceDE/>
              <w:autoSpaceDN/>
              <w:bidi w:val="0"/>
              <w:spacing w:line="480" w:lineRule="exact"/>
              <w:ind w:left="0" w:leftChars="0" w:right="0" w:rightChars="0" w:firstLine="0" w:firstLineChars="0"/>
              <w:jc w:val="center"/>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符合</w:t>
            </w:r>
          </w:p>
        </w:tc>
      </w:tr>
      <w:tr w14:paraId="1A4FC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tcBorders>
              <w:top w:val="single" w:color="auto" w:sz="4" w:space="0"/>
              <w:left w:val="single" w:color="auto" w:sz="4" w:space="0"/>
              <w:bottom w:val="single" w:color="auto" w:sz="4" w:space="0"/>
              <w:right w:val="single" w:color="auto" w:sz="4" w:space="0"/>
            </w:tcBorders>
            <w:noWrap w:val="0"/>
            <w:vAlign w:val="center"/>
          </w:tcPr>
          <w:p w14:paraId="0B97B5F1">
            <w:pPr>
              <w:pStyle w:val="28"/>
              <w:keepNext w:val="0"/>
              <w:keepLines w:val="0"/>
              <w:pageBreakBefore w:val="0"/>
              <w:widowControl w:val="0"/>
              <w:numPr>
                <w:ilvl w:val="0"/>
                <w:numId w:val="30"/>
              </w:numPr>
              <w:kinsoku/>
              <w:wordWrap/>
              <w:overflowPunct/>
              <w:topLinePunct w:val="0"/>
              <w:autoSpaceDE/>
              <w:autoSpaceDN/>
              <w:bidi w:val="0"/>
              <w:spacing w:line="480" w:lineRule="exact"/>
              <w:ind w:left="425" w:leftChars="0" w:hanging="425"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950" w:type="pct"/>
            <w:tcBorders>
              <w:top w:val="single" w:color="auto" w:sz="4" w:space="0"/>
              <w:left w:val="single" w:color="auto" w:sz="4" w:space="0"/>
              <w:bottom w:val="single" w:color="auto" w:sz="4" w:space="0"/>
              <w:right w:val="single" w:color="auto" w:sz="4" w:space="0"/>
            </w:tcBorders>
            <w:noWrap w:val="0"/>
            <w:vAlign w:val="center"/>
          </w:tcPr>
          <w:p w14:paraId="564B4650">
            <w:pPr>
              <w:pStyle w:val="33"/>
              <w:keepNext w:val="0"/>
              <w:keepLines w:val="0"/>
              <w:pageBreakBefore w:val="0"/>
              <w:widowControl w:val="0"/>
              <w:kinsoku/>
              <w:wordWrap/>
              <w:overflowPunct/>
              <w:topLinePunct w:val="0"/>
              <w:autoSpaceDE/>
              <w:autoSpaceDN/>
              <w:bidi w:val="0"/>
              <w:spacing w:line="480" w:lineRule="exact"/>
              <w:ind w:left="0" w:leftChars="0"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sz w:val="21"/>
                <w:szCs w:val="21"/>
                <w14:textFill>
                  <w14:solidFill>
                    <w14:schemeClr w14:val="tx1"/>
                  </w14:solidFill>
                </w14:textFill>
              </w:rPr>
              <w:t>安</w:t>
            </w:r>
            <w:r>
              <w:rPr>
                <w:rFonts w:hint="eastAsia" w:ascii="宋体" w:hAnsi="宋体" w:eastAsia="宋体" w:cs="宋体"/>
                <w:color w:val="000000" w:themeColor="text1"/>
                <w:spacing w:val="-28"/>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全</w:t>
            </w:r>
            <w:r>
              <w:rPr>
                <w:rFonts w:hint="eastAsia" w:ascii="宋体" w:hAnsi="宋体" w:eastAsia="宋体" w:cs="宋体"/>
                <w:color w:val="000000" w:themeColor="text1"/>
                <w:spacing w:val="-26"/>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设</w:t>
            </w:r>
            <w:r>
              <w:rPr>
                <w:rFonts w:hint="eastAsia" w:ascii="宋体" w:hAnsi="宋体" w:eastAsia="宋体" w:cs="宋体"/>
                <w:color w:val="000000" w:themeColor="text1"/>
                <w:spacing w:val="-28"/>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施</w:t>
            </w:r>
            <w:r>
              <w:rPr>
                <w:rFonts w:hint="eastAsia" w:ascii="宋体" w:hAnsi="宋体" w:eastAsia="宋体" w:cs="宋体"/>
                <w:color w:val="000000" w:themeColor="text1"/>
                <w:sz w:val="21"/>
                <w:szCs w:val="21"/>
                <w14:textFill>
                  <w14:solidFill>
                    <w14:schemeClr w14:val="tx1"/>
                  </w14:solidFill>
                </w14:textFill>
              </w:rPr>
              <w:t xml:space="preserve"> </w:t>
            </w:r>
            <w:r>
              <w:rPr>
                <w:rFonts w:hint="eastAsia" w:ascii="宋体" w:hAnsi="宋体" w:eastAsia="宋体" w:cs="宋体"/>
                <w:color w:val="000000" w:themeColor="text1"/>
                <w:spacing w:val="7"/>
                <w:sz w:val="21"/>
                <w:szCs w:val="21"/>
                <w14:textFill>
                  <w14:solidFill>
                    <w14:schemeClr w14:val="tx1"/>
                  </w14:solidFill>
                </w14:textFill>
              </w:rPr>
              <w:t>验收评价</w:t>
            </w:r>
          </w:p>
        </w:tc>
        <w:tc>
          <w:tcPr>
            <w:tcW w:w="1514" w:type="pct"/>
            <w:tcBorders>
              <w:top w:val="single" w:color="auto" w:sz="4" w:space="0"/>
              <w:left w:val="single" w:color="auto" w:sz="4" w:space="0"/>
              <w:bottom w:val="single" w:color="auto" w:sz="4" w:space="0"/>
              <w:right w:val="single" w:color="auto" w:sz="4" w:space="0"/>
            </w:tcBorders>
            <w:noWrap w:val="0"/>
            <w:vAlign w:val="center"/>
          </w:tcPr>
          <w:p w14:paraId="786FC861">
            <w:pPr>
              <w:pStyle w:val="33"/>
              <w:keepNext w:val="0"/>
              <w:keepLines w:val="0"/>
              <w:pageBreakBefore w:val="0"/>
              <w:widowControl w:val="0"/>
              <w:kinsoku/>
              <w:wordWrap/>
              <w:overflowPunct/>
              <w:topLinePunct w:val="0"/>
              <w:autoSpaceDE/>
              <w:autoSpaceDN/>
              <w:bidi w:val="0"/>
              <w:spacing w:line="480" w:lineRule="exact"/>
              <w:ind w:left="0" w:leftChars="0"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《建设项目设施“三同时”监督管理办法》（国家安全生产监督管理总局令36号，国家安全生产监督管理总局令第77号修订）第</w:t>
            </w:r>
            <w:r>
              <w:rPr>
                <w:rFonts w:hint="eastAsia" w:ascii="宋体" w:hAnsi="宋体" w:eastAsia="宋体" w:cs="宋体"/>
                <w:color w:val="000000" w:themeColor="text1"/>
                <w:sz w:val="21"/>
                <w:szCs w:val="21"/>
                <w:lang w:val="en-US" w:eastAsia="zh-CN"/>
                <w14:textFill>
                  <w14:solidFill>
                    <w14:schemeClr w14:val="tx1"/>
                  </w14:solidFill>
                </w14:textFill>
              </w:rPr>
              <w:t>二十二</w:t>
            </w:r>
            <w:r>
              <w:rPr>
                <w:rFonts w:hint="eastAsia" w:ascii="宋体" w:hAnsi="宋体" w:eastAsia="宋体" w:cs="宋体"/>
                <w:color w:val="000000" w:themeColor="text1"/>
                <w:sz w:val="21"/>
                <w:szCs w:val="21"/>
                <w14:textFill>
                  <w14:solidFill>
                    <w14:schemeClr w14:val="tx1"/>
                  </w14:solidFill>
                </w14:textFill>
              </w:rPr>
              <w:t>条</w:t>
            </w:r>
          </w:p>
        </w:tc>
        <w:tc>
          <w:tcPr>
            <w:tcW w:w="1260" w:type="pct"/>
            <w:tcBorders>
              <w:top w:val="single" w:color="auto" w:sz="4" w:space="0"/>
              <w:left w:val="single" w:color="auto" w:sz="4" w:space="0"/>
              <w:bottom w:val="single" w:color="auto" w:sz="4" w:space="0"/>
              <w:right w:val="single" w:color="auto" w:sz="4" w:space="0"/>
            </w:tcBorders>
            <w:noWrap w:val="0"/>
            <w:vAlign w:val="center"/>
          </w:tcPr>
          <w:p w14:paraId="27D30A61">
            <w:pPr>
              <w:pStyle w:val="33"/>
              <w:keepNext w:val="0"/>
              <w:keepLines w:val="0"/>
              <w:pageBreakBefore w:val="0"/>
              <w:widowControl w:val="0"/>
              <w:kinsoku/>
              <w:wordWrap/>
              <w:overflowPunct/>
              <w:topLinePunct w:val="0"/>
              <w:autoSpaceDE/>
              <w:autoSpaceDN/>
              <w:bidi w:val="0"/>
              <w:spacing w:line="480" w:lineRule="exact"/>
              <w:ind w:left="0" w:leftChars="0"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本光伏电站试运行完成后，建设单位委托具有相应资质</w:t>
            </w:r>
            <w:r>
              <w:rPr>
                <w:rFonts w:hint="eastAsia" w:ascii="宋体" w:hAnsi="宋体" w:eastAsia="宋体" w:cs="宋体"/>
                <w:color w:val="000000" w:themeColor="text1"/>
                <w:sz w:val="21"/>
                <w:szCs w:val="21"/>
                <w:lang w:val="en-US" w:eastAsia="zh-CN"/>
                <w14:textFill>
                  <w14:solidFill>
                    <w14:schemeClr w14:val="tx1"/>
                  </w14:solidFill>
                </w14:textFill>
              </w:rPr>
              <w:t>昭通市鼎安科技有限公司进行</w:t>
            </w:r>
            <w:r>
              <w:rPr>
                <w:rFonts w:hint="eastAsia" w:ascii="宋体" w:hAnsi="宋体" w:eastAsia="宋体" w:cs="宋体"/>
                <w:color w:val="000000" w:themeColor="text1"/>
                <w:sz w:val="21"/>
                <w:szCs w:val="21"/>
                <w14:textFill>
                  <w14:solidFill>
                    <w14:schemeClr w14:val="tx1"/>
                  </w14:solidFill>
                </w14:textFill>
              </w:rPr>
              <w:t>安全设施验收评价工作。</w:t>
            </w:r>
          </w:p>
        </w:tc>
        <w:tc>
          <w:tcPr>
            <w:tcW w:w="526" w:type="pct"/>
            <w:tcBorders>
              <w:top w:val="single" w:color="auto" w:sz="4" w:space="0"/>
              <w:left w:val="single" w:color="auto" w:sz="4" w:space="0"/>
              <w:bottom w:val="single" w:color="auto" w:sz="4" w:space="0"/>
              <w:right w:val="single" w:color="auto" w:sz="4" w:space="0"/>
            </w:tcBorders>
            <w:shd w:val="clear" w:color="auto" w:fill="auto"/>
            <w:noWrap w:val="0"/>
            <w:vAlign w:val="top"/>
          </w:tcPr>
          <w:p w14:paraId="44070E1E">
            <w:pPr>
              <w:pageBreakBefore w:val="0"/>
              <w:widowControl w:val="0"/>
              <w:kinsoku/>
              <w:wordWrap/>
              <w:overflowPunct/>
              <w:topLinePunct w:val="0"/>
              <w:autoSpaceDE/>
              <w:autoSpaceDN/>
              <w:bidi w:val="0"/>
              <w:spacing w:line="480" w:lineRule="exact"/>
              <w:textAlignment w:val="auto"/>
              <w:rPr>
                <w:rFonts w:hint="eastAsia" w:ascii="宋体" w:hAnsi="宋体" w:eastAsia="宋体" w:cs="宋体"/>
                <w:color w:val="000000" w:themeColor="text1"/>
                <w:sz w:val="21"/>
                <w:szCs w:val="21"/>
                <w14:textFill>
                  <w14:solidFill>
                    <w14:schemeClr w14:val="tx1"/>
                  </w14:solidFill>
                </w14:textFill>
              </w:rPr>
            </w:pPr>
          </w:p>
          <w:p w14:paraId="19B120BE">
            <w:pPr>
              <w:pageBreakBefore w:val="0"/>
              <w:widowControl w:val="0"/>
              <w:kinsoku/>
              <w:wordWrap/>
              <w:overflowPunct/>
              <w:topLinePunct w:val="0"/>
              <w:autoSpaceDE/>
              <w:autoSpaceDN/>
              <w:bidi w:val="0"/>
              <w:spacing w:line="480" w:lineRule="exact"/>
              <w:textAlignment w:val="auto"/>
              <w:rPr>
                <w:rFonts w:hint="eastAsia" w:ascii="宋体" w:hAnsi="宋体" w:eastAsia="宋体" w:cs="宋体"/>
                <w:color w:val="000000" w:themeColor="text1"/>
                <w:sz w:val="21"/>
                <w:szCs w:val="21"/>
                <w14:textFill>
                  <w14:solidFill>
                    <w14:schemeClr w14:val="tx1"/>
                  </w14:solidFill>
                </w14:textFill>
              </w:rPr>
            </w:pPr>
          </w:p>
          <w:p w14:paraId="1A3D854C">
            <w:pPr>
              <w:pStyle w:val="26"/>
              <w:pageBreakBefore w:val="0"/>
              <w:widowControl w:val="0"/>
              <w:kinsoku/>
              <w:wordWrap/>
              <w:overflowPunct/>
              <w:topLinePunct w:val="0"/>
              <w:autoSpaceDE/>
              <w:autoSpaceDN/>
              <w:bidi w:val="0"/>
              <w:spacing w:before="65" w:line="480" w:lineRule="exact"/>
              <w:textAlignment w:val="auto"/>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否决项</w:t>
            </w:r>
          </w:p>
        </w:tc>
        <w:tc>
          <w:tcPr>
            <w:tcW w:w="45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241F19D">
            <w:pPr>
              <w:pStyle w:val="33"/>
              <w:keepNext w:val="0"/>
              <w:keepLines w:val="0"/>
              <w:pageBreakBefore w:val="0"/>
              <w:widowControl w:val="0"/>
              <w:kinsoku/>
              <w:wordWrap/>
              <w:overflowPunct/>
              <w:topLinePunct w:val="0"/>
              <w:autoSpaceDE/>
              <w:autoSpaceDN/>
              <w:bidi w:val="0"/>
              <w:spacing w:line="480" w:lineRule="exact"/>
              <w:ind w:left="0" w:leftChars="0" w:right="0" w:rightChars="0" w:firstLine="0" w:firstLineChars="0"/>
              <w:jc w:val="center"/>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944A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15B5E716">
            <w:pPr>
              <w:pStyle w:val="28"/>
              <w:keepNext w:val="0"/>
              <w:keepLines w:val="0"/>
              <w:pageBreakBefore w:val="0"/>
              <w:widowControl w:val="0"/>
              <w:numPr>
                <w:ilvl w:val="0"/>
                <w:numId w:val="30"/>
              </w:numPr>
              <w:kinsoku/>
              <w:wordWrap/>
              <w:overflowPunct/>
              <w:topLinePunct w:val="0"/>
              <w:autoSpaceDE/>
              <w:autoSpaceDN/>
              <w:bidi w:val="0"/>
              <w:spacing w:line="480" w:lineRule="exact"/>
              <w:ind w:left="425" w:leftChars="0" w:hanging="425" w:firstLineChars="0"/>
              <w:jc w:val="center"/>
              <w:textAlignment w:val="auto"/>
              <w:rPr>
                <w:rFonts w:hint="eastAsia" w:ascii="宋体" w:hAnsi="宋体" w:eastAsia="宋体" w:cs="宋体"/>
                <w:bCs w:val="0"/>
                <w:color w:val="000000" w:themeColor="text1"/>
                <w:kern w:val="2"/>
                <w:sz w:val="21"/>
                <w:szCs w:val="21"/>
                <w:lang w:val="en-US" w:eastAsia="zh-CN" w:bidi="ar-SA"/>
                <w14:textFill>
                  <w14:solidFill>
                    <w14:schemeClr w14:val="tx1"/>
                  </w14:solidFill>
                </w14:textFill>
              </w:rPr>
            </w:pPr>
            <w:bookmarkStart w:id="401" w:name="_Toc21143"/>
            <w:bookmarkStart w:id="402" w:name="_Toc18905"/>
          </w:p>
        </w:tc>
        <w:tc>
          <w:tcPr>
            <w:tcW w:w="950" w:type="pct"/>
            <w:shd w:val="clear" w:color="auto" w:fill="auto"/>
            <w:vAlign w:val="center"/>
          </w:tcPr>
          <w:p w14:paraId="44C40A4C">
            <w:pPr>
              <w:pageBreakBefore w:val="0"/>
              <w:widowControl w:val="0"/>
              <w:kinsoku/>
              <w:wordWrap/>
              <w:overflowPunct/>
              <w:topLinePunct w:val="0"/>
              <w:autoSpaceDE/>
              <w:autoSpaceDN/>
              <w:bidi w:val="0"/>
              <w:spacing w:line="480" w:lineRule="exact"/>
              <w:jc w:val="left"/>
              <w:textAlignment w:val="auto"/>
              <w:rPr>
                <w:rFonts w:hint="eastAsia" w:ascii="宋体" w:hAnsi="宋体" w:eastAsia="宋体" w:cs="宋体"/>
                <w:bCs w:val="0"/>
                <w:color w:val="000000" w:themeColor="text1"/>
                <w:kern w:val="2"/>
                <w:sz w:val="21"/>
                <w:szCs w:val="21"/>
                <w:lang w:val="en-US" w:eastAsia="zh-CN" w:bidi="ar-SA"/>
                <w14:textFill>
                  <w14:solidFill>
                    <w14:schemeClr w14:val="tx1"/>
                  </w14:solidFill>
                </w14:textFill>
              </w:rPr>
            </w:pPr>
          </w:p>
          <w:p w14:paraId="638A90B0">
            <w:pPr>
              <w:pageBreakBefore w:val="0"/>
              <w:widowControl w:val="0"/>
              <w:kinsoku/>
              <w:wordWrap/>
              <w:overflowPunct/>
              <w:topLinePunct w:val="0"/>
              <w:autoSpaceDE/>
              <w:autoSpaceDN/>
              <w:bidi w:val="0"/>
              <w:spacing w:line="480" w:lineRule="exact"/>
              <w:jc w:val="left"/>
              <w:textAlignment w:val="auto"/>
              <w:rPr>
                <w:rFonts w:hint="eastAsia" w:ascii="宋体" w:hAnsi="宋体" w:eastAsia="宋体" w:cs="宋体"/>
                <w:bCs w:val="0"/>
                <w:color w:val="000000" w:themeColor="text1"/>
                <w:kern w:val="2"/>
                <w:sz w:val="21"/>
                <w:szCs w:val="21"/>
                <w:lang w:val="en-US" w:eastAsia="zh-CN" w:bidi="ar-SA"/>
                <w14:textFill>
                  <w14:solidFill>
                    <w14:schemeClr w14:val="tx1"/>
                  </w14:solidFill>
                </w14:textFill>
              </w:rPr>
            </w:pPr>
          </w:p>
          <w:p w14:paraId="4E9A8ED5">
            <w:pPr>
              <w:pStyle w:val="26"/>
              <w:pageBreakBefore w:val="0"/>
              <w:widowControl w:val="0"/>
              <w:kinsoku/>
              <w:wordWrap/>
              <w:overflowPunct/>
              <w:topLinePunct w:val="0"/>
              <w:autoSpaceDE/>
              <w:autoSpaceDN/>
              <w:bidi w:val="0"/>
              <w:spacing w:before="65" w:line="480" w:lineRule="exact"/>
              <w:ind w:left="161" w:leftChars="0" w:right="166" w:rightChars="0" w:firstLine="2" w:firstLineChars="0"/>
              <w:jc w:val="left"/>
              <w:textAlignment w:val="auto"/>
              <w:rPr>
                <w:rFonts w:hint="eastAsia" w:ascii="宋体" w:hAnsi="宋体" w:eastAsia="宋体" w:cs="宋体"/>
                <w:bCs w:val="0"/>
                <w:color w:val="000000" w:themeColor="text1"/>
                <w:kern w:val="2"/>
                <w:sz w:val="21"/>
                <w:szCs w:val="21"/>
                <w:lang w:val="en-US" w:eastAsia="en-US" w:bidi="ar-SA"/>
                <w14:textFill>
                  <w14:solidFill>
                    <w14:schemeClr w14:val="tx1"/>
                  </w14:solidFill>
                </w14:textFill>
              </w:rPr>
            </w:pPr>
            <w:r>
              <w:rPr>
                <w:rFonts w:hint="eastAsia" w:ascii="宋体" w:hAnsi="宋体" w:eastAsia="宋体" w:cs="宋体"/>
                <w:bCs w:val="0"/>
                <w:color w:val="000000" w:themeColor="text1"/>
                <w:kern w:val="2"/>
                <w:sz w:val="21"/>
                <w:szCs w:val="21"/>
                <w:lang w:val="en-US" w:eastAsia="zh-CN" w:bidi="ar-SA"/>
                <w14:textFill>
                  <w14:solidFill>
                    <w14:schemeClr w14:val="tx1"/>
                  </w14:solidFill>
                </w14:textFill>
              </w:rPr>
              <w:t>项目完工情况</w:t>
            </w:r>
          </w:p>
        </w:tc>
        <w:tc>
          <w:tcPr>
            <w:tcW w:w="1514" w:type="pct"/>
            <w:shd w:val="clear" w:color="auto" w:fill="auto"/>
            <w:vAlign w:val="center"/>
          </w:tcPr>
          <w:p w14:paraId="15E537BD">
            <w:pPr>
              <w:pStyle w:val="26"/>
              <w:pageBreakBefore w:val="0"/>
              <w:widowControl w:val="0"/>
              <w:kinsoku/>
              <w:wordWrap/>
              <w:overflowPunct/>
              <w:topLinePunct w:val="0"/>
              <w:autoSpaceDE/>
              <w:autoSpaceDN/>
              <w:bidi w:val="0"/>
              <w:spacing w:before="21" w:line="480" w:lineRule="exact"/>
              <w:ind w:left="106" w:right="108"/>
              <w:jc w:val="left"/>
              <w:textAlignment w:val="auto"/>
              <w:rPr>
                <w:rFonts w:hint="eastAsia" w:ascii="宋体" w:hAnsi="宋体" w:eastAsia="宋体" w:cs="宋体"/>
                <w:bCs w:val="0"/>
                <w:color w:val="000000" w:themeColor="text1"/>
                <w:kern w:val="2"/>
                <w:sz w:val="21"/>
                <w:szCs w:val="21"/>
                <w:lang w:val="en-US" w:eastAsia="en-US" w:bidi="ar-SA"/>
                <w14:textFill>
                  <w14:solidFill>
                    <w14:schemeClr w14:val="tx1"/>
                  </w14:solidFill>
                </w14:textFill>
              </w:rPr>
            </w:pPr>
            <w:r>
              <w:rPr>
                <w:rFonts w:hint="eastAsia" w:ascii="宋体" w:hAnsi="宋体" w:eastAsia="宋体" w:cs="宋体"/>
                <w:bCs w:val="0"/>
                <w:color w:val="000000" w:themeColor="text1"/>
                <w:kern w:val="2"/>
                <w:sz w:val="21"/>
                <w:szCs w:val="21"/>
                <w:lang w:val="en-US" w:eastAsia="zh-CN" w:bidi="ar-SA"/>
                <w14:textFill>
                  <w14:solidFill>
                    <w14:schemeClr w14:val="tx1"/>
                  </w14:solidFill>
                </w14:textFill>
              </w:rPr>
              <w:t>建设项目竣工验收前，是否按照批准的安全设施 设计 内容完成全部 的安全设 施，单项工程验收合格，具备安全生产条件，并提交自查报告。</w:t>
            </w:r>
          </w:p>
        </w:tc>
        <w:tc>
          <w:tcPr>
            <w:tcW w:w="1260" w:type="pct"/>
            <w:vAlign w:val="center"/>
          </w:tcPr>
          <w:p w14:paraId="63D9B76C">
            <w:pPr>
              <w:pStyle w:val="33"/>
              <w:keepNext w:val="0"/>
              <w:keepLines w:val="0"/>
              <w:pageBreakBefore w:val="0"/>
              <w:widowControl w:val="0"/>
              <w:kinsoku/>
              <w:wordWrap/>
              <w:overflowPunct/>
              <w:topLinePunct w:val="0"/>
              <w:autoSpaceDE/>
              <w:autoSpaceDN/>
              <w:bidi w:val="0"/>
              <w:spacing w:line="480" w:lineRule="exact"/>
              <w:ind w:left="0" w:leftChars="0" w:firstLine="0" w:firstLineChars="0"/>
              <w:jc w:val="left"/>
              <w:textAlignment w:val="auto"/>
              <w:rPr>
                <w:rFonts w:hint="eastAsia" w:ascii="宋体" w:hAnsi="宋体" w:eastAsia="宋体" w:cs="宋体"/>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Cs w:val="0"/>
                <w:color w:val="000000" w:themeColor="text1"/>
                <w:kern w:val="2"/>
                <w:sz w:val="21"/>
                <w:szCs w:val="21"/>
                <w:lang w:val="en-US" w:eastAsia="zh-CN" w:bidi="ar-SA"/>
                <w14:textFill>
                  <w14:solidFill>
                    <w14:schemeClr w14:val="tx1"/>
                  </w14:solidFill>
                </w14:textFill>
              </w:rPr>
              <w:t>根据施工及监理报告， 已完成各项配套设施。</w:t>
            </w:r>
          </w:p>
        </w:tc>
        <w:tc>
          <w:tcPr>
            <w:tcW w:w="526" w:type="pct"/>
            <w:shd w:val="clear" w:color="auto" w:fill="auto"/>
            <w:vAlign w:val="center"/>
          </w:tcPr>
          <w:p w14:paraId="12FEE749">
            <w:pPr>
              <w:pageBreakBefore w:val="0"/>
              <w:widowControl w:val="0"/>
              <w:kinsoku/>
              <w:wordWrap/>
              <w:overflowPunct/>
              <w:topLinePunct w:val="0"/>
              <w:autoSpaceDE/>
              <w:autoSpaceDN/>
              <w:bidi w:val="0"/>
              <w:spacing w:line="480" w:lineRule="exact"/>
              <w:jc w:val="left"/>
              <w:textAlignment w:val="auto"/>
              <w:rPr>
                <w:rFonts w:hint="eastAsia" w:ascii="宋体" w:hAnsi="宋体" w:eastAsia="宋体" w:cs="宋体"/>
                <w:bCs w:val="0"/>
                <w:color w:val="000000" w:themeColor="text1"/>
                <w:kern w:val="2"/>
                <w:sz w:val="21"/>
                <w:szCs w:val="21"/>
                <w:lang w:val="en-US" w:eastAsia="zh-CN" w:bidi="ar-SA"/>
                <w14:textFill>
                  <w14:solidFill>
                    <w14:schemeClr w14:val="tx1"/>
                  </w14:solidFill>
                </w14:textFill>
              </w:rPr>
            </w:pPr>
          </w:p>
          <w:p w14:paraId="3B129788">
            <w:pPr>
              <w:pStyle w:val="26"/>
              <w:pageBreakBefore w:val="0"/>
              <w:widowControl w:val="0"/>
              <w:kinsoku/>
              <w:wordWrap/>
              <w:overflowPunct/>
              <w:topLinePunct w:val="0"/>
              <w:autoSpaceDE/>
              <w:autoSpaceDN/>
              <w:bidi w:val="0"/>
              <w:spacing w:before="65" w:line="480" w:lineRule="exact"/>
              <w:jc w:val="left"/>
              <w:textAlignment w:val="auto"/>
              <w:rPr>
                <w:rFonts w:hint="eastAsia" w:ascii="宋体" w:hAnsi="宋体" w:eastAsia="宋体" w:cs="宋体"/>
                <w:bCs w:val="0"/>
                <w:color w:val="000000" w:themeColor="text1"/>
                <w:kern w:val="2"/>
                <w:sz w:val="21"/>
                <w:szCs w:val="21"/>
                <w:lang w:val="en-US" w:eastAsia="en-US" w:bidi="ar-SA"/>
                <w14:textFill>
                  <w14:solidFill>
                    <w14:schemeClr w14:val="tx1"/>
                  </w14:solidFill>
                </w14:textFill>
              </w:rPr>
            </w:pPr>
            <w:r>
              <w:rPr>
                <w:rFonts w:hint="eastAsia" w:ascii="宋体" w:hAnsi="宋体" w:eastAsia="宋体" w:cs="宋体"/>
                <w:bCs w:val="0"/>
                <w:color w:val="000000" w:themeColor="text1"/>
                <w:kern w:val="2"/>
                <w:sz w:val="21"/>
                <w:szCs w:val="21"/>
                <w:lang w:val="en-US" w:eastAsia="zh-CN" w:bidi="ar-SA"/>
                <w14:textFill>
                  <w14:solidFill>
                    <w14:schemeClr w14:val="tx1"/>
                  </w14:solidFill>
                </w14:textFill>
              </w:rPr>
              <w:t>否决项</w:t>
            </w:r>
          </w:p>
        </w:tc>
        <w:tc>
          <w:tcPr>
            <w:tcW w:w="0" w:type="auto"/>
            <w:vAlign w:val="center"/>
          </w:tcPr>
          <w:p w14:paraId="2EE66E9F">
            <w:pPr>
              <w:pStyle w:val="33"/>
              <w:keepNext w:val="0"/>
              <w:keepLines w:val="0"/>
              <w:pageBreakBefore w:val="0"/>
              <w:widowControl w:val="0"/>
              <w:kinsoku/>
              <w:wordWrap/>
              <w:overflowPunct/>
              <w:topLinePunct w:val="0"/>
              <w:autoSpaceDE/>
              <w:autoSpaceDN/>
              <w:bidi w:val="0"/>
              <w:spacing w:line="480" w:lineRule="exact"/>
              <w:ind w:left="0" w:leftChars="0" w:right="0" w:rightChars="0" w:firstLine="0" w:firstLineChars="0"/>
              <w:jc w:val="left"/>
              <w:textAlignment w:val="auto"/>
              <w:rPr>
                <w:rFonts w:hint="eastAsia" w:ascii="宋体" w:hAnsi="宋体" w:eastAsia="宋体" w:cs="宋体"/>
                <w:color w:val="000000" w:themeColor="text1"/>
                <w:sz w:val="21"/>
                <w:szCs w:val="21"/>
                <w14:textFill>
                  <w14:solidFill>
                    <w14:schemeClr w14:val="tx1"/>
                  </w14:solidFill>
                </w14:textFill>
              </w:rPr>
            </w:pPr>
          </w:p>
          <w:p w14:paraId="234299E1">
            <w:pPr>
              <w:pStyle w:val="33"/>
              <w:keepNext w:val="0"/>
              <w:keepLines w:val="0"/>
              <w:pageBreakBefore w:val="0"/>
              <w:widowControl w:val="0"/>
              <w:kinsoku/>
              <w:wordWrap/>
              <w:overflowPunct/>
              <w:topLinePunct w:val="0"/>
              <w:autoSpaceDE/>
              <w:autoSpaceDN/>
              <w:bidi w:val="0"/>
              <w:spacing w:line="480" w:lineRule="exact"/>
              <w:ind w:left="0" w:leftChars="0" w:right="0" w:rightChars="0" w:firstLine="0" w:firstLineChars="0"/>
              <w:jc w:val="left"/>
              <w:textAlignment w:val="auto"/>
              <w:rPr>
                <w:rFonts w:hint="eastAsia" w:ascii="宋体" w:hAnsi="宋体" w:eastAsia="宋体" w:cs="宋体"/>
                <w:color w:val="000000" w:themeColor="text1"/>
                <w:sz w:val="21"/>
                <w:szCs w:val="21"/>
                <w14:textFill>
                  <w14:solidFill>
                    <w14:schemeClr w14:val="tx1"/>
                  </w14:solidFill>
                </w14:textFill>
              </w:rPr>
            </w:pPr>
          </w:p>
          <w:p w14:paraId="5D8B0F24">
            <w:pPr>
              <w:pStyle w:val="33"/>
              <w:keepNext w:val="0"/>
              <w:keepLines w:val="0"/>
              <w:pageBreakBefore w:val="0"/>
              <w:widowControl w:val="0"/>
              <w:kinsoku/>
              <w:wordWrap/>
              <w:overflowPunct/>
              <w:topLinePunct w:val="0"/>
              <w:autoSpaceDE/>
              <w:autoSpaceDN/>
              <w:bidi w:val="0"/>
              <w:spacing w:line="480" w:lineRule="exact"/>
              <w:ind w:left="0" w:leftChars="0" w:right="0" w:rightChars="0" w:firstLine="0" w:firstLineChars="0"/>
              <w:jc w:val="left"/>
              <w:textAlignment w:val="auto"/>
              <w:rPr>
                <w:rFonts w:hint="eastAsia" w:ascii="宋体" w:hAnsi="宋体" w:eastAsia="宋体" w:cs="宋体"/>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bookmarkEnd w:id="401"/>
      <w:bookmarkEnd w:id="402"/>
    </w:tbl>
    <w:p w14:paraId="1669D425">
      <w:pPr>
        <w:pageBreakBefore w:val="0"/>
        <w:widowControl w:val="0"/>
        <w:kinsoku/>
        <w:wordWrap/>
        <w:overflowPunct/>
        <w:topLinePunct w:val="0"/>
        <w:autoSpaceDE/>
        <w:autoSpaceDN/>
        <w:bidi w:val="0"/>
        <w:spacing w:line="420" w:lineRule="exact"/>
        <w:ind w:firstLine="560" w:firstLineChars="200"/>
        <w:jc w:val="lef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评价分析：针对项目安全设施“三同时 ”程序符合性检查表内的</w:t>
      </w:r>
      <w:r>
        <w:rPr>
          <w:rFonts w:hint="eastAsia" w:ascii="宋体" w:hAnsi="宋体" w:eastAsia="宋体" w:cs="宋体"/>
          <w:color w:val="000000" w:themeColor="text1"/>
          <w:sz w:val="28"/>
          <w:szCs w:val="28"/>
          <w:lang w:val="en-US" w:eastAsia="zh-CN"/>
          <w14:textFill>
            <w14:solidFill>
              <w14:schemeClr w14:val="tx1"/>
            </w14:solidFill>
          </w14:textFill>
        </w:rPr>
        <w:t>6</w:t>
      </w:r>
      <w:r>
        <w:rPr>
          <w:rFonts w:hint="eastAsia" w:ascii="宋体" w:hAnsi="宋体" w:eastAsia="宋体" w:cs="宋体"/>
          <w:color w:val="000000" w:themeColor="text1"/>
          <w:sz w:val="28"/>
          <w:szCs w:val="28"/>
          <w14:textFill>
            <w14:solidFill>
              <w14:schemeClr w14:val="tx1"/>
            </w14:solidFill>
          </w14:textFill>
        </w:rPr>
        <w:t>项内容，</w:t>
      </w:r>
      <w:r>
        <w:rPr>
          <w:rFonts w:hint="eastAsia" w:ascii="宋体" w:hAnsi="宋体" w:eastAsia="宋体" w:cs="宋体"/>
          <w:color w:val="000000" w:themeColor="text1"/>
          <w:sz w:val="28"/>
          <w:szCs w:val="28"/>
          <w:lang w:val="en-US" w:eastAsia="zh-CN"/>
          <w14:textFill>
            <w14:solidFill>
              <w14:schemeClr w14:val="tx1"/>
            </w14:solidFill>
          </w14:textFill>
        </w:rPr>
        <w:t>其中6项合格，0项不合格。</w:t>
      </w:r>
    </w:p>
    <w:p w14:paraId="4BC09E24">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403" w:name="_Toc13236"/>
      <w:r>
        <w:rPr>
          <w:rFonts w:hint="eastAsia" w:ascii="宋体" w:hAnsi="宋体" w:eastAsia="宋体" w:cs="宋体"/>
          <w:b/>
          <w:bCs w:val="0"/>
          <w:color w:val="000000" w:themeColor="text1"/>
          <w:sz w:val="30"/>
          <w:szCs w:val="30"/>
          <w:lang w:val="en-US" w:eastAsia="zh-CN"/>
          <w14:textFill>
            <w14:solidFill>
              <w14:schemeClr w14:val="tx1"/>
            </w14:solidFill>
          </w14:textFill>
        </w:rPr>
        <w:t>5.1.2单元小结</w:t>
      </w:r>
      <w:bookmarkEnd w:id="403"/>
    </w:p>
    <w:p w14:paraId="53A38D38">
      <w:pPr>
        <w:pageBreakBefore w:val="0"/>
        <w:widowControl w:val="0"/>
        <w:kinsoku/>
        <w:wordWrap/>
        <w:overflowPunct/>
        <w:topLinePunct w:val="0"/>
        <w:autoSpaceDE/>
        <w:autoSpaceDN/>
        <w:bidi w:val="0"/>
        <w:spacing w:line="420" w:lineRule="exact"/>
        <w:ind w:firstLine="560" w:firstLineChars="200"/>
        <w:jc w:val="left"/>
        <w:textAlignment w:val="auto"/>
        <w:rPr>
          <w:color w:val="000000" w:themeColor="text1"/>
          <w:spacing w:val="-1"/>
          <w:sz w:val="28"/>
          <w:szCs w:val="28"/>
          <w14:textFill>
            <w14:solidFill>
              <w14:schemeClr w14:val="tx1"/>
            </w14:solidFill>
          </w14:textFill>
        </w:rPr>
      </w:pPr>
      <w:r>
        <w:rPr>
          <w:rFonts w:hint="eastAsia"/>
          <w:color w:val="000000" w:themeColor="text1"/>
          <w:sz w:val="28"/>
          <w:szCs w:val="28"/>
          <w14:textFill>
            <w14:solidFill>
              <w14:schemeClr w14:val="tx1"/>
            </w14:solidFill>
          </w14:textFill>
        </w:rPr>
        <w:t>通过以上安全检查表可以知，本电站在按照国家有关光伏电站建设的要求履行</w:t>
      </w:r>
      <w:r>
        <w:rPr>
          <w:rFonts w:hint="eastAsia"/>
          <w:color w:val="000000" w:themeColor="text1"/>
          <w:sz w:val="28"/>
          <w:szCs w:val="28"/>
          <w:lang w:val="en-US" w:eastAsia="zh-CN"/>
          <w14:textFill>
            <w14:solidFill>
              <w14:schemeClr w14:val="tx1"/>
            </w14:solidFill>
          </w14:textFill>
        </w:rPr>
        <w:t>了相关</w:t>
      </w:r>
      <w:r>
        <w:rPr>
          <w:rFonts w:hint="eastAsia"/>
          <w:color w:val="000000" w:themeColor="text1"/>
          <w:sz w:val="28"/>
          <w:szCs w:val="28"/>
          <w14:textFill>
            <w14:solidFill>
              <w14:schemeClr w14:val="tx1"/>
            </w14:solidFill>
          </w14:textFill>
        </w:rPr>
        <w:t>建设程序，</w:t>
      </w:r>
      <w:r>
        <w:rPr>
          <w:color w:val="000000" w:themeColor="text1"/>
          <w:spacing w:val="3"/>
          <w:sz w:val="28"/>
          <w:szCs w:val="28"/>
          <w14:textFill>
            <w14:solidFill>
              <w14:schemeClr w14:val="tx1"/>
            </w14:solidFill>
          </w14:textFill>
        </w:rPr>
        <w:t>取得了营业执照、项目投资备案证</w:t>
      </w:r>
      <w:r>
        <w:rPr>
          <w:rFonts w:hint="eastAsia"/>
          <w:color w:val="000000" w:themeColor="text1"/>
          <w:spacing w:val="3"/>
          <w:sz w:val="28"/>
          <w:szCs w:val="28"/>
          <w:lang w:eastAsia="zh-CN"/>
          <w14:textFill>
            <w14:solidFill>
              <w14:schemeClr w14:val="tx1"/>
            </w14:solidFill>
          </w14:textFill>
        </w:rPr>
        <w:t>，</w:t>
      </w:r>
      <w:r>
        <w:rPr>
          <w:rFonts w:hint="eastAsia"/>
          <w:color w:val="000000" w:themeColor="text1"/>
          <w:sz w:val="28"/>
          <w:szCs w:val="28"/>
          <w14:textFill>
            <w14:solidFill>
              <w14:schemeClr w14:val="tx1"/>
            </w14:solidFill>
          </w14:textFill>
        </w:rPr>
        <w:t>编制了</w:t>
      </w:r>
      <w:r>
        <w:rPr>
          <w:rFonts w:hint="eastAsia"/>
          <w:color w:val="000000" w:themeColor="text1"/>
          <w:sz w:val="28"/>
          <w:szCs w:val="28"/>
          <w:lang w:eastAsia="zh-CN"/>
          <w14:textFill>
            <w14:solidFill>
              <w14:schemeClr w14:val="tx1"/>
            </w14:solidFill>
          </w14:textFill>
        </w:rPr>
        <w:t>《安全</w:t>
      </w:r>
      <w:r>
        <w:rPr>
          <w:rFonts w:hint="eastAsia"/>
          <w:color w:val="000000" w:themeColor="text1"/>
          <w:sz w:val="28"/>
          <w:szCs w:val="28"/>
          <w14:textFill>
            <w14:solidFill>
              <w14:schemeClr w14:val="tx1"/>
            </w14:solidFill>
          </w14:textFill>
        </w:rPr>
        <w:t>生产条件和设施进行综合分析</w:t>
      </w:r>
      <w:r>
        <w:rPr>
          <w:rFonts w:hint="eastAsia"/>
          <w:color w:val="000000" w:themeColor="text1"/>
          <w:sz w:val="28"/>
          <w:szCs w:val="28"/>
          <w:lang w:val="en-US" w:eastAsia="zh-CN"/>
          <w14:textFill>
            <w14:solidFill>
              <w14:schemeClr w14:val="tx1"/>
            </w14:solidFill>
          </w14:textFill>
        </w:rPr>
        <w:t>报告</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14:textFill>
            <w14:solidFill>
              <w14:schemeClr w14:val="tx1"/>
            </w14:solidFill>
          </w14:textFill>
        </w:rPr>
        <w:t>、</w:t>
      </w:r>
      <w:r>
        <w:rPr>
          <w:color w:val="000000" w:themeColor="text1"/>
          <w:spacing w:val="3"/>
          <w:sz w:val="28"/>
          <w:szCs w:val="28"/>
          <w14:textFill>
            <w14:solidFill>
              <w14:schemeClr w14:val="tx1"/>
            </w14:solidFill>
          </w14:textFill>
        </w:rPr>
        <w:t>委托具有设计资质的单位编制</w:t>
      </w:r>
      <w:r>
        <w:rPr>
          <w:rFonts w:hint="eastAsia"/>
          <w:color w:val="000000" w:themeColor="text1"/>
          <w:spacing w:val="3"/>
          <w:sz w:val="28"/>
          <w:szCs w:val="28"/>
          <w:lang w:eastAsia="zh-CN"/>
          <w14:textFill>
            <w14:solidFill>
              <w14:schemeClr w14:val="tx1"/>
            </w14:solidFill>
          </w14:textFill>
        </w:rPr>
        <w:t>《</w:t>
      </w:r>
      <w:r>
        <w:rPr>
          <w:rFonts w:hint="eastAsia"/>
          <w:color w:val="000000" w:themeColor="text1"/>
          <w:sz w:val="28"/>
          <w:szCs w:val="28"/>
          <w14:textFill>
            <w14:solidFill>
              <w14:schemeClr w14:val="tx1"/>
            </w14:solidFill>
          </w14:textFill>
        </w:rPr>
        <w:t>安全设施设计</w:t>
      </w:r>
      <w:r>
        <w:rPr>
          <w:rFonts w:hint="eastAsia"/>
          <w:color w:val="000000" w:themeColor="text1"/>
          <w:spacing w:val="3"/>
          <w:sz w:val="28"/>
          <w:szCs w:val="28"/>
          <w:lang w:eastAsia="zh-CN"/>
          <w14:textFill>
            <w14:solidFill>
              <w14:schemeClr w14:val="tx1"/>
            </w14:solidFill>
          </w14:textFill>
        </w:rPr>
        <w:t>》</w:t>
      </w:r>
      <w:r>
        <w:rPr>
          <w:rFonts w:hint="eastAsia"/>
          <w:color w:val="000000" w:themeColor="text1"/>
          <w:sz w:val="28"/>
          <w:szCs w:val="28"/>
          <w14:textFill>
            <w14:solidFill>
              <w14:schemeClr w14:val="tx1"/>
            </w14:solidFill>
          </w14:textFill>
        </w:rPr>
        <w:t>，并通过了专家</w:t>
      </w:r>
      <w:r>
        <w:rPr>
          <w:rFonts w:hint="eastAsia"/>
          <w:color w:val="000000" w:themeColor="text1"/>
          <w:sz w:val="28"/>
          <w:szCs w:val="28"/>
          <w:lang w:val="en-US" w:eastAsia="zh-CN"/>
          <w14:textFill>
            <w14:solidFill>
              <w14:schemeClr w14:val="tx1"/>
            </w14:solidFill>
          </w14:textFill>
        </w:rPr>
        <w:t>审查</w:t>
      </w:r>
      <w:r>
        <w:rPr>
          <w:rFonts w:hint="eastAsia"/>
          <w:color w:val="000000" w:themeColor="text1"/>
          <w:sz w:val="28"/>
          <w:szCs w:val="28"/>
          <w14:textFill>
            <w14:solidFill>
              <w14:schemeClr w14:val="tx1"/>
            </w14:solidFill>
          </w14:textFill>
        </w:rPr>
        <w:t>，聘请了有相应资质的</w:t>
      </w:r>
      <w:r>
        <w:rPr>
          <w:rFonts w:hint="eastAsia"/>
          <w:color w:val="000000" w:themeColor="text1"/>
          <w:sz w:val="28"/>
          <w:szCs w:val="28"/>
          <w:lang w:val="en-US" w:eastAsia="zh-CN"/>
          <w14:textFill>
            <w14:solidFill>
              <w14:schemeClr w14:val="tx1"/>
            </w14:solidFill>
          </w14:textFill>
        </w:rPr>
        <w:t>施工、监理</w:t>
      </w:r>
      <w:r>
        <w:rPr>
          <w:rFonts w:hint="eastAsia"/>
          <w:color w:val="000000" w:themeColor="text1"/>
          <w:sz w:val="28"/>
          <w:szCs w:val="28"/>
          <w14:textFill>
            <w14:solidFill>
              <w14:schemeClr w14:val="tx1"/>
            </w14:solidFill>
          </w14:textFill>
        </w:rPr>
        <w:t>单位</w:t>
      </w:r>
      <w:r>
        <w:rPr>
          <w:rFonts w:hint="eastAsia"/>
          <w:color w:val="000000" w:themeColor="text1"/>
          <w:sz w:val="28"/>
          <w:szCs w:val="28"/>
          <w:lang w:val="en-US" w:eastAsia="zh-CN"/>
          <w14:textFill>
            <w14:solidFill>
              <w14:schemeClr w14:val="tx1"/>
            </w14:solidFill>
          </w14:textFill>
        </w:rPr>
        <w:t>进行施工，监理。</w:t>
      </w:r>
      <w:r>
        <w:rPr>
          <w:rFonts w:hint="eastAsia"/>
          <w:color w:val="000000" w:themeColor="text1"/>
          <w:sz w:val="28"/>
          <w:szCs w:val="28"/>
          <w14:textFill>
            <w14:solidFill>
              <w14:schemeClr w14:val="tx1"/>
            </w14:solidFill>
          </w14:textFill>
        </w:rPr>
        <w:t>电站安全设施做到了与主体工程同时设计、同时施工、同时投入生产和使用。建设程序合法。</w:t>
      </w:r>
      <w:r>
        <w:rPr>
          <w:color w:val="000000" w:themeColor="text1"/>
          <w:spacing w:val="-1"/>
          <w:sz w:val="28"/>
          <w:szCs w:val="28"/>
          <w14:textFill>
            <w14:solidFill>
              <w14:schemeClr w14:val="tx1"/>
            </w14:solidFill>
          </w14:textFill>
        </w:rPr>
        <w:t>本单元具备安全验收条件。</w:t>
      </w:r>
    </w:p>
    <w:p w14:paraId="531098DC">
      <w:pPr>
        <w:pStyle w:val="3"/>
        <w:pageBreakBefore w:val="0"/>
        <w:widowControl w:val="0"/>
        <w:tabs>
          <w:tab w:val="left" w:pos="0"/>
        </w:tabs>
        <w:kinsoku/>
        <w:wordWrap/>
        <w:overflowPunct/>
        <w:topLinePunct w:val="0"/>
        <w:autoSpaceDE/>
        <w:autoSpaceDN/>
        <w:bidi w:val="0"/>
        <w:spacing w:line="420" w:lineRule="exact"/>
        <w:textAlignment w:val="auto"/>
        <w:rPr>
          <w:rFonts w:hint="eastAsia" w:ascii="宋体" w:hAnsi="宋体" w:eastAsia="宋体" w:cs="宋体"/>
          <w:color w:val="000000" w:themeColor="text1"/>
          <w:lang w:val="en-US" w:eastAsia="zh-CN"/>
          <w14:textFill>
            <w14:solidFill>
              <w14:schemeClr w14:val="tx1"/>
            </w14:solidFill>
          </w14:textFill>
        </w:rPr>
      </w:pPr>
      <w:bookmarkStart w:id="404" w:name="_Toc28968"/>
      <w:bookmarkStart w:id="405" w:name="_Toc23085"/>
      <w:bookmarkStart w:id="406" w:name="_Toc7036"/>
      <w:bookmarkStart w:id="407" w:name="_Toc26215"/>
      <w:r>
        <w:rPr>
          <w:rFonts w:hint="eastAsia" w:ascii="宋体" w:hAnsi="宋体" w:eastAsia="宋体" w:cs="宋体"/>
          <w:color w:val="000000" w:themeColor="text1"/>
          <w:lang w:val="en-US" w:eastAsia="zh-CN"/>
          <w14:textFill>
            <w14:solidFill>
              <w14:schemeClr w14:val="tx1"/>
            </w14:solidFill>
          </w14:textFill>
        </w:rPr>
        <w:t>5.2总平面布置单元</w:t>
      </w:r>
      <w:bookmarkEnd w:id="404"/>
      <w:bookmarkEnd w:id="405"/>
      <w:bookmarkEnd w:id="406"/>
      <w:bookmarkEnd w:id="407"/>
    </w:p>
    <w:p w14:paraId="27248EB6">
      <w:pPr>
        <w:pStyle w:val="4"/>
        <w:pageBreakBefore w:val="0"/>
        <w:widowControl w:val="0"/>
        <w:kinsoku/>
        <w:wordWrap/>
        <w:overflowPunct/>
        <w:topLinePunct w:val="0"/>
        <w:autoSpaceDE/>
        <w:autoSpaceDN/>
        <w:bidi w:val="0"/>
        <w:spacing w:line="420" w:lineRule="exact"/>
        <w:textAlignment w:val="auto"/>
        <w:rPr>
          <w:rFonts w:hint="eastAsia"/>
          <w:color w:val="000000" w:themeColor="text1"/>
          <w:lang w:val="en-US" w:eastAsia="zh-CN"/>
          <w14:textFill>
            <w14:solidFill>
              <w14:schemeClr w14:val="tx1"/>
            </w14:solidFill>
          </w14:textFill>
        </w:rPr>
      </w:pPr>
      <w:bookmarkStart w:id="408" w:name="_Toc30015"/>
      <w:bookmarkStart w:id="409" w:name="_Toc13503"/>
      <w:bookmarkStart w:id="410" w:name="_Toc25659"/>
      <w:r>
        <w:rPr>
          <w:rFonts w:hint="eastAsia" w:ascii="宋体" w:hAnsi="宋体" w:eastAsia="宋体" w:cs="宋体"/>
          <w:b/>
          <w:bCs w:val="0"/>
          <w:color w:val="000000" w:themeColor="text1"/>
          <w:sz w:val="30"/>
          <w:szCs w:val="30"/>
          <w:lang w:val="en-US" w:eastAsia="zh-CN"/>
          <w14:textFill>
            <w14:solidFill>
              <w14:schemeClr w14:val="tx1"/>
            </w14:solidFill>
          </w14:textFill>
        </w:rPr>
        <w:t>5.2.1总平面布置安全检查表</w:t>
      </w:r>
      <w:bookmarkEnd w:id="408"/>
      <w:bookmarkEnd w:id="409"/>
      <w:bookmarkEnd w:id="410"/>
    </w:p>
    <w:p w14:paraId="56F78146">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560" w:firstLineChars="200"/>
        <w:jc w:val="both"/>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本单元根据《光伏发电站设计规范》（GB50797-2012）、《工业企业总平面设计规范》（GB50187-2012）、《华能澜沧江(景洪)新能源有限公司</w:t>
      </w:r>
      <w:r>
        <w:rPr>
          <w:rFonts w:hint="eastAsia" w:ascii="宋体" w:hAnsi="宋体" w:cs="宋体"/>
          <w:color w:val="000000" w:themeColor="text1"/>
          <w:sz w:val="28"/>
          <w:szCs w:val="28"/>
          <w:lang w:val="en-US" w:eastAsia="zh-CN"/>
          <w14:textFill>
            <w14:solidFill>
              <w14:schemeClr w14:val="tx1"/>
            </w14:solidFill>
          </w14:textFill>
        </w:rPr>
        <w:t>景讷乡大寨村云盘</w:t>
      </w:r>
      <w:r>
        <w:rPr>
          <w:rFonts w:hint="eastAsia" w:ascii="宋体" w:hAnsi="宋体" w:eastAsia="宋体" w:cs="宋体"/>
          <w:color w:val="000000" w:themeColor="text1"/>
          <w:sz w:val="28"/>
          <w:szCs w:val="28"/>
          <w:lang w:val="en-US" w:eastAsia="zh-CN"/>
          <w14:textFill>
            <w14:solidFill>
              <w14:schemeClr w14:val="tx1"/>
            </w14:solidFill>
          </w14:textFill>
        </w:rPr>
        <w:t>光伏电站</w:t>
      </w:r>
      <w:r>
        <w:rPr>
          <w:rFonts w:hint="eastAsia" w:ascii="宋体" w:hAnsi="宋体" w:eastAsia="宋体" w:cs="宋体"/>
          <w:color w:val="000000" w:themeColor="text1"/>
          <w:sz w:val="28"/>
          <w:szCs w:val="28"/>
          <w14:textFill>
            <w14:solidFill>
              <w14:schemeClr w14:val="tx1"/>
            </w14:solidFill>
          </w14:textFill>
        </w:rPr>
        <w:t>项目安全设施设计》等标准、规范的要求等相关内容采用安全检查表对项目场地符合性评价。</w:t>
      </w:r>
    </w:p>
    <w:p w14:paraId="0B3373C1">
      <w:pPr>
        <w:pStyle w:val="8"/>
        <w:keepNext w:val="0"/>
        <w:keepLines w:val="0"/>
        <w:pageBreakBefore w:val="0"/>
        <w:widowControl w:val="0"/>
        <w:kinsoku/>
        <w:wordWrap/>
        <w:overflowPunct/>
        <w:topLinePunct w:val="0"/>
        <w:autoSpaceDE/>
        <w:autoSpaceDN/>
        <w:bidi w:val="0"/>
        <w:spacing w:line="420" w:lineRule="exact"/>
        <w:textAlignment w:val="auto"/>
        <w:rPr>
          <w:rFonts w:hint="eastAsia"/>
          <w:color w:val="000000" w:themeColor="text1"/>
          <w14:textFill>
            <w14:solidFill>
              <w14:schemeClr w14:val="tx1"/>
            </w14:solidFill>
          </w14:textFill>
        </w:rPr>
      </w:pPr>
      <w:r>
        <w:rPr>
          <w:color w:val="000000" w:themeColor="text1"/>
          <w14:textFill>
            <w14:solidFill>
              <w14:schemeClr w14:val="tx1"/>
            </w14:solidFill>
          </w14:textFill>
        </w:rPr>
        <w:t>表</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光伏发电站总平面布置安全检查表</w:t>
      </w:r>
    </w:p>
    <w:tbl>
      <w:tblPr>
        <w:tblStyle w:val="21"/>
        <w:tblW w:w="49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3636"/>
        <w:gridCol w:w="2046"/>
        <w:gridCol w:w="1879"/>
        <w:gridCol w:w="747"/>
      </w:tblGrid>
      <w:tr w14:paraId="69AF7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blHeader/>
          <w:jc w:val="center"/>
        </w:trPr>
        <w:tc>
          <w:tcPr>
            <w:tcW w:w="373" w:type="pct"/>
            <w:noWrap w:val="0"/>
            <w:vAlign w:val="center"/>
          </w:tcPr>
          <w:p w14:paraId="40A5CAE6">
            <w:pPr>
              <w:pStyle w:val="17"/>
              <w:keepNext w:val="0"/>
              <w:keepLines w:val="0"/>
              <w:pageBreakBefore w:val="0"/>
              <w:widowControl w:val="0"/>
              <w:kinsoku/>
              <w:bidi w:val="0"/>
              <w:spacing w:line="240" w:lineRule="exact"/>
              <w:ind w:firstLine="0" w:firstLineChars="0"/>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序号</w:t>
            </w:r>
          </w:p>
        </w:tc>
        <w:tc>
          <w:tcPr>
            <w:tcW w:w="2024" w:type="pct"/>
            <w:noWrap w:val="0"/>
            <w:vAlign w:val="center"/>
          </w:tcPr>
          <w:p w14:paraId="3F1B546C">
            <w:pPr>
              <w:pStyle w:val="17"/>
              <w:keepNext w:val="0"/>
              <w:keepLines w:val="0"/>
              <w:pageBreakBefore w:val="0"/>
              <w:widowControl w:val="0"/>
              <w:kinsoku/>
              <w:bidi w:val="0"/>
              <w:spacing w:line="240" w:lineRule="exact"/>
              <w:ind w:firstLine="0" w:firstLineChars="0"/>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检查项目与内容</w:t>
            </w:r>
          </w:p>
        </w:tc>
        <w:tc>
          <w:tcPr>
            <w:tcW w:w="1139" w:type="pct"/>
            <w:noWrap w:val="0"/>
            <w:vAlign w:val="center"/>
          </w:tcPr>
          <w:p w14:paraId="50F2843B">
            <w:pPr>
              <w:pStyle w:val="17"/>
              <w:keepNext w:val="0"/>
              <w:keepLines w:val="0"/>
              <w:pageBreakBefore w:val="0"/>
              <w:widowControl w:val="0"/>
              <w:kinsoku/>
              <w:bidi w:val="0"/>
              <w:spacing w:line="240" w:lineRule="exact"/>
              <w:ind w:firstLine="0" w:firstLineChars="0"/>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依据标准条款</w:t>
            </w:r>
          </w:p>
        </w:tc>
        <w:tc>
          <w:tcPr>
            <w:tcW w:w="1046" w:type="pct"/>
            <w:noWrap w:val="0"/>
            <w:vAlign w:val="center"/>
          </w:tcPr>
          <w:p w14:paraId="4E46D05D">
            <w:pPr>
              <w:pStyle w:val="17"/>
              <w:keepNext w:val="0"/>
              <w:keepLines w:val="0"/>
              <w:pageBreakBefore w:val="0"/>
              <w:widowControl w:val="0"/>
              <w:kinsoku/>
              <w:bidi w:val="0"/>
              <w:spacing w:line="240" w:lineRule="exact"/>
              <w:ind w:firstLine="0" w:firstLineChars="0"/>
              <w:rPr>
                <w:rFonts w:hint="eastAsia" w:ascii="Times New Roman" w:hAnsi="Times New Roman" w:eastAsia="宋体" w:cs="Times New Roman"/>
                <w:b/>
                <w:bCs/>
                <w:color w:val="000000" w:themeColor="text1"/>
                <w:lang w:eastAsia="zh-CN"/>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检查</w:t>
            </w:r>
            <w:r>
              <w:rPr>
                <w:rFonts w:hint="eastAsia" w:cs="Times New Roman"/>
                <w:b/>
                <w:bCs/>
                <w:color w:val="000000" w:themeColor="text1"/>
                <w:lang w:val="en-US" w:eastAsia="zh-CN"/>
                <w14:textFill>
                  <w14:solidFill>
                    <w14:schemeClr w14:val="tx1"/>
                  </w14:solidFill>
                </w14:textFill>
              </w:rPr>
              <w:t>情况</w:t>
            </w:r>
          </w:p>
        </w:tc>
        <w:tc>
          <w:tcPr>
            <w:tcW w:w="416" w:type="pct"/>
            <w:noWrap w:val="0"/>
            <w:vAlign w:val="center"/>
          </w:tcPr>
          <w:p w14:paraId="69D3DE5C">
            <w:pPr>
              <w:pStyle w:val="17"/>
              <w:keepNext w:val="0"/>
              <w:keepLines w:val="0"/>
              <w:pageBreakBefore w:val="0"/>
              <w:widowControl w:val="0"/>
              <w:kinsoku/>
              <w:bidi w:val="0"/>
              <w:spacing w:line="240" w:lineRule="exact"/>
              <w:ind w:firstLine="0" w:firstLineChars="0"/>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检查结果</w:t>
            </w:r>
          </w:p>
        </w:tc>
      </w:tr>
      <w:tr w14:paraId="7FEF5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373" w:type="pct"/>
            <w:noWrap w:val="0"/>
            <w:vAlign w:val="center"/>
          </w:tcPr>
          <w:p w14:paraId="45731021">
            <w:pPr>
              <w:keepNext w:val="0"/>
              <w:keepLines w:val="0"/>
              <w:pageBreakBefore w:val="0"/>
              <w:widowControl w:val="0"/>
              <w:numPr>
                <w:ilvl w:val="0"/>
                <w:numId w:val="31"/>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7469DA4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配套和服务工业企业的居住区、交通运输、动力公用设施、废料场及环境保护工程、施工基地等用地，应与厂区用地同时选择。</w:t>
            </w:r>
          </w:p>
        </w:tc>
        <w:tc>
          <w:tcPr>
            <w:tcW w:w="1139" w:type="pct"/>
            <w:noWrap w:val="0"/>
            <w:vAlign w:val="center"/>
          </w:tcPr>
          <w:p w14:paraId="143BE5B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《工业企业总平面设计规范》（GB50187-2012）</w:t>
            </w:r>
          </w:p>
          <w:p w14:paraId="75AF30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第3.0.2条</w:t>
            </w:r>
          </w:p>
        </w:tc>
        <w:tc>
          <w:tcPr>
            <w:tcW w:w="1046" w:type="pct"/>
            <w:noWrap w:val="0"/>
            <w:vAlign w:val="center"/>
          </w:tcPr>
          <w:p w14:paraId="4571A2B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交通运输等用地与厂区用地同时选择。</w:t>
            </w:r>
          </w:p>
        </w:tc>
        <w:tc>
          <w:tcPr>
            <w:tcW w:w="416" w:type="pct"/>
            <w:noWrap w:val="0"/>
            <w:vAlign w:val="center"/>
          </w:tcPr>
          <w:p w14:paraId="43A097BA">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1ED4E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3" w:hRule="atLeast"/>
          <w:jc w:val="center"/>
        </w:trPr>
        <w:tc>
          <w:tcPr>
            <w:tcW w:w="373" w:type="pct"/>
            <w:noWrap w:val="0"/>
            <w:vAlign w:val="center"/>
          </w:tcPr>
          <w:p w14:paraId="0254958E">
            <w:pPr>
              <w:keepNext w:val="0"/>
              <w:keepLines w:val="0"/>
              <w:pageBreakBefore w:val="0"/>
              <w:widowControl w:val="0"/>
              <w:numPr>
                <w:ilvl w:val="0"/>
                <w:numId w:val="31"/>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36A773A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站址应有便利和经济的交通运输条件，与厂外铁路、公路的连接，应便捷、工程量小。临近江、河、湖、海的站址，通航条件满足企业运输要求时，应尽量利用水运，且站址宜靠近适合建设码头的地段。</w:t>
            </w:r>
          </w:p>
        </w:tc>
        <w:tc>
          <w:tcPr>
            <w:tcW w:w="1139" w:type="pct"/>
            <w:noWrap w:val="0"/>
            <w:vAlign w:val="center"/>
          </w:tcPr>
          <w:p w14:paraId="6ECE303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《工业企业总平面设计规范》（GB50187-2012）</w:t>
            </w:r>
          </w:p>
          <w:p w14:paraId="36A5ED4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第3.0.5条</w:t>
            </w:r>
          </w:p>
        </w:tc>
        <w:tc>
          <w:tcPr>
            <w:tcW w:w="1046" w:type="pct"/>
            <w:noWrap w:val="0"/>
            <w:vAlign w:val="center"/>
          </w:tcPr>
          <w:p w14:paraId="7336960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站址有较便利的交通运输条件，站区修建了场区道路，交通条件较好。</w:t>
            </w:r>
          </w:p>
        </w:tc>
        <w:tc>
          <w:tcPr>
            <w:tcW w:w="416" w:type="pct"/>
            <w:noWrap w:val="0"/>
            <w:vAlign w:val="center"/>
          </w:tcPr>
          <w:p w14:paraId="778B79EE">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5DE18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373" w:type="pct"/>
            <w:noWrap w:val="0"/>
            <w:vAlign w:val="center"/>
          </w:tcPr>
          <w:p w14:paraId="368863AE">
            <w:pPr>
              <w:keepNext w:val="0"/>
              <w:keepLines w:val="0"/>
              <w:pageBreakBefore w:val="0"/>
              <w:widowControl w:val="0"/>
              <w:numPr>
                <w:ilvl w:val="0"/>
                <w:numId w:val="31"/>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1F64556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站址应位于不受洪水、潮水或内涝威胁的地带，并应符合下列规定：</w:t>
            </w:r>
          </w:p>
          <w:p w14:paraId="5577008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(1)当站址不可避免不受洪水、潮水或内涝威胁的地带时，必须采取防洪、排涝措施；</w:t>
            </w:r>
          </w:p>
          <w:p w14:paraId="2FEA34A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(2)凡受江、河、潮、海洪水、潮水或山洪威胁的工业企业，防洪标准应符合现行国家标准《防洪标准》GB50201的有关规定。</w:t>
            </w:r>
          </w:p>
        </w:tc>
        <w:tc>
          <w:tcPr>
            <w:tcW w:w="1139" w:type="pct"/>
            <w:noWrap w:val="0"/>
            <w:vAlign w:val="center"/>
          </w:tcPr>
          <w:p w14:paraId="48FFDB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《工业企业总平面设计规范》（GB50187-2012）</w:t>
            </w:r>
          </w:p>
          <w:p w14:paraId="6EBC67A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第3.0.12条</w:t>
            </w:r>
          </w:p>
        </w:tc>
        <w:tc>
          <w:tcPr>
            <w:tcW w:w="1046" w:type="pct"/>
            <w:noWrap w:val="0"/>
            <w:vAlign w:val="center"/>
          </w:tcPr>
          <w:p w14:paraId="13A01F3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站址位于山区，站址内不受洪水、潮水或内涝威胁。</w:t>
            </w:r>
          </w:p>
        </w:tc>
        <w:tc>
          <w:tcPr>
            <w:tcW w:w="416" w:type="pct"/>
            <w:noWrap w:val="0"/>
            <w:vAlign w:val="center"/>
          </w:tcPr>
          <w:p w14:paraId="1B85C65A">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01C8A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0" w:hRule="atLeast"/>
          <w:jc w:val="center"/>
        </w:trPr>
        <w:tc>
          <w:tcPr>
            <w:tcW w:w="373" w:type="pct"/>
            <w:noWrap w:val="0"/>
            <w:vAlign w:val="center"/>
          </w:tcPr>
          <w:p w14:paraId="4E1BD913">
            <w:pPr>
              <w:keepNext w:val="0"/>
              <w:keepLines w:val="0"/>
              <w:pageBreakBefore w:val="0"/>
              <w:widowControl w:val="0"/>
              <w:numPr>
                <w:ilvl w:val="0"/>
                <w:numId w:val="31"/>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13503C7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总平面布置，应在总体规划的基础上，根据工业企业的性质、规模、生产流程、交通运输、环境保护，以及防火、安全、卫生、节能、施工、检修、厂区发展等要求，结合场地自然条件，经技术经济比较后择优确定。</w:t>
            </w:r>
          </w:p>
        </w:tc>
        <w:tc>
          <w:tcPr>
            <w:tcW w:w="1139" w:type="pct"/>
            <w:noWrap w:val="0"/>
            <w:vAlign w:val="center"/>
          </w:tcPr>
          <w:p w14:paraId="34C5EBD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《工业企业总平面设计规范》（GB50187-2012）</w:t>
            </w:r>
          </w:p>
          <w:p w14:paraId="4A6D4C6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第5.1.1条</w:t>
            </w:r>
          </w:p>
        </w:tc>
        <w:tc>
          <w:tcPr>
            <w:tcW w:w="1046" w:type="pct"/>
            <w:noWrap w:val="0"/>
            <w:vAlign w:val="center"/>
          </w:tcPr>
          <w:p w14:paraId="70F1B91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总平面布置在总体规划基础上，根据规模、工艺流程、交通运输、防火、安全、卫生等要求确定。</w:t>
            </w:r>
          </w:p>
        </w:tc>
        <w:tc>
          <w:tcPr>
            <w:tcW w:w="416" w:type="pct"/>
            <w:noWrap w:val="0"/>
            <w:vAlign w:val="center"/>
          </w:tcPr>
          <w:p w14:paraId="01F0F65E">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531BE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21C61862">
            <w:pPr>
              <w:keepNext w:val="0"/>
              <w:keepLines w:val="0"/>
              <w:pageBreakBefore w:val="0"/>
              <w:widowControl w:val="0"/>
              <w:numPr>
                <w:ilvl w:val="0"/>
                <w:numId w:val="31"/>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1A6D91F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行政办公及生活服务设施的布置，应位于厂区全年最小频率风向的下风侧，并应符合下列要求：</w:t>
            </w:r>
          </w:p>
          <w:p w14:paraId="749B1DF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(1)应布置在便于行政办公、环境洁净、靠近主要人流出入口、与城镇和居住区联系方便的位置；</w:t>
            </w:r>
          </w:p>
          <w:p w14:paraId="0B8A111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(2)行政办公及生活服务设施的用地面积，不得超过工业项目总用地面积的7%。</w:t>
            </w:r>
          </w:p>
        </w:tc>
        <w:tc>
          <w:tcPr>
            <w:tcW w:w="1139" w:type="pct"/>
            <w:noWrap w:val="0"/>
            <w:vAlign w:val="center"/>
          </w:tcPr>
          <w:p w14:paraId="25A64BE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《工业企业总平面设计规范》（GB50187-2012）</w:t>
            </w:r>
          </w:p>
          <w:p w14:paraId="296AACE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第5.7.1条</w:t>
            </w:r>
          </w:p>
        </w:tc>
        <w:tc>
          <w:tcPr>
            <w:tcW w:w="1046" w:type="pct"/>
            <w:noWrap w:val="0"/>
            <w:vAlign w:val="center"/>
          </w:tcPr>
          <w:p w14:paraId="5D6DFB3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电站位于山坡，无有毒、有害气体产生。办公及生活服务设施布置于综合楼，不受风向影响。</w:t>
            </w:r>
          </w:p>
        </w:tc>
        <w:tc>
          <w:tcPr>
            <w:tcW w:w="416" w:type="pct"/>
            <w:noWrap w:val="0"/>
            <w:vAlign w:val="center"/>
          </w:tcPr>
          <w:p w14:paraId="05215D4A">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276A2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224101ED">
            <w:pPr>
              <w:keepNext w:val="0"/>
              <w:keepLines w:val="0"/>
              <w:pageBreakBefore w:val="0"/>
              <w:widowControl w:val="0"/>
              <w:numPr>
                <w:ilvl w:val="0"/>
                <w:numId w:val="31"/>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0226FED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光伏发电站设计应综合考虑日照条件、土地和建筑条件、安装和运输条件等因素，满足适用、安全、经济、环保、美观，便于安装和维护的要求。</w:t>
            </w:r>
          </w:p>
        </w:tc>
        <w:tc>
          <w:tcPr>
            <w:tcW w:w="1139" w:type="pct"/>
            <w:noWrap w:val="0"/>
            <w:vAlign w:val="center"/>
          </w:tcPr>
          <w:p w14:paraId="3B8B468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《光伏发电站设计规范》（GB50797-2012）</w:t>
            </w:r>
          </w:p>
          <w:p w14:paraId="274A0C2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第3.0.1条</w:t>
            </w:r>
          </w:p>
        </w:tc>
        <w:tc>
          <w:tcPr>
            <w:tcW w:w="1046" w:type="pct"/>
            <w:noWrap w:val="0"/>
            <w:vAlign w:val="center"/>
          </w:tcPr>
          <w:p w14:paraId="73C347C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电站设计综合考虑了日照条件、土地和建筑条件、安装和运输条件等因素，满足适用、安全、经济、环保、美观，便于安装和维护的要求。</w:t>
            </w:r>
          </w:p>
        </w:tc>
        <w:tc>
          <w:tcPr>
            <w:tcW w:w="416" w:type="pct"/>
            <w:noWrap w:val="0"/>
            <w:vAlign w:val="center"/>
          </w:tcPr>
          <w:p w14:paraId="3CDC3120">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340C8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15806372">
            <w:pPr>
              <w:keepNext w:val="0"/>
              <w:keepLines w:val="0"/>
              <w:pageBreakBefore w:val="0"/>
              <w:widowControl w:val="0"/>
              <w:numPr>
                <w:ilvl w:val="0"/>
                <w:numId w:val="31"/>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46D5B3E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光伏发电站选址时，应研究电网结构、电力负荷、交通、运输、环境保护要求、出线走廊、地质、地震、地形、水文、气象、占地拆迁、施工，以及周围工矿企业对电站的影响等条件，拟订初步方案，通过全面的技术经济比较和经济效益分析，提出论证和评价。当有多个候选站址时，应提出推荐站址的排序。</w:t>
            </w:r>
          </w:p>
        </w:tc>
        <w:tc>
          <w:tcPr>
            <w:tcW w:w="1139" w:type="pct"/>
            <w:noWrap w:val="0"/>
            <w:vAlign w:val="center"/>
          </w:tcPr>
          <w:p w14:paraId="6824D71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《光伏发电站设计规范》（GB50797-2012）</w:t>
            </w:r>
          </w:p>
          <w:p w14:paraId="74C258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第4.0.2条</w:t>
            </w:r>
          </w:p>
        </w:tc>
        <w:tc>
          <w:tcPr>
            <w:tcW w:w="1046" w:type="pct"/>
            <w:noWrap w:val="0"/>
            <w:vAlign w:val="center"/>
          </w:tcPr>
          <w:p w14:paraId="3C28750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电站选址时，考虑了电网结构、电力负荷、交通、运输、环境保护要求、出线、地质、地震、地形、水文、气象、占地、施工等条件。</w:t>
            </w:r>
          </w:p>
        </w:tc>
        <w:tc>
          <w:tcPr>
            <w:tcW w:w="416" w:type="pct"/>
            <w:noWrap w:val="0"/>
            <w:vAlign w:val="center"/>
          </w:tcPr>
          <w:p w14:paraId="28582E90">
            <w:pPr>
              <w:pStyle w:val="17"/>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4E06A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374504D6">
            <w:pPr>
              <w:keepNext w:val="0"/>
              <w:keepLines w:val="0"/>
              <w:pageBreakBefore w:val="0"/>
              <w:widowControl w:val="0"/>
              <w:numPr>
                <w:ilvl w:val="0"/>
                <w:numId w:val="31"/>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406C6AC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站址场地标高应满足与光伏发电站等级相对应的防洪标准，见表4.0.3。对于站内地面低于上述高水位的区域，应有防洪设施。防排洪设施宜在首期工程中按规划容量统一规划，分期实施。</w:t>
            </w:r>
          </w:p>
          <w:p w14:paraId="2B69169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对位于山区的光伏发电站，应考虑防山洪和排山洪的措施，防排设施应按频率为1％的山洪设计。</w:t>
            </w:r>
          </w:p>
        </w:tc>
        <w:tc>
          <w:tcPr>
            <w:tcW w:w="1139" w:type="pct"/>
            <w:noWrap w:val="0"/>
            <w:vAlign w:val="center"/>
          </w:tcPr>
          <w:p w14:paraId="2316750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《光伏发电站设计规范》（GB50797-2012）</w:t>
            </w:r>
          </w:p>
          <w:p w14:paraId="23DB18B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第4.0.3条</w:t>
            </w:r>
          </w:p>
        </w:tc>
        <w:tc>
          <w:tcPr>
            <w:tcW w:w="1046" w:type="pct"/>
            <w:noWrap w:val="0"/>
            <w:vAlign w:val="center"/>
          </w:tcPr>
          <w:p w14:paraId="05DCC52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站址位于山坡上，避开山沟，站内未发现有水区域。</w:t>
            </w:r>
          </w:p>
        </w:tc>
        <w:tc>
          <w:tcPr>
            <w:tcW w:w="416" w:type="pct"/>
            <w:noWrap w:val="0"/>
            <w:vAlign w:val="center"/>
          </w:tcPr>
          <w:p w14:paraId="49AF7BE7">
            <w:pPr>
              <w:pStyle w:val="17"/>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0BBBB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3" w:type="pct"/>
            <w:noWrap w:val="0"/>
            <w:vAlign w:val="center"/>
          </w:tcPr>
          <w:p w14:paraId="669DF50F">
            <w:pPr>
              <w:keepNext w:val="0"/>
              <w:keepLines w:val="0"/>
              <w:pageBreakBefore w:val="0"/>
              <w:widowControl w:val="0"/>
              <w:numPr>
                <w:ilvl w:val="0"/>
                <w:numId w:val="31"/>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1CB5BCD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选择站址时应避开地质灾害易发区，如有危岩、泥石流、岩溶发育、滑坡的地段和发震断裂地带等。</w:t>
            </w:r>
          </w:p>
        </w:tc>
        <w:tc>
          <w:tcPr>
            <w:tcW w:w="1139" w:type="pct"/>
            <w:noWrap w:val="0"/>
            <w:vAlign w:val="center"/>
          </w:tcPr>
          <w:p w14:paraId="51F0594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《光伏发电站设计规范》（GB50797-2012）</w:t>
            </w:r>
          </w:p>
          <w:p w14:paraId="3300403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第4.0.6条</w:t>
            </w:r>
          </w:p>
        </w:tc>
        <w:tc>
          <w:tcPr>
            <w:tcW w:w="1046" w:type="pct"/>
            <w:noWrap w:val="0"/>
            <w:vAlign w:val="center"/>
          </w:tcPr>
          <w:p w14:paraId="23C6A75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站址时避开地质灾害易发区，如岩溶、断裂地带等。</w:t>
            </w:r>
          </w:p>
        </w:tc>
        <w:tc>
          <w:tcPr>
            <w:tcW w:w="416" w:type="pct"/>
            <w:noWrap w:val="0"/>
            <w:vAlign w:val="center"/>
          </w:tcPr>
          <w:p w14:paraId="0ACA2D19">
            <w:pPr>
              <w:pStyle w:val="17"/>
              <w:keepNext w:val="0"/>
              <w:keepLines w:val="0"/>
              <w:pageBreakBefore w:val="0"/>
              <w:widowControl w:val="0"/>
              <w:kinsoku/>
              <w:bidi w:val="0"/>
              <w:spacing w:line="240" w:lineRule="exact"/>
              <w:ind w:firstLine="0" w:firstLineChars="0"/>
              <w:rPr>
                <w:rFonts w:hint="eastAsia" w:ascii="宋体" w:hAnsi="宋体" w:eastAsia="宋体" w:cs="Times New Roman"/>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553FE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0AB5B3F1">
            <w:pPr>
              <w:keepNext w:val="0"/>
              <w:keepLines w:val="0"/>
              <w:pageBreakBefore w:val="0"/>
              <w:widowControl w:val="0"/>
              <w:numPr>
                <w:ilvl w:val="0"/>
                <w:numId w:val="31"/>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0E01B74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应根据电力系统规划设计的网络结构、负荷分布，结合城乡规划、征地拆迁等要求进行全面综合考虑。应通过技术经济比较和经济效益分析，择优选择站址。</w:t>
            </w:r>
          </w:p>
        </w:tc>
        <w:tc>
          <w:tcPr>
            <w:tcW w:w="1139" w:type="pct"/>
            <w:noWrap w:val="0"/>
            <w:vAlign w:val="center"/>
          </w:tcPr>
          <w:p w14:paraId="6E2887D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《35kV～220kV无人值班变电站设计技术规程》（DL/T5103-2012）第3.1.1条</w:t>
            </w:r>
          </w:p>
        </w:tc>
        <w:tc>
          <w:tcPr>
            <w:tcW w:w="1046" w:type="pct"/>
            <w:noWrap w:val="0"/>
            <w:vAlign w:val="center"/>
          </w:tcPr>
          <w:p w14:paraId="68BB259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选址时根据电力系统规划布置开关站。</w:t>
            </w:r>
          </w:p>
        </w:tc>
        <w:tc>
          <w:tcPr>
            <w:tcW w:w="416" w:type="pct"/>
            <w:noWrap w:val="0"/>
            <w:vAlign w:val="center"/>
          </w:tcPr>
          <w:p w14:paraId="2A80624C">
            <w:pPr>
              <w:pStyle w:val="17"/>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7A435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6D5499EA">
            <w:pPr>
              <w:keepNext w:val="0"/>
              <w:keepLines w:val="0"/>
              <w:pageBreakBefore w:val="0"/>
              <w:widowControl w:val="0"/>
              <w:numPr>
                <w:ilvl w:val="0"/>
                <w:numId w:val="31"/>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7EEA138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总平面布置应结合站址自然地形地貌、周围环境等，因地制宜进行规划和布置。</w:t>
            </w:r>
          </w:p>
        </w:tc>
        <w:tc>
          <w:tcPr>
            <w:tcW w:w="1139" w:type="pct"/>
            <w:noWrap w:val="0"/>
            <w:vAlign w:val="center"/>
          </w:tcPr>
          <w:p w14:paraId="530A290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《35kV～220kV无人值班变电站设计技术规程》（DL/T5103-2012）第3.2.1条</w:t>
            </w:r>
          </w:p>
        </w:tc>
        <w:tc>
          <w:tcPr>
            <w:tcW w:w="1046" w:type="pct"/>
            <w:noWrap w:val="0"/>
            <w:vAlign w:val="center"/>
          </w:tcPr>
          <w:p w14:paraId="68E37A1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总平面布置结合选址自然地形地貌、周围环境进行布置。</w:t>
            </w:r>
          </w:p>
        </w:tc>
        <w:tc>
          <w:tcPr>
            <w:tcW w:w="416" w:type="pct"/>
            <w:noWrap w:val="0"/>
            <w:vAlign w:val="center"/>
          </w:tcPr>
          <w:p w14:paraId="49FFD9C7">
            <w:pPr>
              <w:pStyle w:val="17"/>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66603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6395E268">
            <w:pPr>
              <w:keepNext w:val="0"/>
              <w:keepLines w:val="0"/>
              <w:pageBreakBefore w:val="0"/>
              <w:widowControl w:val="0"/>
              <w:numPr>
                <w:ilvl w:val="0"/>
                <w:numId w:val="31"/>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3124C0A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总平面布置应注重保护周边自然植被，自然水域、水系，自然景观等。</w:t>
            </w:r>
          </w:p>
        </w:tc>
        <w:tc>
          <w:tcPr>
            <w:tcW w:w="1139" w:type="pct"/>
            <w:noWrap w:val="0"/>
            <w:vAlign w:val="center"/>
          </w:tcPr>
          <w:p w14:paraId="66FA2BA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《35kV～220kV无人值班变电站设计技术规程》（DL/T5103-2012）第3.2.2条</w:t>
            </w:r>
          </w:p>
        </w:tc>
        <w:tc>
          <w:tcPr>
            <w:tcW w:w="1046" w:type="pct"/>
            <w:noWrap w:val="0"/>
            <w:vAlign w:val="center"/>
          </w:tcPr>
          <w:p w14:paraId="5BBA85F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总平面布置注重保护周边自然植被、自然景观等。</w:t>
            </w:r>
          </w:p>
        </w:tc>
        <w:tc>
          <w:tcPr>
            <w:tcW w:w="416" w:type="pct"/>
            <w:noWrap w:val="0"/>
            <w:vAlign w:val="center"/>
          </w:tcPr>
          <w:p w14:paraId="3D957696">
            <w:pPr>
              <w:pStyle w:val="17"/>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4B2DC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385C6789">
            <w:pPr>
              <w:keepNext w:val="0"/>
              <w:keepLines w:val="0"/>
              <w:pageBreakBefore w:val="0"/>
              <w:widowControl w:val="0"/>
              <w:numPr>
                <w:ilvl w:val="0"/>
                <w:numId w:val="31"/>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bookmarkStart w:id="411" w:name="_Toc23225"/>
            <w:bookmarkStart w:id="412" w:name="_Toc14131"/>
          </w:p>
        </w:tc>
        <w:tc>
          <w:tcPr>
            <w:tcW w:w="2024" w:type="pct"/>
            <w:shd w:val="clear" w:color="auto" w:fill="auto"/>
            <w:noWrap w:val="0"/>
            <w:vAlign w:val="top"/>
          </w:tcPr>
          <w:p w14:paraId="3FCBD993">
            <w:pPr>
              <w:pStyle w:val="26"/>
              <w:spacing w:before="49" w:line="226" w:lineRule="auto"/>
              <w:ind w:left="102" w:leftChars="0" w:right="102" w:rightChars="0" w:firstLine="0" w:firstLineChars="0"/>
              <w:rPr>
                <w:rFonts w:hint="eastAsia" w:ascii="宋体" w:hAnsi="宋体" w:eastAsia="宋体" w:cs="宋体"/>
                <w:color w:val="000000" w:themeColor="text1"/>
                <w:spacing w:val="7"/>
                <w:kern w:val="2"/>
                <w:sz w:val="21"/>
                <w:szCs w:val="21"/>
                <w:lang w:val="en-US" w:eastAsia="zh-CN" w:bidi="ar-SA"/>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场区处在宽缓斜坡上，需考虑场区截、 排水措施。地基防冲措施。</w:t>
            </w:r>
          </w:p>
        </w:tc>
        <w:tc>
          <w:tcPr>
            <w:tcW w:w="1139" w:type="pct"/>
            <w:shd w:val="clear" w:color="auto" w:fill="auto"/>
            <w:noWrap w:val="0"/>
            <w:vAlign w:val="center"/>
          </w:tcPr>
          <w:p w14:paraId="558217A4">
            <w:pPr>
              <w:pStyle w:val="26"/>
              <w:spacing w:before="49" w:line="226" w:lineRule="auto"/>
              <w:ind w:left="112" w:leftChars="0" w:right="101" w:rightChars="0" w:firstLine="5"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pacing w:val="31"/>
                <w:sz w:val="21"/>
                <w:szCs w:val="21"/>
                <w14:textFill>
                  <w14:solidFill>
                    <w14:schemeClr w14:val="tx1"/>
                  </w14:solidFill>
                </w14:textFill>
              </w:rPr>
              <w:t>《</w:t>
            </w:r>
            <w:r>
              <w:rPr>
                <w:rFonts w:hint="eastAsia" w:ascii="宋体" w:hAnsi="宋体" w:eastAsia="宋体" w:cs="宋体"/>
                <w:color w:val="000000" w:themeColor="text1"/>
                <w:spacing w:val="-30"/>
                <w:sz w:val="21"/>
                <w:szCs w:val="21"/>
                <w14:textFill>
                  <w14:solidFill>
                    <w14:schemeClr w14:val="tx1"/>
                  </w14:solidFill>
                </w14:textFill>
              </w:rPr>
              <w:t xml:space="preserve"> </w:t>
            </w:r>
            <w:r>
              <w:rPr>
                <w:rFonts w:hint="eastAsia" w:ascii="宋体" w:hAnsi="宋体" w:eastAsia="宋体" w:cs="宋体"/>
                <w:color w:val="000000" w:themeColor="text1"/>
                <w:spacing w:val="31"/>
                <w:sz w:val="21"/>
                <w:szCs w:val="21"/>
                <w14:textFill>
                  <w14:solidFill>
                    <w14:schemeClr w14:val="tx1"/>
                  </w14:solidFill>
                </w14:textFill>
              </w:rPr>
              <w:t>项目安全设施设</w:t>
            </w:r>
            <w:r>
              <w:rPr>
                <w:rFonts w:hint="eastAsia" w:ascii="宋体" w:hAnsi="宋体" w:eastAsia="宋体" w:cs="宋体"/>
                <w:color w:val="000000" w:themeColor="text1"/>
                <w:sz w:val="21"/>
                <w:szCs w:val="21"/>
                <w14:textFill>
                  <w14:solidFill>
                    <w14:schemeClr w14:val="tx1"/>
                  </w14:solidFill>
                </w14:textFill>
              </w:rPr>
              <w:t>计》</w:t>
            </w:r>
          </w:p>
        </w:tc>
        <w:tc>
          <w:tcPr>
            <w:tcW w:w="1046" w:type="pct"/>
            <w:shd w:val="clear" w:color="auto" w:fill="auto"/>
            <w:noWrap w:val="0"/>
            <w:vAlign w:val="center"/>
          </w:tcPr>
          <w:p w14:paraId="39ADBA5A">
            <w:pPr>
              <w:pStyle w:val="26"/>
              <w:spacing w:before="49" w:line="226" w:lineRule="auto"/>
              <w:ind w:left="120" w:leftChars="0" w:right="96" w:rightChars="0" w:firstLine="2"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项目建设现场符合设计要求。</w:t>
            </w:r>
          </w:p>
        </w:tc>
        <w:tc>
          <w:tcPr>
            <w:tcW w:w="416" w:type="pct"/>
            <w:shd w:val="clear" w:color="auto" w:fill="auto"/>
            <w:noWrap w:val="0"/>
            <w:vAlign w:val="top"/>
          </w:tcPr>
          <w:p w14:paraId="056A9E59">
            <w:pPr>
              <w:pStyle w:val="26"/>
              <w:spacing w:before="182" w:line="228" w:lineRule="auto"/>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符合</w:t>
            </w:r>
          </w:p>
        </w:tc>
      </w:tr>
      <w:tr w14:paraId="34E82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5A43F581">
            <w:pPr>
              <w:keepNext w:val="0"/>
              <w:keepLines w:val="0"/>
              <w:pageBreakBefore w:val="0"/>
              <w:widowControl w:val="0"/>
              <w:numPr>
                <w:ilvl w:val="0"/>
                <w:numId w:val="31"/>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shd w:val="clear" w:color="auto" w:fill="auto"/>
            <w:noWrap w:val="0"/>
            <w:vAlign w:val="top"/>
          </w:tcPr>
          <w:p w14:paraId="05A8FC34">
            <w:pPr>
              <w:pStyle w:val="26"/>
              <w:keepNext w:val="0"/>
              <w:keepLines w:val="0"/>
              <w:pageBreakBefore w:val="0"/>
              <w:widowControl w:val="0"/>
              <w:kinsoku/>
              <w:wordWrap/>
              <w:overflowPunct/>
              <w:topLinePunct w:val="0"/>
              <w:autoSpaceDE/>
              <w:autoSpaceDN/>
              <w:bidi w:val="0"/>
              <w:adjustRightInd/>
              <w:snapToGrid/>
              <w:spacing w:before="49" w:line="226" w:lineRule="auto"/>
              <w:ind w:left="102" w:leftChars="0" w:right="102" w:rightChars="0" w:firstLine="0" w:firstLineChars="0"/>
              <w:textAlignment w:val="auto"/>
              <w:rPr>
                <w:rFonts w:hint="eastAsia" w:ascii="宋体" w:hAnsi="宋体" w:eastAsia="宋体" w:cs="宋体"/>
                <w:color w:val="000000" w:themeColor="text1"/>
                <w:spacing w:val="7"/>
                <w:kern w:val="2"/>
                <w:sz w:val="21"/>
                <w:szCs w:val="21"/>
                <w:lang w:val="en-US" w:eastAsia="zh-CN" w:bidi="ar-SA"/>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场区地下水埋藏较深，位于各建筑物基础之下，对地基稳定基木 无影响。鉴于光伏板多布置于山体半坡或相对宽缓的山顶，雨季受雨水冲 刷，可能影响地基稳定性，需进行防冲刷措施，在坡面汇流区结合道路排 水设置浆砌石排水沟，排水沟尺寸30cm×30cm。</w:t>
            </w:r>
          </w:p>
        </w:tc>
        <w:tc>
          <w:tcPr>
            <w:tcW w:w="1139" w:type="pct"/>
            <w:shd w:val="clear" w:color="auto" w:fill="auto"/>
            <w:noWrap w:val="0"/>
            <w:vAlign w:val="center"/>
          </w:tcPr>
          <w:p w14:paraId="64665AA4">
            <w:pPr>
              <w:pStyle w:val="26"/>
              <w:spacing w:before="49" w:line="226" w:lineRule="auto"/>
              <w:ind w:left="112" w:leftChars="0" w:right="101" w:rightChars="0" w:firstLine="5"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pacing w:val="31"/>
                <w:sz w:val="21"/>
                <w:szCs w:val="21"/>
                <w14:textFill>
                  <w14:solidFill>
                    <w14:schemeClr w14:val="tx1"/>
                  </w14:solidFill>
                </w14:textFill>
              </w:rPr>
              <w:t>《</w:t>
            </w:r>
            <w:r>
              <w:rPr>
                <w:rFonts w:hint="eastAsia" w:ascii="宋体" w:hAnsi="宋体" w:eastAsia="宋体" w:cs="宋体"/>
                <w:color w:val="000000" w:themeColor="text1"/>
                <w:spacing w:val="-30"/>
                <w:sz w:val="21"/>
                <w:szCs w:val="21"/>
                <w14:textFill>
                  <w14:solidFill>
                    <w14:schemeClr w14:val="tx1"/>
                  </w14:solidFill>
                </w14:textFill>
              </w:rPr>
              <w:t xml:space="preserve"> </w:t>
            </w:r>
            <w:r>
              <w:rPr>
                <w:rFonts w:hint="eastAsia" w:ascii="宋体" w:hAnsi="宋体" w:eastAsia="宋体" w:cs="宋体"/>
                <w:color w:val="000000" w:themeColor="text1"/>
                <w:spacing w:val="31"/>
                <w:sz w:val="21"/>
                <w:szCs w:val="21"/>
                <w14:textFill>
                  <w14:solidFill>
                    <w14:schemeClr w14:val="tx1"/>
                  </w14:solidFill>
                </w14:textFill>
              </w:rPr>
              <w:t>项目安全设施设</w:t>
            </w:r>
            <w:r>
              <w:rPr>
                <w:rFonts w:hint="eastAsia" w:ascii="宋体" w:hAnsi="宋体" w:eastAsia="宋体" w:cs="宋体"/>
                <w:color w:val="000000" w:themeColor="text1"/>
                <w:sz w:val="21"/>
                <w:szCs w:val="21"/>
                <w14:textFill>
                  <w14:solidFill>
                    <w14:schemeClr w14:val="tx1"/>
                  </w14:solidFill>
                </w14:textFill>
              </w:rPr>
              <w:t>计》</w:t>
            </w:r>
          </w:p>
        </w:tc>
        <w:tc>
          <w:tcPr>
            <w:tcW w:w="1046" w:type="pct"/>
            <w:shd w:val="clear" w:color="auto" w:fill="auto"/>
            <w:noWrap w:val="0"/>
            <w:vAlign w:val="center"/>
          </w:tcPr>
          <w:p w14:paraId="166FDFFB">
            <w:pPr>
              <w:pStyle w:val="26"/>
              <w:spacing w:before="49" w:line="226" w:lineRule="auto"/>
              <w:ind w:left="120" w:leftChars="0" w:right="96" w:rightChars="0" w:firstLine="2"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项目建设现场符合设计要求。</w:t>
            </w:r>
          </w:p>
        </w:tc>
        <w:tc>
          <w:tcPr>
            <w:tcW w:w="416" w:type="pct"/>
            <w:shd w:val="clear" w:color="auto" w:fill="auto"/>
            <w:noWrap w:val="0"/>
            <w:vAlign w:val="top"/>
          </w:tcPr>
          <w:p w14:paraId="0EA5DB5F">
            <w:pPr>
              <w:pStyle w:val="26"/>
              <w:spacing w:before="182" w:line="228" w:lineRule="auto"/>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符合</w:t>
            </w:r>
          </w:p>
        </w:tc>
      </w:tr>
      <w:tr w14:paraId="7AD2F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3D3080CD">
            <w:pPr>
              <w:keepNext w:val="0"/>
              <w:keepLines w:val="0"/>
              <w:pageBreakBefore w:val="0"/>
              <w:widowControl w:val="0"/>
              <w:numPr>
                <w:ilvl w:val="0"/>
                <w:numId w:val="31"/>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shd w:val="clear" w:color="auto" w:fill="auto"/>
            <w:noWrap w:val="0"/>
            <w:vAlign w:val="top"/>
          </w:tcPr>
          <w:p w14:paraId="7D202A39">
            <w:pPr>
              <w:keepNext w:val="0"/>
              <w:keepLines w:val="0"/>
              <w:pageBreakBefore w:val="0"/>
              <w:widowControl w:val="0"/>
              <w:kinsoku/>
              <w:wordWrap/>
              <w:overflowPunct/>
              <w:topLinePunct w:val="0"/>
              <w:autoSpaceDE/>
              <w:autoSpaceDN/>
              <w:bidi w:val="0"/>
              <w:adjustRightInd/>
              <w:snapToGrid/>
              <w:spacing w:line="360" w:lineRule="exact"/>
              <w:ind w:left="0" w:leftChars="0" w:right="0" w:firstLine="0" w:firstLineChars="0"/>
              <w:jc w:val="both"/>
              <w:textAlignment w:val="auto"/>
              <w:rPr>
                <w:rFonts w:hint="default" w:ascii="宋体" w:hAnsi="宋体" w:eastAsia="宋体" w:cs="宋体"/>
                <w:color w:val="000000" w:themeColor="text1"/>
                <w:spacing w:val="7"/>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围栏布置：</w:t>
            </w:r>
            <w:r>
              <w:rPr>
                <w:rFonts w:hint="eastAsia" w:ascii="宋体" w:hAnsi="宋体" w:eastAsia="宋体" w:cs="宋体"/>
                <w:color w:val="000000" w:themeColor="text1"/>
                <w:sz w:val="21"/>
                <w:szCs w:val="21"/>
                <w:lang w:val="en-US" w:eastAsia="en-US"/>
                <w14:textFill>
                  <w14:solidFill>
                    <w14:schemeClr w14:val="tx1"/>
                  </w14:solidFill>
                </w14:textFill>
              </w:rPr>
              <w:t>采用浸塑式简易围栏，高度1.8m, 共计围栏长度13.57km。大门选用 4m 平开大门。围栏基础采用C20 素混凝土独立基础，基础尺寸为0300× 500mm,  基础埋深500mm, 基础间距3 .0m。围栏每隔100m 在立柱两侧设 置一组斜撑，每隔200m 或改变方向处在立柱三个方向设置斜撑。</w:t>
            </w:r>
          </w:p>
        </w:tc>
        <w:tc>
          <w:tcPr>
            <w:tcW w:w="1139" w:type="pct"/>
            <w:shd w:val="clear" w:color="auto" w:fill="auto"/>
            <w:noWrap w:val="0"/>
            <w:vAlign w:val="center"/>
          </w:tcPr>
          <w:p w14:paraId="61F491CD">
            <w:pPr>
              <w:pStyle w:val="26"/>
              <w:spacing w:before="49" w:line="226" w:lineRule="auto"/>
              <w:ind w:left="112" w:leftChars="0" w:right="101" w:rightChars="0" w:firstLine="5"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pacing w:val="31"/>
                <w:sz w:val="21"/>
                <w:szCs w:val="21"/>
                <w14:textFill>
                  <w14:solidFill>
                    <w14:schemeClr w14:val="tx1"/>
                  </w14:solidFill>
                </w14:textFill>
              </w:rPr>
              <w:t>《</w:t>
            </w:r>
            <w:r>
              <w:rPr>
                <w:rFonts w:hint="eastAsia" w:ascii="宋体" w:hAnsi="宋体" w:eastAsia="宋体" w:cs="宋体"/>
                <w:color w:val="000000" w:themeColor="text1"/>
                <w:spacing w:val="-30"/>
                <w:sz w:val="21"/>
                <w:szCs w:val="21"/>
                <w14:textFill>
                  <w14:solidFill>
                    <w14:schemeClr w14:val="tx1"/>
                  </w14:solidFill>
                </w14:textFill>
              </w:rPr>
              <w:t xml:space="preserve"> </w:t>
            </w:r>
            <w:r>
              <w:rPr>
                <w:rFonts w:hint="eastAsia" w:ascii="宋体" w:hAnsi="宋体" w:eastAsia="宋体" w:cs="宋体"/>
                <w:color w:val="000000" w:themeColor="text1"/>
                <w:spacing w:val="31"/>
                <w:sz w:val="21"/>
                <w:szCs w:val="21"/>
                <w14:textFill>
                  <w14:solidFill>
                    <w14:schemeClr w14:val="tx1"/>
                  </w14:solidFill>
                </w14:textFill>
              </w:rPr>
              <w:t>项目安全设施设</w:t>
            </w:r>
            <w:r>
              <w:rPr>
                <w:rFonts w:hint="eastAsia" w:ascii="宋体" w:hAnsi="宋体" w:eastAsia="宋体" w:cs="宋体"/>
                <w:color w:val="000000" w:themeColor="text1"/>
                <w:sz w:val="21"/>
                <w:szCs w:val="21"/>
                <w14:textFill>
                  <w14:solidFill>
                    <w14:schemeClr w14:val="tx1"/>
                  </w14:solidFill>
                </w14:textFill>
              </w:rPr>
              <w:t>计》</w:t>
            </w:r>
          </w:p>
        </w:tc>
        <w:tc>
          <w:tcPr>
            <w:tcW w:w="1046" w:type="pct"/>
            <w:shd w:val="clear" w:color="auto" w:fill="auto"/>
            <w:noWrap w:val="0"/>
            <w:vAlign w:val="top"/>
          </w:tcPr>
          <w:p w14:paraId="6757FDB0">
            <w:pPr>
              <w:pStyle w:val="26"/>
              <w:spacing w:before="49" w:line="226" w:lineRule="auto"/>
              <w:ind w:left="120" w:leftChars="0" w:right="96" w:rightChars="0" w:firstLine="2" w:firstLineChars="0"/>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项目建设现场符</w:t>
            </w:r>
            <w:r>
              <w:rPr>
                <w:rFonts w:hint="eastAsia" w:ascii="宋体" w:hAnsi="宋体" w:eastAsia="宋体" w:cs="宋体"/>
                <w:color w:val="000000" w:themeColor="text1"/>
                <w:spacing w:val="6"/>
                <w:sz w:val="21"/>
                <w:szCs w:val="21"/>
                <w14:textFill>
                  <w14:solidFill>
                    <w14:schemeClr w14:val="tx1"/>
                  </w14:solidFill>
                </w14:textFill>
              </w:rPr>
              <w:t>合设计要求。</w:t>
            </w:r>
          </w:p>
        </w:tc>
        <w:tc>
          <w:tcPr>
            <w:tcW w:w="416" w:type="pct"/>
            <w:shd w:val="clear" w:color="auto" w:fill="auto"/>
            <w:noWrap w:val="0"/>
            <w:vAlign w:val="top"/>
          </w:tcPr>
          <w:p w14:paraId="74A76042">
            <w:pPr>
              <w:pStyle w:val="26"/>
              <w:spacing w:before="182" w:line="228" w:lineRule="auto"/>
              <w:ind w:firstLine="0" w:firstLineChars="0"/>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符合</w:t>
            </w:r>
          </w:p>
        </w:tc>
      </w:tr>
      <w:bookmarkEnd w:id="411"/>
      <w:bookmarkEnd w:id="412"/>
    </w:tbl>
    <w:p w14:paraId="0BDD7186">
      <w:pPr>
        <w:pageBreakBefore w:val="0"/>
        <w:widowControl w:val="0"/>
        <w:kinsoku/>
        <w:wordWrap/>
        <w:overflowPunct/>
        <w:topLinePunct w:val="0"/>
        <w:autoSpaceDE/>
        <w:autoSpaceDN/>
        <w:bidi w:val="0"/>
        <w:spacing w:line="420" w:lineRule="exact"/>
        <w:ind w:firstLine="560" w:firstLineChars="200"/>
        <w:jc w:val="left"/>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评价分析：针对项目场地符合性安全检查表内的 1</w:t>
      </w:r>
      <w:r>
        <w:rPr>
          <w:rFonts w:hint="eastAsia" w:ascii="宋体" w:hAnsi="宋体" w:cs="宋体"/>
          <w:color w:val="000000" w:themeColor="text1"/>
          <w:kern w:val="2"/>
          <w:sz w:val="28"/>
          <w:szCs w:val="24"/>
          <w:lang w:val="en-US" w:eastAsia="zh-CN" w:bidi="ar-SA"/>
          <w14:textFill>
            <w14:solidFill>
              <w14:schemeClr w14:val="tx1"/>
            </w14:solidFill>
          </w14:textFill>
        </w:rPr>
        <w:t>5</w:t>
      </w:r>
      <w:r>
        <w:rPr>
          <w:rFonts w:hint="eastAsia" w:ascii="宋体" w:hAnsi="宋体" w:eastAsia="宋体" w:cs="宋体"/>
          <w:color w:val="000000" w:themeColor="text1"/>
          <w:kern w:val="2"/>
          <w:sz w:val="28"/>
          <w:szCs w:val="24"/>
          <w:lang w:val="en-US" w:eastAsia="zh-CN" w:bidi="ar-SA"/>
          <w14:textFill>
            <w14:solidFill>
              <w14:schemeClr w14:val="tx1"/>
            </w14:solidFill>
          </w14:textFill>
        </w:rPr>
        <w:t xml:space="preserve"> 项内容，其中1</w:t>
      </w:r>
      <w:r>
        <w:rPr>
          <w:rFonts w:hint="eastAsia" w:ascii="宋体" w:hAnsi="宋体" w:cs="宋体"/>
          <w:color w:val="000000" w:themeColor="text1"/>
          <w:kern w:val="2"/>
          <w:sz w:val="28"/>
          <w:szCs w:val="24"/>
          <w:lang w:val="en-US" w:eastAsia="zh-CN" w:bidi="ar-SA"/>
          <w14:textFill>
            <w14:solidFill>
              <w14:schemeClr w14:val="tx1"/>
            </w14:solidFill>
          </w14:textFill>
        </w:rPr>
        <w:t>5</w:t>
      </w:r>
      <w:r>
        <w:rPr>
          <w:rFonts w:hint="eastAsia" w:ascii="宋体" w:hAnsi="宋体" w:eastAsia="宋体" w:cs="宋体"/>
          <w:color w:val="000000" w:themeColor="text1"/>
          <w:kern w:val="2"/>
          <w:sz w:val="28"/>
          <w:szCs w:val="24"/>
          <w:lang w:val="en-US" w:eastAsia="zh-CN" w:bidi="ar-SA"/>
          <w14:textFill>
            <w14:solidFill>
              <w14:schemeClr w14:val="tx1"/>
            </w14:solidFill>
          </w14:textFill>
        </w:rPr>
        <w:t>项合格。</w:t>
      </w:r>
    </w:p>
    <w:p w14:paraId="49D833B5">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2"/>
          <w:szCs w:val="32"/>
          <w:lang w:val="en-US" w:eastAsia="zh-CN"/>
          <w14:textFill>
            <w14:solidFill>
              <w14:schemeClr w14:val="tx1"/>
            </w14:solidFill>
          </w14:textFill>
        </w:rPr>
      </w:pPr>
      <w:bookmarkStart w:id="413" w:name="_Toc29075"/>
      <w:r>
        <w:rPr>
          <w:rFonts w:hint="eastAsia" w:ascii="宋体" w:hAnsi="宋体" w:eastAsia="宋体" w:cs="宋体"/>
          <w:b/>
          <w:bCs w:val="0"/>
          <w:color w:val="000000" w:themeColor="text1"/>
          <w:sz w:val="32"/>
          <w:szCs w:val="32"/>
          <w:lang w:val="en-US" w:eastAsia="zh-CN"/>
          <w14:textFill>
            <w14:solidFill>
              <w14:schemeClr w14:val="tx1"/>
            </w14:solidFill>
          </w14:textFill>
        </w:rPr>
        <w:t>5.2.2道路运输符合性评价</w:t>
      </w:r>
      <w:bookmarkEnd w:id="413"/>
    </w:p>
    <w:p w14:paraId="3245F89E">
      <w:pPr>
        <w:pStyle w:val="10"/>
        <w:keepNext w:val="0"/>
        <w:keepLines w:val="0"/>
        <w:pageBreakBefore w:val="0"/>
        <w:widowControl w:val="0"/>
        <w:kinsoku/>
        <w:wordWrap/>
        <w:overflowPunct/>
        <w:topLinePunct w:val="0"/>
        <w:autoSpaceDE/>
        <w:autoSpaceDN/>
        <w:bidi w:val="0"/>
        <w:adjustRightInd/>
        <w:snapToGrid/>
        <w:spacing w:after="0" w:line="420" w:lineRule="exact"/>
        <w:ind w:left="0" w:right="0" w:firstLine="560"/>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道路运输符合性评价采用安全检查表法，按评价项目内容，依据《工业企业总平面设计规范》（GB50187-2012）、《项目安全设施设计》对相关项目进行检查评价。</w:t>
      </w:r>
    </w:p>
    <w:p w14:paraId="3A77D138">
      <w:pPr>
        <w:pStyle w:val="10"/>
        <w:pageBreakBefore w:val="0"/>
        <w:widowControl w:val="0"/>
        <w:kinsoku/>
        <w:wordWrap/>
        <w:overflowPunct/>
        <w:topLinePunct w:val="0"/>
        <w:autoSpaceDE/>
        <w:autoSpaceDN/>
        <w:bidi w:val="0"/>
        <w:spacing w:before="38" w:line="420" w:lineRule="exact"/>
        <w:ind w:left="3261"/>
        <w:textAlignment w:val="auto"/>
        <w:rPr>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4"/>
          <w:sz w:val="24"/>
          <w:szCs w:val="24"/>
          <w14:textFill>
            <w14:solidFill>
              <w14:schemeClr w14:val="tx1"/>
            </w14:solidFill>
          </w14:textFill>
        </w:rPr>
        <w:t>表</w:t>
      </w:r>
      <w:r>
        <w:rPr>
          <w:rFonts w:hint="eastAsia" w:ascii="宋体" w:hAnsi="宋体" w:eastAsia="宋体" w:cs="宋体"/>
          <w:color w:val="000000" w:themeColor="text1"/>
          <w:spacing w:val="-40"/>
          <w:sz w:val="24"/>
          <w:szCs w:val="24"/>
          <w14:textFill>
            <w14:solidFill>
              <w14:schemeClr w14:val="tx1"/>
            </w14:solidFill>
          </w14:textFill>
        </w:rPr>
        <w:t xml:space="preserve"> </w:t>
      </w:r>
      <w:r>
        <w:rPr>
          <w:rFonts w:hint="eastAsia" w:ascii="宋体" w:hAnsi="宋体" w:eastAsia="宋体" w:cs="宋体"/>
          <w:b/>
          <w:bCs/>
          <w:color w:val="000000" w:themeColor="text1"/>
          <w:spacing w:val="-4"/>
          <w:sz w:val="24"/>
          <w:szCs w:val="24"/>
          <w14:textFill>
            <w14:solidFill>
              <w14:schemeClr w14:val="tx1"/>
            </w14:solidFill>
          </w14:textFill>
        </w:rPr>
        <w:t>5</w:t>
      </w:r>
      <w:r>
        <w:rPr>
          <w:rFonts w:hint="eastAsia" w:ascii="宋体" w:hAnsi="宋体" w:eastAsia="宋体" w:cs="宋体"/>
          <w:b/>
          <w:bCs/>
          <w:color w:val="000000" w:themeColor="text1"/>
          <w:spacing w:val="-4"/>
          <w:sz w:val="24"/>
          <w:szCs w:val="24"/>
          <w:lang w:val="en-US" w:eastAsia="zh-CN"/>
          <w14:textFill>
            <w14:solidFill>
              <w14:schemeClr w14:val="tx1"/>
            </w14:solidFill>
          </w14:textFill>
        </w:rPr>
        <w:t>-</w:t>
      </w:r>
      <w:r>
        <w:rPr>
          <w:rFonts w:hint="eastAsia" w:ascii="宋体" w:hAnsi="宋体" w:cs="宋体"/>
          <w:b/>
          <w:bCs/>
          <w:color w:val="000000" w:themeColor="text1"/>
          <w:spacing w:val="-4"/>
          <w:sz w:val="24"/>
          <w:szCs w:val="24"/>
          <w:lang w:val="en-US" w:eastAsia="zh-CN"/>
          <w14:textFill>
            <w14:solidFill>
              <w14:schemeClr w14:val="tx1"/>
            </w14:solidFill>
          </w14:textFill>
        </w:rPr>
        <w:t>2.1</w:t>
      </w:r>
      <w:r>
        <w:rPr>
          <w:rFonts w:hint="eastAsia" w:ascii="宋体" w:hAnsi="宋体" w:eastAsia="宋体" w:cs="宋体"/>
          <w:b/>
          <w:bCs/>
          <w:color w:val="000000" w:themeColor="text1"/>
          <w:spacing w:val="-4"/>
          <w:sz w:val="24"/>
          <w:szCs w:val="24"/>
          <w:lang w:val="en-US" w:eastAsia="zh-CN"/>
          <w14:textFill>
            <w14:solidFill>
              <w14:schemeClr w14:val="tx1"/>
            </w14:solidFill>
          </w14:textFill>
        </w:rPr>
        <w:t xml:space="preserve"> </w:t>
      </w:r>
      <w:r>
        <w:rPr>
          <w:rFonts w:hint="eastAsia" w:ascii="宋体" w:hAnsi="宋体" w:eastAsia="宋体" w:cs="宋体"/>
          <w:color w:val="000000" w:themeColor="text1"/>
          <w:spacing w:val="-49"/>
          <w:sz w:val="24"/>
          <w:szCs w:val="24"/>
          <w14:textFill>
            <w14:solidFill>
              <w14:schemeClr w14:val="tx1"/>
            </w14:solidFill>
          </w14:textFill>
        </w:rPr>
        <w:t xml:space="preserve"> </w:t>
      </w:r>
      <w:r>
        <w:rPr>
          <w:rFonts w:hint="eastAsia" w:ascii="宋体" w:hAnsi="宋体" w:eastAsia="宋体" w:cs="宋体"/>
          <w:b/>
          <w:bCs/>
          <w:color w:val="000000" w:themeColor="text1"/>
          <w:spacing w:val="-4"/>
          <w:sz w:val="24"/>
          <w:szCs w:val="24"/>
          <w14:textFill>
            <w14:solidFill>
              <w14:schemeClr w14:val="tx1"/>
            </w14:solidFill>
          </w14:textFill>
        </w:rPr>
        <w:t>道路运输符合性检查表</w:t>
      </w:r>
    </w:p>
    <w:tbl>
      <w:tblPr>
        <w:tblStyle w:val="25"/>
        <w:tblW w:w="8878" w:type="dxa"/>
        <w:tblInd w:w="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53"/>
        <w:gridCol w:w="3610"/>
        <w:gridCol w:w="2066"/>
        <w:gridCol w:w="1644"/>
        <w:gridCol w:w="905"/>
      </w:tblGrid>
      <w:tr w14:paraId="26B13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1" w:hRule="atLeast"/>
        </w:trPr>
        <w:tc>
          <w:tcPr>
            <w:tcW w:w="653" w:type="dxa"/>
            <w:noWrap w:val="0"/>
            <w:vAlign w:val="top"/>
          </w:tcPr>
          <w:p w14:paraId="2137F31C">
            <w:pPr>
              <w:pStyle w:val="26"/>
              <w:keepNext w:val="0"/>
              <w:keepLines w:val="0"/>
              <w:pageBreakBefore w:val="0"/>
              <w:widowControl w:val="0"/>
              <w:kinsoku/>
              <w:wordWrap/>
              <w:overflowPunct/>
              <w:topLinePunct w:val="0"/>
              <w:autoSpaceDE/>
              <w:autoSpaceDN/>
              <w:bidi w:val="0"/>
              <w:adjustRightInd/>
              <w:snapToGrid/>
              <w:spacing w:before="110" w:line="360" w:lineRule="exact"/>
              <w:ind w:left="122"/>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4"/>
                <w:sz w:val="21"/>
                <w:szCs w:val="21"/>
                <w14:textFill>
                  <w14:solidFill>
                    <w14:schemeClr w14:val="tx1"/>
                  </w14:solidFill>
                </w14:textFill>
              </w:rPr>
              <w:t>序号</w:t>
            </w:r>
          </w:p>
        </w:tc>
        <w:tc>
          <w:tcPr>
            <w:tcW w:w="3610" w:type="dxa"/>
            <w:noWrap w:val="0"/>
            <w:vAlign w:val="top"/>
          </w:tcPr>
          <w:p w14:paraId="05626FAD">
            <w:pPr>
              <w:pStyle w:val="26"/>
              <w:keepNext w:val="0"/>
              <w:keepLines w:val="0"/>
              <w:pageBreakBefore w:val="0"/>
              <w:widowControl w:val="0"/>
              <w:kinsoku/>
              <w:wordWrap/>
              <w:overflowPunct/>
              <w:topLinePunct w:val="0"/>
              <w:autoSpaceDE/>
              <w:autoSpaceDN/>
              <w:bidi w:val="0"/>
              <w:adjustRightInd/>
              <w:snapToGrid/>
              <w:spacing w:before="109" w:line="360" w:lineRule="exact"/>
              <w:ind w:left="1845"/>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检查内容</w:t>
            </w:r>
          </w:p>
        </w:tc>
        <w:tc>
          <w:tcPr>
            <w:tcW w:w="2066" w:type="dxa"/>
            <w:noWrap w:val="0"/>
            <w:vAlign w:val="top"/>
          </w:tcPr>
          <w:p w14:paraId="15ECA437">
            <w:pPr>
              <w:pStyle w:val="26"/>
              <w:keepNext w:val="0"/>
              <w:keepLines w:val="0"/>
              <w:pageBreakBefore w:val="0"/>
              <w:widowControl w:val="0"/>
              <w:kinsoku/>
              <w:wordWrap/>
              <w:overflowPunct/>
              <w:topLinePunct w:val="0"/>
              <w:autoSpaceDE/>
              <w:autoSpaceDN/>
              <w:bidi w:val="0"/>
              <w:adjustRightInd/>
              <w:snapToGrid/>
              <w:spacing w:before="110" w:line="360" w:lineRule="exact"/>
              <w:ind w:left="496"/>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检查依据</w:t>
            </w:r>
          </w:p>
        </w:tc>
        <w:tc>
          <w:tcPr>
            <w:tcW w:w="1644" w:type="dxa"/>
            <w:noWrap w:val="0"/>
            <w:vAlign w:val="top"/>
          </w:tcPr>
          <w:p w14:paraId="3D0F9800">
            <w:pPr>
              <w:pStyle w:val="26"/>
              <w:keepNext w:val="0"/>
              <w:keepLines w:val="0"/>
              <w:pageBreakBefore w:val="0"/>
              <w:widowControl w:val="0"/>
              <w:kinsoku/>
              <w:wordWrap/>
              <w:overflowPunct/>
              <w:topLinePunct w:val="0"/>
              <w:autoSpaceDE/>
              <w:autoSpaceDN/>
              <w:bidi w:val="0"/>
              <w:adjustRightInd/>
              <w:snapToGrid/>
              <w:spacing w:before="110" w:line="360" w:lineRule="exact"/>
              <w:ind w:left="287"/>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现场实际情况</w:t>
            </w:r>
          </w:p>
        </w:tc>
        <w:tc>
          <w:tcPr>
            <w:tcW w:w="905" w:type="dxa"/>
            <w:noWrap w:val="0"/>
            <w:vAlign w:val="top"/>
          </w:tcPr>
          <w:p w14:paraId="230783AF">
            <w:pPr>
              <w:pStyle w:val="26"/>
              <w:keepNext w:val="0"/>
              <w:keepLines w:val="0"/>
              <w:pageBreakBefore w:val="0"/>
              <w:widowControl w:val="0"/>
              <w:kinsoku/>
              <w:wordWrap/>
              <w:overflowPunct/>
              <w:topLinePunct w:val="0"/>
              <w:autoSpaceDE/>
              <w:autoSpaceDN/>
              <w:bidi w:val="0"/>
              <w:adjustRightInd/>
              <w:snapToGrid/>
              <w:spacing w:before="109" w:line="360" w:lineRule="exact"/>
              <w:ind w:left="184"/>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5"/>
                <w:sz w:val="21"/>
                <w:szCs w:val="21"/>
                <w14:textFill>
                  <w14:solidFill>
                    <w14:schemeClr w14:val="tx1"/>
                  </w14:solidFill>
                </w14:textFill>
              </w:rPr>
              <w:t>符合性</w:t>
            </w:r>
          </w:p>
        </w:tc>
      </w:tr>
      <w:tr w14:paraId="7AD1B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53" w:type="dxa"/>
            <w:noWrap w:val="0"/>
            <w:vAlign w:val="center"/>
          </w:tcPr>
          <w:p w14:paraId="1B20A72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4E4B660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288061B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502BAFA2">
            <w:pPr>
              <w:pStyle w:val="26"/>
              <w:keepNext w:val="0"/>
              <w:keepLines w:val="0"/>
              <w:pageBreakBefore w:val="0"/>
              <w:widowControl w:val="0"/>
              <w:kinsoku/>
              <w:wordWrap/>
              <w:overflowPunct/>
              <w:topLinePunct w:val="0"/>
              <w:autoSpaceDE/>
              <w:autoSpaceDN/>
              <w:bidi w:val="0"/>
              <w:adjustRightInd/>
              <w:snapToGrid/>
              <w:spacing w:before="65"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3610" w:type="dxa"/>
            <w:noWrap w:val="0"/>
            <w:vAlign w:val="top"/>
          </w:tcPr>
          <w:p w14:paraId="0CD64FE4">
            <w:pPr>
              <w:pStyle w:val="26"/>
              <w:keepNext w:val="0"/>
              <w:keepLines w:val="0"/>
              <w:pageBreakBefore w:val="0"/>
              <w:widowControl w:val="0"/>
              <w:kinsoku/>
              <w:wordWrap/>
              <w:overflowPunct/>
              <w:topLinePunct w:val="0"/>
              <w:autoSpaceDE/>
              <w:autoSpaceDN/>
              <w:bidi w:val="0"/>
              <w:adjustRightInd/>
              <w:snapToGrid/>
              <w:spacing w:before="33" w:line="360" w:lineRule="exact"/>
              <w:ind w:left="105"/>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厂区的通道宽度应符合下列规定：</w:t>
            </w:r>
          </w:p>
          <w:p w14:paraId="31BDF1BE">
            <w:pPr>
              <w:pStyle w:val="26"/>
              <w:keepNext w:val="0"/>
              <w:keepLines w:val="0"/>
              <w:pageBreakBefore w:val="0"/>
              <w:widowControl w:val="0"/>
              <w:kinsoku/>
              <w:wordWrap/>
              <w:overflowPunct/>
              <w:topLinePunct w:val="0"/>
              <w:autoSpaceDE/>
              <w:autoSpaceDN/>
              <w:bidi w:val="0"/>
              <w:adjustRightInd/>
              <w:snapToGrid/>
              <w:spacing w:before="24" w:line="360" w:lineRule="exact"/>
              <w:ind w:left="102" w:right="106" w:firstLine="16"/>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9"/>
                <w:sz w:val="21"/>
                <w:szCs w:val="21"/>
                <w14:textFill>
                  <w14:solidFill>
                    <w14:schemeClr w14:val="tx1"/>
                  </w14:solidFill>
                </w14:textFill>
              </w:rPr>
              <w:t>1）应符合通道两侧建筑物、构筑物及露天设施</w:t>
            </w:r>
            <w:r>
              <w:rPr>
                <w:rFonts w:hint="eastAsia" w:ascii="宋体" w:hAnsi="宋体" w:eastAsia="宋体" w:cs="宋体"/>
                <w:color w:val="000000" w:themeColor="text1"/>
                <w:spacing w:val="15"/>
                <w:sz w:val="21"/>
                <w:szCs w:val="21"/>
                <w14:textFill>
                  <w14:solidFill>
                    <w14:schemeClr w14:val="tx1"/>
                  </w14:solidFill>
                </w14:textFill>
              </w:rPr>
              <w:t xml:space="preserve"> </w:t>
            </w:r>
            <w:r>
              <w:rPr>
                <w:rFonts w:hint="eastAsia" w:ascii="宋体" w:hAnsi="宋体" w:eastAsia="宋体" w:cs="宋体"/>
                <w:color w:val="000000" w:themeColor="text1"/>
                <w:spacing w:val="8"/>
                <w:sz w:val="21"/>
                <w:szCs w:val="21"/>
                <w14:textFill>
                  <w14:solidFill>
                    <w14:schemeClr w14:val="tx1"/>
                  </w14:solidFill>
                </w14:textFill>
              </w:rPr>
              <w:t>对防火、安全与卫生间距的要求。</w:t>
            </w:r>
          </w:p>
          <w:p w14:paraId="395A7954">
            <w:pPr>
              <w:pStyle w:val="26"/>
              <w:keepNext w:val="0"/>
              <w:keepLines w:val="0"/>
              <w:pageBreakBefore w:val="0"/>
              <w:widowControl w:val="0"/>
              <w:kinsoku/>
              <w:wordWrap/>
              <w:overflowPunct/>
              <w:topLinePunct w:val="0"/>
              <w:autoSpaceDE/>
              <w:autoSpaceDN/>
              <w:bidi w:val="0"/>
              <w:adjustRightInd/>
              <w:snapToGrid/>
              <w:spacing w:before="24" w:line="360" w:lineRule="exact"/>
              <w:ind w:left="105"/>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2）应符合各种工程管线的布置要求。</w:t>
            </w:r>
          </w:p>
          <w:p w14:paraId="104155BE">
            <w:pPr>
              <w:pStyle w:val="26"/>
              <w:keepNext w:val="0"/>
              <w:keepLines w:val="0"/>
              <w:pageBreakBefore w:val="0"/>
              <w:widowControl w:val="0"/>
              <w:kinsoku/>
              <w:wordWrap/>
              <w:overflowPunct/>
              <w:topLinePunct w:val="0"/>
              <w:autoSpaceDE/>
              <w:autoSpaceDN/>
              <w:bidi w:val="0"/>
              <w:adjustRightInd/>
              <w:snapToGrid/>
              <w:spacing w:before="27" w:line="360" w:lineRule="exact"/>
              <w:ind w:left="107"/>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3）应符合绿化布置的要求。</w:t>
            </w:r>
          </w:p>
          <w:p w14:paraId="6543C4C3">
            <w:pPr>
              <w:pStyle w:val="26"/>
              <w:keepNext w:val="0"/>
              <w:keepLines w:val="0"/>
              <w:pageBreakBefore w:val="0"/>
              <w:widowControl w:val="0"/>
              <w:kinsoku/>
              <w:wordWrap/>
              <w:overflowPunct/>
              <w:topLinePunct w:val="0"/>
              <w:autoSpaceDE/>
              <w:autoSpaceDN/>
              <w:bidi w:val="0"/>
              <w:adjustRightInd/>
              <w:snapToGrid/>
              <w:spacing w:before="25" w:line="360" w:lineRule="exact"/>
              <w:ind w:left="10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4）应符合施工、安装与检修的要求。</w:t>
            </w:r>
          </w:p>
          <w:p w14:paraId="50C1825F">
            <w:pPr>
              <w:pStyle w:val="26"/>
              <w:keepNext w:val="0"/>
              <w:keepLines w:val="0"/>
              <w:pageBreakBefore w:val="0"/>
              <w:widowControl w:val="0"/>
              <w:kinsoku/>
              <w:wordWrap/>
              <w:overflowPunct/>
              <w:topLinePunct w:val="0"/>
              <w:autoSpaceDE/>
              <w:autoSpaceDN/>
              <w:bidi w:val="0"/>
              <w:adjustRightInd/>
              <w:snapToGrid/>
              <w:spacing w:before="27" w:line="360" w:lineRule="exact"/>
              <w:ind w:left="107"/>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5）应符合竖向设计的要求。</w:t>
            </w:r>
          </w:p>
          <w:p w14:paraId="786A446A">
            <w:pPr>
              <w:pStyle w:val="26"/>
              <w:keepNext w:val="0"/>
              <w:keepLines w:val="0"/>
              <w:pageBreakBefore w:val="0"/>
              <w:widowControl w:val="0"/>
              <w:kinsoku/>
              <w:wordWrap/>
              <w:overflowPunct/>
              <w:topLinePunct w:val="0"/>
              <w:autoSpaceDE/>
              <w:autoSpaceDN/>
              <w:bidi w:val="0"/>
              <w:adjustRightInd/>
              <w:snapToGrid/>
              <w:spacing w:before="24" w:line="360" w:lineRule="exact"/>
              <w:ind w:left="104"/>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6）应符合预留发展用地的要求。</w:t>
            </w:r>
          </w:p>
        </w:tc>
        <w:tc>
          <w:tcPr>
            <w:tcW w:w="2066" w:type="dxa"/>
            <w:noWrap w:val="0"/>
            <w:vAlign w:val="top"/>
          </w:tcPr>
          <w:p w14:paraId="6FED104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p w14:paraId="7D8E353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p w14:paraId="1D172393">
            <w:pPr>
              <w:pStyle w:val="26"/>
              <w:keepNext w:val="0"/>
              <w:keepLines w:val="0"/>
              <w:pageBreakBefore w:val="0"/>
              <w:widowControl w:val="0"/>
              <w:kinsoku/>
              <w:wordWrap/>
              <w:overflowPunct/>
              <w:topLinePunct w:val="0"/>
              <w:autoSpaceDE/>
              <w:autoSpaceDN/>
              <w:bidi w:val="0"/>
              <w:adjustRightInd/>
              <w:snapToGrid/>
              <w:spacing w:before="65" w:line="360" w:lineRule="exact"/>
              <w:ind w:left="114" w:right="47" w:firstLine="5"/>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27"/>
                <w:sz w:val="21"/>
                <w:szCs w:val="21"/>
                <w14:textFill>
                  <w14:solidFill>
                    <w14:schemeClr w14:val="tx1"/>
                  </w14:solidFill>
                </w14:textFill>
              </w:rPr>
              <w:t>《工业企业总平</w:t>
            </w:r>
            <w:r>
              <w:rPr>
                <w:rFonts w:hint="eastAsia" w:ascii="宋体" w:hAnsi="宋体" w:eastAsia="宋体" w:cs="宋体"/>
                <w:color w:val="000000" w:themeColor="text1"/>
                <w:spacing w:val="2"/>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面</w:t>
            </w:r>
            <w:r>
              <w:rPr>
                <w:rFonts w:hint="eastAsia" w:ascii="宋体" w:hAnsi="宋体" w:eastAsia="宋体" w:cs="宋体"/>
                <w:color w:val="000000" w:themeColor="text1"/>
                <w:spacing w:val="-16"/>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设</w:t>
            </w:r>
            <w:r>
              <w:rPr>
                <w:rFonts w:hint="eastAsia" w:ascii="宋体" w:hAnsi="宋体" w:eastAsia="宋体" w:cs="宋体"/>
                <w:color w:val="000000" w:themeColor="text1"/>
                <w:spacing w:val="-20"/>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计</w:t>
            </w:r>
            <w:r>
              <w:rPr>
                <w:rFonts w:hint="eastAsia" w:ascii="宋体" w:hAnsi="宋体" w:eastAsia="宋体" w:cs="宋体"/>
                <w:color w:val="000000" w:themeColor="text1"/>
                <w:spacing w:val="-21"/>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规</w:t>
            </w:r>
            <w:r>
              <w:rPr>
                <w:rFonts w:hint="eastAsia" w:ascii="宋体" w:hAnsi="宋体" w:eastAsia="宋体" w:cs="宋体"/>
                <w:color w:val="000000" w:themeColor="text1"/>
                <w:spacing w:val="-15"/>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范 》</w:t>
            </w:r>
            <w:r>
              <w:rPr>
                <w:rFonts w:hint="eastAsia" w:ascii="宋体" w:hAnsi="宋体" w:eastAsia="宋体" w:cs="宋体"/>
                <w:color w:val="000000" w:themeColor="text1"/>
                <w:sz w:val="21"/>
                <w:szCs w:val="21"/>
                <w14:textFill>
                  <w14:solidFill>
                    <w14:schemeClr w14:val="tx1"/>
                  </w14:solidFill>
                </w14:textFill>
              </w:rPr>
              <w:t xml:space="preserve"> </w:t>
            </w:r>
            <w:r>
              <w:rPr>
                <w:rFonts w:hint="eastAsia" w:ascii="宋体" w:hAnsi="宋体" w:eastAsia="宋体" w:cs="宋体"/>
                <w:color w:val="000000" w:themeColor="text1"/>
                <w:spacing w:val="4"/>
                <w:sz w:val="21"/>
                <w:szCs w:val="21"/>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GB</w:t>
            </w:r>
            <w:r>
              <w:rPr>
                <w:rFonts w:hint="eastAsia" w:ascii="宋体" w:hAnsi="宋体" w:eastAsia="宋体" w:cs="宋体"/>
                <w:color w:val="000000" w:themeColor="text1"/>
                <w:spacing w:val="4"/>
                <w:sz w:val="21"/>
                <w:szCs w:val="21"/>
                <w14:textFill>
                  <w14:solidFill>
                    <w14:schemeClr w14:val="tx1"/>
                  </w14:solidFill>
                </w14:textFill>
              </w:rPr>
              <w:t>50187-2012）</w:t>
            </w:r>
            <w:r>
              <w:rPr>
                <w:rFonts w:hint="eastAsia" w:ascii="宋体" w:hAnsi="宋体" w:eastAsia="宋体" w:cs="宋体"/>
                <w:color w:val="000000" w:themeColor="text1"/>
                <w:spacing w:val="2"/>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第</w:t>
            </w:r>
            <w:r>
              <w:rPr>
                <w:rFonts w:hint="eastAsia" w:ascii="宋体" w:hAnsi="宋体" w:eastAsia="宋体" w:cs="宋体"/>
                <w:color w:val="000000" w:themeColor="text1"/>
                <w:spacing w:val="-31"/>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5.1.4</w:t>
            </w:r>
            <w:r>
              <w:rPr>
                <w:rFonts w:hint="eastAsia" w:ascii="宋体" w:hAnsi="宋体" w:eastAsia="宋体" w:cs="宋体"/>
                <w:color w:val="000000" w:themeColor="text1"/>
                <w:spacing w:val="-36"/>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条</w:t>
            </w:r>
          </w:p>
        </w:tc>
        <w:tc>
          <w:tcPr>
            <w:tcW w:w="1644" w:type="dxa"/>
            <w:noWrap w:val="0"/>
            <w:vAlign w:val="top"/>
          </w:tcPr>
          <w:p w14:paraId="68996DE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p w14:paraId="58FF715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p w14:paraId="6A3B5B8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p w14:paraId="377313B8">
            <w:pPr>
              <w:pStyle w:val="26"/>
              <w:keepNext w:val="0"/>
              <w:keepLines w:val="0"/>
              <w:pageBreakBefore w:val="0"/>
              <w:widowControl w:val="0"/>
              <w:kinsoku/>
              <w:wordWrap/>
              <w:overflowPunct/>
              <w:topLinePunct w:val="0"/>
              <w:autoSpaceDE/>
              <w:autoSpaceDN/>
              <w:bidi w:val="0"/>
              <w:adjustRightInd/>
              <w:snapToGrid/>
              <w:spacing w:before="65" w:line="360" w:lineRule="exact"/>
              <w:ind w:left="120" w:right="96" w:firstLine="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6"/>
                <w:sz w:val="21"/>
                <w:szCs w:val="21"/>
                <w14:textFill>
                  <w14:solidFill>
                    <w14:schemeClr w14:val="tx1"/>
                  </w14:solidFill>
                </w14:textFill>
              </w:rPr>
              <w:t>项</w:t>
            </w:r>
            <w:r>
              <w:rPr>
                <w:rFonts w:hint="eastAsia" w:ascii="宋体" w:hAnsi="宋体" w:eastAsia="宋体" w:cs="宋体"/>
                <w:color w:val="000000" w:themeColor="text1"/>
                <w:spacing w:val="-31"/>
                <w:sz w:val="21"/>
                <w:szCs w:val="21"/>
                <w14:textFill>
                  <w14:solidFill>
                    <w14:schemeClr w14:val="tx1"/>
                  </w14:solidFill>
                </w14:textFill>
              </w:rPr>
              <w:t xml:space="preserve"> </w:t>
            </w:r>
            <w:r>
              <w:rPr>
                <w:rFonts w:hint="eastAsia" w:ascii="宋体" w:hAnsi="宋体" w:eastAsia="宋体" w:cs="宋体"/>
                <w:color w:val="000000" w:themeColor="text1"/>
                <w:spacing w:val="16"/>
                <w:sz w:val="21"/>
                <w:szCs w:val="21"/>
                <w14:textFill>
                  <w14:solidFill>
                    <w14:schemeClr w14:val="tx1"/>
                  </w14:solidFill>
                </w14:textFill>
              </w:rPr>
              <w:t>目建设现场符</w:t>
            </w:r>
            <w:r>
              <w:rPr>
                <w:rFonts w:hint="eastAsia" w:ascii="宋体" w:hAnsi="宋体" w:eastAsia="宋体" w:cs="宋体"/>
                <w:color w:val="000000" w:themeColor="text1"/>
                <w:spacing w:val="6"/>
                <w:sz w:val="21"/>
                <w:szCs w:val="21"/>
                <w14:textFill>
                  <w14:solidFill>
                    <w14:schemeClr w14:val="tx1"/>
                  </w14:solidFill>
                </w14:textFill>
              </w:rPr>
              <w:t>合设计要求。</w:t>
            </w:r>
          </w:p>
        </w:tc>
        <w:tc>
          <w:tcPr>
            <w:tcW w:w="905" w:type="dxa"/>
            <w:noWrap w:val="0"/>
            <w:vAlign w:val="top"/>
          </w:tcPr>
          <w:p w14:paraId="40DE523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p w14:paraId="2FCBE09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p w14:paraId="0E2D490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p w14:paraId="60D2DD66">
            <w:pPr>
              <w:pStyle w:val="26"/>
              <w:keepNext w:val="0"/>
              <w:keepLines w:val="0"/>
              <w:pageBreakBefore w:val="0"/>
              <w:widowControl w:val="0"/>
              <w:kinsoku/>
              <w:wordWrap/>
              <w:overflowPunct/>
              <w:topLinePunct w:val="0"/>
              <w:autoSpaceDE/>
              <w:autoSpaceDN/>
              <w:bidi w:val="0"/>
              <w:adjustRightInd/>
              <w:snapToGrid/>
              <w:spacing w:before="65" w:line="360" w:lineRule="exact"/>
              <w:ind w:left="289"/>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符合</w:t>
            </w:r>
          </w:p>
        </w:tc>
      </w:tr>
      <w:tr w14:paraId="0D17F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2" w:hRule="atLeast"/>
        </w:trPr>
        <w:tc>
          <w:tcPr>
            <w:tcW w:w="653" w:type="dxa"/>
            <w:noWrap w:val="0"/>
            <w:vAlign w:val="center"/>
          </w:tcPr>
          <w:p w14:paraId="3E2C99DB">
            <w:pPr>
              <w:pStyle w:val="26"/>
              <w:keepNext w:val="0"/>
              <w:keepLines w:val="0"/>
              <w:pageBreakBefore w:val="0"/>
              <w:widowControl w:val="0"/>
              <w:kinsoku/>
              <w:wordWrap/>
              <w:overflowPunct/>
              <w:topLinePunct w:val="0"/>
              <w:autoSpaceDE/>
              <w:autoSpaceDN/>
              <w:bidi w:val="0"/>
              <w:adjustRightInd/>
              <w:snapToGrid/>
              <w:spacing w:before="52" w:line="360" w:lineRule="exact"/>
              <w:ind w:left="107" w:right="78" w:hanging="5"/>
              <w:jc w:val="center"/>
              <w:textAlignment w:val="auto"/>
              <w:rPr>
                <w:rFonts w:hint="default" w:ascii="宋体" w:hAnsi="宋体" w:eastAsia="宋体" w:cs="宋体"/>
                <w:color w:val="000000" w:themeColor="text1"/>
                <w:spacing w:val="7"/>
                <w:sz w:val="21"/>
                <w:szCs w:val="21"/>
                <w:lang w:val="en-US" w:eastAsia="zh-CN"/>
                <w14:textFill>
                  <w14:solidFill>
                    <w14:schemeClr w14:val="tx1"/>
                  </w14:solidFill>
                </w14:textFill>
              </w:rPr>
            </w:pPr>
            <w:r>
              <w:rPr>
                <w:rFonts w:hint="eastAsia" w:cs="宋体"/>
                <w:color w:val="000000" w:themeColor="text1"/>
                <w:spacing w:val="7"/>
                <w:sz w:val="21"/>
                <w:szCs w:val="21"/>
                <w:lang w:val="en-US" w:eastAsia="zh-CN"/>
                <w14:textFill>
                  <w14:solidFill>
                    <w14:schemeClr w14:val="tx1"/>
                  </w14:solidFill>
                </w14:textFill>
              </w:rPr>
              <w:t>2</w:t>
            </w:r>
          </w:p>
        </w:tc>
        <w:tc>
          <w:tcPr>
            <w:tcW w:w="3610" w:type="dxa"/>
            <w:noWrap w:val="0"/>
            <w:vAlign w:val="top"/>
          </w:tcPr>
          <w:p w14:paraId="021CF584">
            <w:pPr>
              <w:pStyle w:val="26"/>
              <w:keepNext w:val="0"/>
              <w:keepLines w:val="0"/>
              <w:pageBreakBefore w:val="0"/>
              <w:widowControl w:val="0"/>
              <w:kinsoku/>
              <w:wordWrap/>
              <w:overflowPunct/>
              <w:topLinePunct w:val="0"/>
              <w:autoSpaceDE/>
              <w:autoSpaceDN/>
              <w:bidi w:val="0"/>
              <w:adjustRightInd/>
              <w:snapToGrid/>
              <w:spacing w:before="52" w:line="360" w:lineRule="exact"/>
              <w:ind w:left="107" w:right="78" w:hanging="5"/>
              <w:jc w:val="both"/>
              <w:textAlignment w:val="auto"/>
              <w:rPr>
                <w:rFonts w:hint="eastAsia" w:ascii="宋体" w:hAnsi="宋体" w:eastAsia="宋体" w:cs="宋体"/>
                <w:color w:val="000000" w:themeColor="text1"/>
                <w:spacing w:val="7"/>
                <w:sz w:val="21"/>
                <w:szCs w:val="21"/>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场内道路路面全部采用15cm 碎石面层。道路边沟采用M10 浆砌石排 水沟，排水沟为矩形断面，尺寸为40cm×40cm, 采用砂浆抹面。在地形较 陡地段，为防止路面被雨水冲刷而产生的破坏，在运维期加强路面维护。</w:t>
            </w:r>
          </w:p>
        </w:tc>
        <w:tc>
          <w:tcPr>
            <w:tcW w:w="2066" w:type="dxa"/>
            <w:shd w:val="clear" w:color="auto" w:fill="auto"/>
            <w:noWrap w:val="0"/>
            <w:vAlign w:val="top"/>
          </w:tcPr>
          <w:p w14:paraId="786CE69D">
            <w:pPr>
              <w:pStyle w:val="26"/>
              <w:keepNext w:val="0"/>
              <w:keepLines w:val="0"/>
              <w:pageBreakBefore w:val="0"/>
              <w:widowControl w:val="0"/>
              <w:kinsoku/>
              <w:wordWrap/>
              <w:overflowPunct/>
              <w:topLinePunct w:val="0"/>
              <w:autoSpaceDE/>
              <w:autoSpaceDN/>
              <w:bidi w:val="0"/>
              <w:adjustRightInd/>
              <w:snapToGrid/>
              <w:spacing w:before="52" w:line="360" w:lineRule="exact"/>
              <w:ind w:left="107" w:right="78" w:hanging="5"/>
              <w:jc w:val="both"/>
              <w:textAlignment w:val="auto"/>
              <w:rPr>
                <w:rFonts w:hint="eastAsia" w:ascii="宋体" w:hAnsi="宋体" w:eastAsia="宋体" w:cs="宋体"/>
                <w:color w:val="000000" w:themeColor="text1"/>
                <w:spacing w:val="7"/>
                <w:sz w:val="21"/>
                <w:szCs w:val="21"/>
                <w:lang w:val="en-US" w:eastAsia="en-US"/>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《项目安全设施 设计》</w:t>
            </w:r>
          </w:p>
        </w:tc>
        <w:tc>
          <w:tcPr>
            <w:tcW w:w="1644" w:type="dxa"/>
            <w:shd w:val="clear" w:color="auto" w:fill="auto"/>
            <w:noWrap w:val="0"/>
            <w:vAlign w:val="top"/>
          </w:tcPr>
          <w:p w14:paraId="12163F08">
            <w:pPr>
              <w:pStyle w:val="26"/>
              <w:keepNext w:val="0"/>
              <w:keepLines w:val="0"/>
              <w:pageBreakBefore w:val="0"/>
              <w:widowControl w:val="0"/>
              <w:kinsoku/>
              <w:wordWrap/>
              <w:overflowPunct/>
              <w:topLinePunct w:val="0"/>
              <w:autoSpaceDE/>
              <w:autoSpaceDN/>
              <w:bidi w:val="0"/>
              <w:adjustRightInd/>
              <w:snapToGrid/>
              <w:spacing w:before="52" w:line="360" w:lineRule="exact"/>
              <w:ind w:left="107" w:right="78" w:hanging="5"/>
              <w:jc w:val="both"/>
              <w:textAlignment w:val="auto"/>
              <w:rPr>
                <w:rFonts w:hint="eastAsia" w:ascii="宋体" w:hAnsi="宋体" w:eastAsia="宋体" w:cs="宋体"/>
                <w:color w:val="000000" w:themeColor="text1"/>
                <w:spacing w:val="7"/>
                <w:sz w:val="21"/>
                <w:szCs w:val="21"/>
                <w:lang w:val="en-US" w:eastAsia="en-US"/>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项目建设现场道路符合设计要求。</w:t>
            </w:r>
          </w:p>
        </w:tc>
        <w:tc>
          <w:tcPr>
            <w:tcW w:w="905" w:type="dxa"/>
            <w:shd w:val="clear" w:color="auto" w:fill="auto"/>
            <w:noWrap w:val="0"/>
            <w:vAlign w:val="top"/>
          </w:tcPr>
          <w:p w14:paraId="62CB7D26">
            <w:pPr>
              <w:pStyle w:val="26"/>
              <w:keepNext w:val="0"/>
              <w:keepLines w:val="0"/>
              <w:pageBreakBefore w:val="0"/>
              <w:widowControl w:val="0"/>
              <w:kinsoku/>
              <w:wordWrap/>
              <w:overflowPunct/>
              <w:topLinePunct w:val="0"/>
              <w:autoSpaceDE/>
              <w:autoSpaceDN/>
              <w:bidi w:val="0"/>
              <w:adjustRightInd/>
              <w:snapToGrid/>
              <w:spacing w:before="52" w:line="360" w:lineRule="exact"/>
              <w:ind w:left="107" w:right="78" w:hanging="5"/>
              <w:jc w:val="both"/>
              <w:textAlignment w:val="auto"/>
              <w:rPr>
                <w:rFonts w:hint="eastAsia" w:ascii="宋体" w:hAnsi="宋体" w:eastAsia="宋体" w:cs="宋体"/>
                <w:color w:val="000000" w:themeColor="text1"/>
                <w:spacing w:val="7"/>
                <w:sz w:val="21"/>
                <w:szCs w:val="21"/>
                <w14:textFill>
                  <w14:solidFill>
                    <w14:schemeClr w14:val="tx1"/>
                  </w14:solidFill>
                </w14:textFill>
              </w:rPr>
            </w:pPr>
          </w:p>
          <w:p w14:paraId="4E37C670">
            <w:pPr>
              <w:pStyle w:val="26"/>
              <w:keepNext w:val="0"/>
              <w:keepLines w:val="0"/>
              <w:pageBreakBefore w:val="0"/>
              <w:widowControl w:val="0"/>
              <w:kinsoku/>
              <w:wordWrap/>
              <w:overflowPunct/>
              <w:topLinePunct w:val="0"/>
              <w:autoSpaceDE/>
              <w:autoSpaceDN/>
              <w:bidi w:val="0"/>
              <w:adjustRightInd/>
              <w:snapToGrid/>
              <w:spacing w:before="52" w:line="360" w:lineRule="exact"/>
              <w:ind w:left="107" w:right="78" w:hanging="5"/>
              <w:jc w:val="both"/>
              <w:textAlignment w:val="auto"/>
              <w:rPr>
                <w:rFonts w:hint="eastAsia" w:ascii="宋体" w:hAnsi="宋体" w:eastAsia="宋体" w:cs="宋体"/>
                <w:color w:val="000000" w:themeColor="text1"/>
                <w:spacing w:val="7"/>
                <w:sz w:val="21"/>
                <w:szCs w:val="21"/>
                <w:lang w:val="en-US" w:eastAsia="en-US"/>
                <w14:textFill>
                  <w14:solidFill>
                    <w14:schemeClr w14:val="tx1"/>
                  </w14:solidFill>
                </w14:textFill>
              </w:rPr>
            </w:pPr>
            <w:r>
              <w:rPr>
                <w:rFonts w:hint="eastAsia" w:cs="宋体"/>
                <w:color w:val="000000" w:themeColor="text1"/>
                <w:spacing w:val="7"/>
                <w:sz w:val="21"/>
                <w:szCs w:val="21"/>
                <w:lang w:val="en-US" w:eastAsia="zh-CN"/>
                <w14:textFill>
                  <w14:solidFill>
                    <w14:schemeClr w14:val="tx1"/>
                  </w14:solidFill>
                </w14:textFill>
              </w:rPr>
              <w:t>不</w:t>
            </w:r>
            <w:r>
              <w:rPr>
                <w:rFonts w:hint="eastAsia" w:ascii="宋体" w:hAnsi="宋体" w:eastAsia="宋体" w:cs="宋体"/>
                <w:color w:val="000000" w:themeColor="text1"/>
                <w:spacing w:val="7"/>
                <w:sz w:val="21"/>
                <w:szCs w:val="21"/>
                <w14:textFill>
                  <w14:solidFill>
                    <w14:schemeClr w14:val="tx1"/>
                  </w14:solidFill>
                </w14:textFill>
              </w:rPr>
              <w:t>符合</w:t>
            </w:r>
          </w:p>
        </w:tc>
      </w:tr>
      <w:tr w14:paraId="497FF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2" w:hRule="atLeast"/>
        </w:trPr>
        <w:tc>
          <w:tcPr>
            <w:tcW w:w="653" w:type="dxa"/>
            <w:noWrap w:val="0"/>
            <w:vAlign w:val="center"/>
          </w:tcPr>
          <w:p w14:paraId="7D93B5D1">
            <w:pPr>
              <w:pStyle w:val="26"/>
              <w:keepNext w:val="0"/>
              <w:keepLines w:val="0"/>
              <w:pageBreakBefore w:val="0"/>
              <w:widowControl w:val="0"/>
              <w:kinsoku/>
              <w:wordWrap/>
              <w:overflowPunct/>
              <w:topLinePunct w:val="0"/>
              <w:autoSpaceDE/>
              <w:autoSpaceDN/>
              <w:bidi w:val="0"/>
              <w:adjustRightInd/>
              <w:snapToGrid/>
              <w:spacing w:before="52" w:line="360" w:lineRule="exact"/>
              <w:ind w:left="107" w:right="78" w:hanging="5"/>
              <w:jc w:val="center"/>
              <w:textAlignment w:val="auto"/>
              <w:rPr>
                <w:rFonts w:hint="eastAsia" w:ascii="宋体" w:hAnsi="宋体" w:eastAsia="宋体" w:cs="宋体"/>
                <w:color w:val="000000" w:themeColor="text1"/>
                <w:spacing w:val="7"/>
                <w:sz w:val="21"/>
                <w:szCs w:val="21"/>
                <w:lang w:val="en-US" w:eastAsia="zh-CN"/>
                <w14:textFill>
                  <w14:solidFill>
                    <w14:schemeClr w14:val="tx1"/>
                  </w14:solidFill>
                </w14:textFill>
              </w:rPr>
            </w:pPr>
            <w:r>
              <w:rPr>
                <w:rFonts w:hint="eastAsia" w:cs="宋体"/>
                <w:color w:val="000000" w:themeColor="text1"/>
                <w:spacing w:val="7"/>
                <w:sz w:val="21"/>
                <w:szCs w:val="21"/>
                <w:lang w:val="en-US" w:eastAsia="zh-CN"/>
                <w14:textFill>
                  <w14:solidFill>
                    <w14:schemeClr w14:val="tx1"/>
                  </w14:solidFill>
                </w14:textFill>
              </w:rPr>
              <w:t>3</w:t>
            </w:r>
          </w:p>
        </w:tc>
        <w:tc>
          <w:tcPr>
            <w:tcW w:w="3610" w:type="dxa"/>
            <w:noWrap w:val="0"/>
            <w:vAlign w:val="top"/>
          </w:tcPr>
          <w:p w14:paraId="607CADC9">
            <w:pPr>
              <w:pStyle w:val="26"/>
              <w:keepNext w:val="0"/>
              <w:keepLines w:val="0"/>
              <w:pageBreakBefore w:val="0"/>
              <w:widowControl w:val="0"/>
              <w:kinsoku/>
              <w:wordWrap/>
              <w:overflowPunct/>
              <w:topLinePunct w:val="0"/>
              <w:autoSpaceDE/>
              <w:autoSpaceDN/>
              <w:bidi w:val="0"/>
              <w:adjustRightInd/>
              <w:snapToGrid/>
              <w:spacing w:before="52" w:line="360" w:lineRule="exact"/>
              <w:ind w:left="107" w:right="78" w:hanging="5"/>
              <w:jc w:val="both"/>
              <w:textAlignment w:val="auto"/>
              <w:rPr>
                <w:rFonts w:hint="eastAsia" w:ascii="宋体" w:hAnsi="宋体" w:eastAsia="宋体" w:cs="宋体"/>
                <w:color w:val="000000" w:themeColor="text1"/>
                <w:spacing w:val="7"/>
                <w:sz w:val="21"/>
                <w:szCs w:val="21"/>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在视距不良的急弯路段根据需要设置线形诱导标志、警告、减速等安 全警示标志，在平面交叉口，设置道口标志等安全警示标志，在受限路段在起终点处设置减速、限载、限高等安全警告标志。</w:t>
            </w:r>
          </w:p>
        </w:tc>
        <w:tc>
          <w:tcPr>
            <w:tcW w:w="2066" w:type="dxa"/>
            <w:shd w:val="clear" w:color="auto" w:fill="auto"/>
            <w:noWrap w:val="0"/>
            <w:vAlign w:val="top"/>
          </w:tcPr>
          <w:p w14:paraId="1D47D5FB">
            <w:pPr>
              <w:pStyle w:val="26"/>
              <w:keepNext w:val="0"/>
              <w:keepLines w:val="0"/>
              <w:pageBreakBefore w:val="0"/>
              <w:widowControl w:val="0"/>
              <w:kinsoku/>
              <w:wordWrap/>
              <w:overflowPunct/>
              <w:topLinePunct w:val="0"/>
              <w:autoSpaceDE/>
              <w:autoSpaceDN/>
              <w:bidi w:val="0"/>
              <w:adjustRightInd/>
              <w:snapToGrid/>
              <w:spacing w:before="52" w:line="360" w:lineRule="exact"/>
              <w:ind w:left="107" w:leftChars="0" w:right="78" w:rightChars="0" w:hanging="5" w:firstLineChars="0"/>
              <w:jc w:val="both"/>
              <w:textAlignment w:val="auto"/>
              <w:rPr>
                <w:rFonts w:hint="eastAsia" w:ascii="宋体" w:hAnsi="宋体" w:eastAsia="宋体" w:cs="宋体"/>
                <w:color w:val="000000" w:themeColor="text1"/>
                <w:spacing w:val="7"/>
                <w:kern w:val="2"/>
                <w:sz w:val="21"/>
                <w:szCs w:val="21"/>
                <w:lang w:val="en-US" w:eastAsia="en-US" w:bidi="ar-SA"/>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《项目安全设施 设计》</w:t>
            </w:r>
          </w:p>
        </w:tc>
        <w:tc>
          <w:tcPr>
            <w:tcW w:w="1644" w:type="dxa"/>
            <w:shd w:val="clear" w:color="auto" w:fill="auto"/>
            <w:noWrap w:val="0"/>
            <w:vAlign w:val="top"/>
          </w:tcPr>
          <w:p w14:paraId="264345BD">
            <w:pPr>
              <w:pStyle w:val="26"/>
              <w:keepNext w:val="0"/>
              <w:keepLines w:val="0"/>
              <w:pageBreakBefore w:val="0"/>
              <w:widowControl w:val="0"/>
              <w:kinsoku/>
              <w:wordWrap/>
              <w:overflowPunct/>
              <w:topLinePunct w:val="0"/>
              <w:autoSpaceDE/>
              <w:autoSpaceDN/>
              <w:bidi w:val="0"/>
              <w:adjustRightInd/>
              <w:snapToGrid/>
              <w:spacing w:before="52" w:line="360" w:lineRule="exact"/>
              <w:ind w:left="107" w:leftChars="0" w:right="78" w:rightChars="0" w:hanging="5" w:firstLineChars="0"/>
              <w:jc w:val="both"/>
              <w:textAlignment w:val="auto"/>
              <w:rPr>
                <w:rFonts w:hint="default" w:ascii="宋体" w:hAnsi="宋体" w:eastAsia="宋体" w:cs="宋体"/>
                <w:color w:val="000000" w:themeColor="text1"/>
                <w:spacing w:val="7"/>
                <w:kern w:val="2"/>
                <w:sz w:val="21"/>
                <w:szCs w:val="21"/>
                <w:lang w:val="en-US" w:eastAsia="zh-CN" w:bidi="ar-SA"/>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急弯路段</w:t>
            </w:r>
            <w:r>
              <w:rPr>
                <w:rFonts w:hint="eastAsia" w:cs="宋体"/>
                <w:color w:val="000000" w:themeColor="text1"/>
                <w:spacing w:val="7"/>
                <w:sz w:val="21"/>
                <w:szCs w:val="21"/>
                <w:lang w:val="en-US" w:eastAsia="zh-CN"/>
                <w14:textFill>
                  <w14:solidFill>
                    <w14:schemeClr w14:val="tx1"/>
                  </w14:solidFill>
                </w14:textFill>
              </w:rPr>
              <w:t>未按要求设置减速、</w:t>
            </w:r>
            <w:r>
              <w:rPr>
                <w:rFonts w:hint="eastAsia" w:ascii="宋体" w:hAnsi="宋体" w:eastAsia="宋体" w:cs="宋体"/>
                <w:color w:val="000000" w:themeColor="text1"/>
                <w:spacing w:val="7"/>
                <w:sz w:val="21"/>
                <w:szCs w:val="21"/>
                <w14:textFill>
                  <w14:solidFill>
                    <w14:schemeClr w14:val="tx1"/>
                  </w14:solidFill>
                </w14:textFill>
              </w:rPr>
              <w:t>警告</w:t>
            </w:r>
            <w:r>
              <w:rPr>
                <w:rFonts w:hint="eastAsia" w:cs="宋体"/>
                <w:color w:val="000000" w:themeColor="text1"/>
                <w:spacing w:val="7"/>
                <w:sz w:val="21"/>
                <w:szCs w:val="21"/>
                <w:lang w:val="en-US" w:eastAsia="zh-CN"/>
                <w14:textFill>
                  <w14:solidFill>
                    <w14:schemeClr w14:val="tx1"/>
                  </w14:solidFill>
                </w14:textFill>
              </w:rPr>
              <w:t>等安全警示标志。</w:t>
            </w:r>
          </w:p>
        </w:tc>
        <w:tc>
          <w:tcPr>
            <w:tcW w:w="905" w:type="dxa"/>
            <w:shd w:val="clear" w:color="auto" w:fill="auto"/>
            <w:noWrap w:val="0"/>
            <w:vAlign w:val="top"/>
          </w:tcPr>
          <w:p w14:paraId="414FBCA4">
            <w:pPr>
              <w:pStyle w:val="26"/>
              <w:keepNext w:val="0"/>
              <w:keepLines w:val="0"/>
              <w:pageBreakBefore w:val="0"/>
              <w:widowControl w:val="0"/>
              <w:kinsoku/>
              <w:wordWrap/>
              <w:overflowPunct/>
              <w:topLinePunct w:val="0"/>
              <w:autoSpaceDE/>
              <w:autoSpaceDN/>
              <w:bidi w:val="0"/>
              <w:adjustRightInd/>
              <w:snapToGrid/>
              <w:spacing w:before="52" w:line="360" w:lineRule="exact"/>
              <w:ind w:left="107" w:right="78" w:hanging="5"/>
              <w:jc w:val="both"/>
              <w:textAlignment w:val="auto"/>
              <w:rPr>
                <w:rFonts w:hint="eastAsia" w:ascii="宋体" w:hAnsi="宋体" w:eastAsia="宋体" w:cs="宋体"/>
                <w:color w:val="000000" w:themeColor="text1"/>
                <w:spacing w:val="7"/>
                <w:sz w:val="21"/>
                <w:szCs w:val="21"/>
                <w14:textFill>
                  <w14:solidFill>
                    <w14:schemeClr w14:val="tx1"/>
                  </w14:solidFill>
                </w14:textFill>
              </w:rPr>
            </w:pPr>
          </w:p>
          <w:p w14:paraId="151806D3">
            <w:pPr>
              <w:pStyle w:val="26"/>
              <w:keepNext w:val="0"/>
              <w:keepLines w:val="0"/>
              <w:pageBreakBefore w:val="0"/>
              <w:widowControl w:val="0"/>
              <w:kinsoku/>
              <w:wordWrap/>
              <w:overflowPunct/>
              <w:topLinePunct w:val="0"/>
              <w:autoSpaceDE/>
              <w:autoSpaceDN/>
              <w:bidi w:val="0"/>
              <w:adjustRightInd/>
              <w:snapToGrid/>
              <w:spacing w:before="52" w:line="360" w:lineRule="exact"/>
              <w:ind w:left="107" w:leftChars="0" w:right="78" w:rightChars="0" w:hanging="5" w:firstLineChars="0"/>
              <w:jc w:val="both"/>
              <w:textAlignment w:val="auto"/>
              <w:rPr>
                <w:rFonts w:hint="eastAsia" w:ascii="宋体" w:hAnsi="宋体" w:eastAsia="宋体" w:cs="宋体"/>
                <w:color w:val="000000" w:themeColor="text1"/>
                <w:spacing w:val="7"/>
                <w:kern w:val="2"/>
                <w:sz w:val="21"/>
                <w:szCs w:val="21"/>
                <w:lang w:val="en-US" w:eastAsia="en-US" w:bidi="ar-SA"/>
                <w14:textFill>
                  <w14:solidFill>
                    <w14:schemeClr w14:val="tx1"/>
                  </w14:solidFill>
                </w14:textFill>
              </w:rPr>
            </w:pPr>
            <w:r>
              <w:rPr>
                <w:rFonts w:hint="eastAsia" w:cs="宋体"/>
                <w:color w:val="000000" w:themeColor="text1"/>
                <w:spacing w:val="7"/>
                <w:sz w:val="21"/>
                <w:szCs w:val="21"/>
                <w:lang w:val="en-US" w:eastAsia="zh-CN"/>
                <w14:textFill>
                  <w14:solidFill>
                    <w14:schemeClr w14:val="tx1"/>
                  </w14:solidFill>
                </w14:textFill>
              </w:rPr>
              <w:t>不</w:t>
            </w:r>
            <w:r>
              <w:rPr>
                <w:rFonts w:hint="eastAsia" w:ascii="宋体" w:hAnsi="宋体" w:eastAsia="宋体" w:cs="宋体"/>
                <w:color w:val="000000" w:themeColor="text1"/>
                <w:spacing w:val="7"/>
                <w:sz w:val="21"/>
                <w:szCs w:val="21"/>
                <w14:textFill>
                  <w14:solidFill>
                    <w14:schemeClr w14:val="tx1"/>
                  </w14:solidFill>
                </w14:textFill>
              </w:rPr>
              <w:t>符合</w:t>
            </w:r>
          </w:p>
        </w:tc>
      </w:tr>
    </w:tbl>
    <w:p w14:paraId="28E28313">
      <w:pPr>
        <w:pStyle w:val="10"/>
        <w:keepNext w:val="0"/>
        <w:keepLines w:val="0"/>
        <w:pageBreakBefore w:val="0"/>
        <w:widowControl w:val="0"/>
        <w:kinsoku/>
        <w:wordWrap/>
        <w:overflowPunct/>
        <w:topLinePunct w:val="0"/>
        <w:autoSpaceDE/>
        <w:autoSpaceDN/>
        <w:bidi w:val="0"/>
        <w:adjustRightInd/>
        <w:snapToGrid/>
        <w:spacing w:after="0" w:line="420" w:lineRule="exact"/>
        <w:ind w:left="130" w:right="102" w:firstLine="559"/>
        <w:textAlignment w:val="auto"/>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spacing w:val="-5"/>
          <w:sz w:val="28"/>
          <w:szCs w:val="28"/>
          <w14:textFill>
            <w14:solidFill>
              <w14:schemeClr w14:val="tx1"/>
            </w14:solidFill>
          </w14:textFill>
        </w:rPr>
        <w:t>评价分析：针对道路运输安全检查表内的</w:t>
      </w:r>
      <w:r>
        <w:rPr>
          <w:rFonts w:hint="eastAsia" w:ascii="宋体" w:hAnsi="宋体" w:eastAsia="宋体" w:cs="宋体"/>
          <w:color w:val="000000" w:themeColor="text1"/>
          <w:spacing w:val="-61"/>
          <w:sz w:val="28"/>
          <w:szCs w:val="28"/>
          <w:lang w:val="en-US" w:eastAsia="zh-CN"/>
          <w14:textFill>
            <w14:solidFill>
              <w14:schemeClr w14:val="tx1"/>
            </w14:solidFill>
          </w14:textFill>
        </w:rPr>
        <w:t>3</w:t>
      </w:r>
      <w:r>
        <w:rPr>
          <w:rFonts w:hint="eastAsia" w:ascii="宋体" w:hAnsi="宋体" w:eastAsia="宋体" w:cs="宋体"/>
          <w:color w:val="000000" w:themeColor="text1"/>
          <w:spacing w:val="-5"/>
          <w:sz w:val="28"/>
          <w:szCs w:val="28"/>
          <w14:textFill>
            <w14:solidFill>
              <w14:schemeClr w14:val="tx1"/>
            </w14:solidFill>
          </w14:textFill>
        </w:rPr>
        <w:t>项内容，其中</w:t>
      </w:r>
      <w:r>
        <w:rPr>
          <w:rFonts w:hint="eastAsia" w:ascii="宋体" w:hAnsi="宋体" w:eastAsia="宋体" w:cs="宋体"/>
          <w:color w:val="000000" w:themeColor="text1"/>
          <w:spacing w:val="-57"/>
          <w:sz w:val="28"/>
          <w:szCs w:val="28"/>
          <w14:textFill>
            <w14:solidFill>
              <w14:schemeClr w14:val="tx1"/>
            </w14:solidFill>
          </w14:textFill>
        </w:rPr>
        <w:t xml:space="preserve"> </w:t>
      </w:r>
      <w:r>
        <w:rPr>
          <w:rFonts w:hint="eastAsia" w:ascii="宋体" w:hAnsi="宋体" w:cs="宋体"/>
          <w:color w:val="000000" w:themeColor="text1"/>
          <w:spacing w:val="-57"/>
          <w:sz w:val="28"/>
          <w:szCs w:val="28"/>
          <w:lang w:val="en-US" w:eastAsia="zh-CN"/>
          <w14:textFill>
            <w14:solidFill>
              <w14:schemeClr w14:val="tx1"/>
            </w14:solidFill>
          </w14:textFill>
        </w:rPr>
        <w:t>1</w:t>
      </w:r>
      <w:r>
        <w:rPr>
          <w:rFonts w:hint="eastAsia" w:ascii="宋体" w:hAnsi="宋体" w:eastAsia="宋体" w:cs="宋体"/>
          <w:color w:val="000000" w:themeColor="text1"/>
          <w:spacing w:val="-5"/>
          <w:sz w:val="28"/>
          <w:szCs w:val="28"/>
          <w14:textFill>
            <w14:solidFill>
              <w14:schemeClr w14:val="tx1"/>
            </w14:solidFill>
          </w14:textFill>
        </w:rPr>
        <w:t>项</w:t>
      </w:r>
      <w:r>
        <w:rPr>
          <w:rFonts w:hint="eastAsia" w:ascii="宋体" w:hAnsi="宋体" w:eastAsia="宋体" w:cs="宋体"/>
          <w:color w:val="000000" w:themeColor="text1"/>
          <w:spacing w:val="-6"/>
          <w:sz w:val="28"/>
          <w:szCs w:val="28"/>
          <w14:textFill>
            <w14:solidFill>
              <w14:schemeClr w14:val="tx1"/>
            </w14:solidFill>
          </w14:textFill>
        </w:rPr>
        <w:t>合格，</w:t>
      </w:r>
      <w:r>
        <w:rPr>
          <w:rFonts w:hint="eastAsia" w:ascii="宋体" w:hAnsi="宋体" w:cs="宋体"/>
          <w:color w:val="000000" w:themeColor="text1"/>
          <w:spacing w:val="-6"/>
          <w:sz w:val="28"/>
          <w:szCs w:val="28"/>
          <w:lang w:val="en-US" w:eastAsia="zh-CN"/>
          <w14:textFill>
            <w14:solidFill>
              <w14:schemeClr w14:val="tx1"/>
            </w14:solidFill>
          </w14:textFill>
        </w:rPr>
        <w:t>2</w:t>
      </w:r>
      <w:r>
        <w:rPr>
          <w:rFonts w:hint="eastAsia" w:ascii="宋体" w:hAnsi="宋体" w:eastAsia="宋体" w:cs="宋体"/>
          <w:color w:val="000000" w:themeColor="text1"/>
          <w:spacing w:val="-56"/>
          <w:sz w:val="28"/>
          <w:szCs w:val="28"/>
          <w14:textFill>
            <w14:solidFill>
              <w14:schemeClr w14:val="tx1"/>
            </w14:solidFill>
          </w14:textFill>
        </w:rPr>
        <w:t xml:space="preserve"> </w:t>
      </w:r>
      <w:r>
        <w:rPr>
          <w:rFonts w:hint="eastAsia" w:ascii="宋体" w:hAnsi="宋体" w:eastAsia="宋体" w:cs="宋体"/>
          <w:color w:val="000000" w:themeColor="text1"/>
          <w:spacing w:val="-6"/>
          <w:sz w:val="28"/>
          <w:szCs w:val="28"/>
          <w14:textFill>
            <w14:solidFill>
              <w14:schemeClr w14:val="tx1"/>
            </w14:solidFill>
          </w14:textFill>
        </w:rPr>
        <w:t>项不</w:t>
      </w:r>
      <w:r>
        <w:rPr>
          <w:rFonts w:hint="eastAsia" w:ascii="宋体" w:hAnsi="宋体" w:eastAsia="宋体" w:cs="宋体"/>
          <w:color w:val="000000" w:themeColor="text1"/>
          <w:spacing w:val="-4"/>
          <w:sz w:val="28"/>
          <w:szCs w:val="28"/>
          <w14:textFill>
            <w14:solidFill>
              <w14:schemeClr w14:val="tx1"/>
            </w14:solidFill>
          </w14:textFill>
        </w:rPr>
        <w:t>合格。</w:t>
      </w:r>
    </w:p>
    <w:p w14:paraId="3F9B17F1">
      <w:pPr>
        <w:pStyle w:val="4"/>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414" w:name="_Toc6710"/>
      <w:r>
        <w:rPr>
          <w:rFonts w:hint="eastAsia" w:ascii="宋体" w:hAnsi="宋体" w:eastAsia="宋体" w:cs="宋体"/>
          <w:b/>
          <w:bCs w:val="0"/>
          <w:color w:val="000000" w:themeColor="text1"/>
          <w:sz w:val="30"/>
          <w:szCs w:val="30"/>
          <w:lang w:val="en-US" w:eastAsia="zh-CN"/>
          <w14:textFill>
            <w14:solidFill>
              <w14:schemeClr w14:val="tx1"/>
            </w14:solidFill>
          </w14:textFill>
        </w:rPr>
        <w:t>5.2.3单元小结</w:t>
      </w:r>
      <w:bookmarkEnd w:id="414"/>
    </w:p>
    <w:p w14:paraId="6DCC9552">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光伏发电站总平面布置安全检查表”检查结果：电站总平面布置较全面考虑了自然地理条件、工作环境、交通道路、环境绿化等因素，进行统一规划、合理安排。总平面布置符合《工业企业总平面设计规范》（GB50187-2012）、《光伏发电站设计规范》（</w:t>
      </w:r>
      <w:r>
        <w:rPr>
          <w:rFonts w:hint="eastAsia" w:ascii="宋体" w:hAnsi="宋体" w:eastAsia="宋体" w:cs="宋体"/>
          <w:color w:val="000000" w:themeColor="text1"/>
          <w:sz w:val="28"/>
          <w:szCs w:val="28"/>
          <w:lang w:eastAsia="zh-CN"/>
          <w14:textFill>
            <w14:solidFill>
              <w14:schemeClr w14:val="tx1"/>
            </w14:solidFill>
          </w14:textFill>
        </w:rPr>
        <w:t>GB 50797-2012</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eastAsia="zh-CN"/>
          <w14:textFill>
            <w14:solidFill>
              <w14:schemeClr w14:val="tx1"/>
            </w14:solidFill>
          </w14:textFill>
        </w:rPr>
        <w:t>35kV～220kV无人值班变电站设计技术规程</w:t>
      </w:r>
      <w:r>
        <w:rPr>
          <w:rFonts w:hint="eastAsia" w:ascii="宋体" w:hAnsi="宋体" w:eastAsia="宋体" w:cs="宋体"/>
          <w:color w:val="000000" w:themeColor="text1"/>
          <w:sz w:val="28"/>
          <w:szCs w:val="28"/>
          <w14:textFill>
            <w14:solidFill>
              <w14:schemeClr w14:val="tx1"/>
            </w14:solidFill>
          </w14:textFill>
        </w:rPr>
        <w:t>》（DL/T5103-201</w:t>
      </w: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安全设施设计</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等的要求。</w:t>
      </w:r>
    </w:p>
    <w:p w14:paraId="13256757">
      <w:pPr>
        <w:pStyle w:val="3"/>
        <w:pageBreakBefore w:val="0"/>
        <w:widowControl w:val="0"/>
        <w:tabs>
          <w:tab w:val="left" w:pos="0"/>
        </w:tabs>
        <w:kinsoku/>
        <w:wordWrap/>
        <w:overflowPunct/>
        <w:topLinePunct w:val="0"/>
        <w:autoSpaceDE/>
        <w:autoSpaceDN/>
        <w:bidi w:val="0"/>
        <w:spacing w:line="420" w:lineRule="exact"/>
        <w:textAlignment w:val="auto"/>
        <w:rPr>
          <w:rFonts w:hint="eastAsia" w:ascii="宋体" w:hAnsi="宋体" w:eastAsia="宋体" w:cs="宋体"/>
          <w:color w:val="000000" w:themeColor="text1"/>
          <w:lang w:val="en-US" w:eastAsia="zh-CN"/>
          <w14:textFill>
            <w14:solidFill>
              <w14:schemeClr w14:val="tx1"/>
            </w14:solidFill>
          </w14:textFill>
        </w:rPr>
      </w:pPr>
      <w:bookmarkStart w:id="415" w:name="_Toc23192"/>
      <w:bookmarkStart w:id="416" w:name="_Toc12079"/>
      <w:bookmarkStart w:id="417" w:name="_Toc31608"/>
      <w:bookmarkStart w:id="418" w:name="_Toc13886"/>
      <w:r>
        <w:rPr>
          <w:rFonts w:hint="eastAsia" w:ascii="宋体" w:hAnsi="宋体" w:eastAsia="宋体" w:cs="宋体"/>
          <w:color w:val="000000" w:themeColor="text1"/>
          <w:lang w:val="en-US" w:eastAsia="zh-CN"/>
          <w14:textFill>
            <w14:solidFill>
              <w14:schemeClr w14:val="tx1"/>
            </w14:solidFill>
          </w14:textFill>
        </w:rPr>
        <w:t>5.3主要建（构）筑物等单元</w:t>
      </w:r>
      <w:bookmarkEnd w:id="415"/>
      <w:bookmarkEnd w:id="416"/>
      <w:bookmarkEnd w:id="417"/>
      <w:bookmarkEnd w:id="418"/>
    </w:p>
    <w:p w14:paraId="4D80B5C5">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lang w:val="en-US" w:eastAsia="zh-CN"/>
          <w14:textFill>
            <w14:solidFill>
              <w14:schemeClr w14:val="tx1"/>
            </w14:solidFill>
          </w14:textFill>
        </w:rPr>
      </w:pPr>
      <w:bookmarkStart w:id="419" w:name="_Toc1775"/>
      <w:bookmarkStart w:id="420" w:name="_Toc15311"/>
      <w:bookmarkStart w:id="421" w:name="_Toc17010"/>
      <w:r>
        <w:rPr>
          <w:rFonts w:hint="eastAsia" w:ascii="宋体" w:hAnsi="宋体" w:eastAsia="宋体" w:cs="宋体"/>
          <w:b/>
          <w:bCs w:val="0"/>
          <w:color w:val="000000" w:themeColor="text1"/>
          <w:sz w:val="30"/>
          <w:szCs w:val="30"/>
          <w:lang w:val="en-US" w:eastAsia="zh-CN"/>
          <w14:textFill>
            <w14:solidFill>
              <w14:schemeClr w14:val="tx1"/>
            </w14:solidFill>
          </w14:textFill>
        </w:rPr>
        <w:t>5.3.1建（构）筑物安全检查表</w:t>
      </w:r>
      <w:bookmarkEnd w:id="419"/>
      <w:bookmarkEnd w:id="420"/>
      <w:bookmarkEnd w:id="421"/>
    </w:p>
    <w:p w14:paraId="740FC766">
      <w:pPr>
        <w:pStyle w:val="8"/>
        <w:keepNext w:val="0"/>
        <w:keepLines w:val="0"/>
        <w:pageBreakBefore w:val="0"/>
        <w:widowControl w:val="0"/>
        <w:kinsoku/>
        <w:wordWrap/>
        <w:overflowPunct/>
        <w:topLinePunct w:val="0"/>
        <w:autoSpaceDE/>
        <w:autoSpaceDN/>
        <w:bidi w:val="0"/>
        <w:spacing w:line="420" w:lineRule="exact"/>
        <w:textAlignment w:val="auto"/>
        <w:rPr>
          <w:rFonts w:hint="eastAsia"/>
          <w:color w:val="000000" w:themeColor="text1"/>
          <w14:textFill>
            <w14:solidFill>
              <w14:schemeClr w14:val="tx1"/>
            </w14:solidFill>
          </w14:textFill>
        </w:rPr>
      </w:pPr>
      <w:r>
        <w:rPr>
          <w:color w:val="000000" w:themeColor="text1"/>
          <w14:textFill>
            <w14:solidFill>
              <w14:schemeClr w14:val="tx1"/>
            </w14:solidFill>
          </w14:textFill>
        </w:rPr>
        <w:t>表</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建（构）筑物安全检查</w:t>
      </w:r>
      <w:r>
        <w:rPr>
          <w:color w:val="000000" w:themeColor="text1"/>
          <w14:textFill>
            <w14:solidFill>
              <w14:schemeClr w14:val="tx1"/>
            </w14:solidFill>
          </w14:textFill>
        </w:rPr>
        <w:t>表</w:t>
      </w:r>
    </w:p>
    <w:tbl>
      <w:tblPr>
        <w:tblStyle w:val="21"/>
        <w:tblW w:w="488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2958"/>
        <w:gridCol w:w="2064"/>
        <w:gridCol w:w="2532"/>
        <w:gridCol w:w="707"/>
      </w:tblGrid>
      <w:tr w14:paraId="5D358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blHeader/>
          <w:jc w:val="center"/>
        </w:trPr>
        <w:tc>
          <w:tcPr>
            <w:tcW w:w="367" w:type="pct"/>
            <w:noWrap w:val="0"/>
            <w:vAlign w:val="center"/>
          </w:tcPr>
          <w:p w14:paraId="11F99C93">
            <w:pPr>
              <w:pStyle w:val="17"/>
              <w:keepNext w:val="0"/>
              <w:keepLines w:val="0"/>
              <w:pageBreakBefore w:val="0"/>
              <w:widowControl w:val="0"/>
              <w:kinsoku/>
              <w:bidi w:val="0"/>
              <w:spacing w:line="240" w:lineRule="auto"/>
              <w:ind w:left="0" w:leftChars="0" w:right="0" w:rightChars="0" w:firstLine="0" w:firstLineChars="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序号</w:t>
            </w:r>
          </w:p>
        </w:tc>
        <w:tc>
          <w:tcPr>
            <w:tcW w:w="1658" w:type="pct"/>
            <w:noWrap w:val="0"/>
            <w:vAlign w:val="center"/>
          </w:tcPr>
          <w:p w14:paraId="6CB7E5F1">
            <w:pPr>
              <w:keepNext w:val="0"/>
              <w:keepLines w:val="0"/>
              <w:pageBreakBefore w:val="0"/>
              <w:widowControl w:val="0"/>
              <w:kinsoku/>
              <w:bidi w:val="0"/>
              <w:spacing w:line="240" w:lineRule="auto"/>
              <w:ind w:left="0" w:leftChars="0" w:right="0" w:rightChars="0" w:firstLine="0" w:firstLineChars="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检查项目与内容</w:t>
            </w:r>
          </w:p>
        </w:tc>
        <w:tc>
          <w:tcPr>
            <w:tcW w:w="1157" w:type="pct"/>
            <w:noWrap w:val="0"/>
            <w:vAlign w:val="center"/>
          </w:tcPr>
          <w:p w14:paraId="39923F4E">
            <w:pPr>
              <w:pStyle w:val="17"/>
              <w:keepNext w:val="0"/>
              <w:keepLines w:val="0"/>
              <w:pageBreakBefore w:val="0"/>
              <w:widowControl w:val="0"/>
              <w:kinsoku/>
              <w:bidi w:val="0"/>
              <w:spacing w:line="240" w:lineRule="auto"/>
              <w:ind w:left="0" w:leftChars="0" w:right="0" w:rightChars="0" w:firstLine="0" w:firstLineChars="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依据标准条款</w:t>
            </w:r>
          </w:p>
        </w:tc>
        <w:tc>
          <w:tcPr>
            <w:tcW w:w="1419" w:type="pct"/>
            <w:noWrap w:val="0"/>
            <w:vAlign w:val="center"/>
          </w:tcPr>
          <w:p w14:paraId="404BD0AB">
            <w:pPr>
              <w:pStyle w:val="17"/>
              <w:keepNext w:val="0"/>
              <w:keepLines w:val="0"/>
              <w:pageBreakBefore w:val="0"/>
              <w:widowControl w:val="0"/>
              <w:kinsoku/>
              <w:bidi w:val="0"/>
              <w:spacing w:line="240" w:lineRule="auto"/>
              <w:ind w:left="0" w:leftChars="0" w:right="0" w:rightChars="0" w:firstLine="0" w:firstLineChars="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检查记录</w:t>
            </w:r>
          </w:p>
        </w:tc>
        <w:tc>
          <w:tcPr>
            <w:tcW w:w="396" w:type="pct"/>
            <w:noWrap w:val="0"/>
            <w:vAlign w:val="center"/>
          </w:tcPr>
          <w:p w14:paraId="0BF4B16C">
            <w:pPr>
              <w:keepNext w:val="0"/>
              <w:keepLines w:val="0"/>
              <w:pageBreakBefore w:val="0"/>
              <w:widowControl w:val="0"/>
              <w:kinsoku/>
              <w:bidi w:val="0"/>
              <w:spacing w:line="240" w:lineRule="auto"/>
              <w:ind w:left="0" w:leftChars="0" w:right="0" w:rightChars="0" w:firstLine="0" w:firstLineChars="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检查结果</w:t>
            </w:r>
          </w:p>
        </w:tc>
      </w:tr>
      <w:tr w14:paraId="06204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jc w:val="center"/>
        </w:trPr>
        <w:tc>
          <w:tcPr>
            <w:tcW w:w="367" w:type="pct"/>
            <w:noWrap w:val="0"/>
            <w:vAlign w:val="center"/>
          </w:tcPr>
          <w:p w14:paraId="18EBC6E1">
            <w:pPr>
              <w:keepNext w:val="0"/>
              <w:keepLines w:val="0"/>
              <w:pageBreakBefore w:val="0"/>
              <w:widowControl w:val="0"/>
              <w:numPr>
                <w:ilvl w:val="0"/>
                <w:numId w:val="32"/>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1777DAAB">
            <w:pPr>
              <w:keepNext w:val="0"/>
              <w:keepLines w:val="0"/>
              <w:pageBreakBefore w:val="0"/>
              <w:widowControl w:val="0"/>
              <w:kinsoku/>
              <w:bidi w:val="0"/>
              <w:spacing w:line="240" w:lineRule="auto"/>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光伏发电站建（构）筑物的布置应根据总体布置要求、站址地质条件、设备型号、电源进线方向、对外交通以及有利于站房施工、设备安装与检修和工程管理等条件，经技术经济比较确定。</w:t>
            </w:r>
          </w:p>
        </w:tc>
        <w:tc>
          <w:tcPr>
            <w:tcW w:w="1157" w:type="pct"/>
            <w:noWrap w:val="0"/>
            <w:vAlign w:val="center"/>
          </w:tcPr>
          <w:p w14:paraId="062C32EA">
            <w:pPr>
              <w:pStyle w:val="17"/>
              <w:keepNext w:val="0"/>
              <w:keepLines w:val="0"/>
              <w:pageBreakBefore w:val="0"/>
              <w:widowControl w:val="0"/>
              <w:kinsoku/>
              <w:bidi w:val="0"/>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《光伏发电站设计规范》（GB50797-2012）</w:t>
            </w:r>
          </w:p>
          <w:p w14:paraId="203A2E4B">
            <w:pPr>
              <w:pStyle w:val="17"/>
              <w:keepNext w:val="0"/>
              <w:keepLines w:val="0"/>
              <w:pageBreakBefore w:val="0"/>
              <w:widowControl w:val="0"/>
              <w:kinsoku/>
              <w:bidi w:val="0"/>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第10.1.1条</w:t>
            </w:r>
          </w:p>
        </w:tc>
        <w:tc>
          <w:tcPr>
            <w:tcW w:w="1419" w:type="pct"/>
            <w:noWrap w:val="0"/>
            <w:vAlign w:val="top"/>
          </w:tcPr>
          <w:p w14:paraId="69C4D8D6">
            <w:pPr>
              <w:keepNext w:val="0"/>
              <w:keepLines w:val="0"/>
              <w:pageBreakBefore w:val="0"/>
              <w:widowControl w:val="0"/>
              <w:kinsoku/>
              <w:bidi w:val="0"/>
              <w:spacing w:line="240" w:lineRule="auto"/>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电站建（构）筑物的布置</w:t>
            </w:r>
            <w:r>
              <w:rPr>
                <w:rFonts w:hint="eastAsia" w:ascii="宋体" w:hAnsi="宋体" w:cs="宋体"/>
                <w:color w:val="000000" w:themeColor="text1"/>
                <w:sz w:val="21"/>
                <w:szCs w:val="21"/>
                <w:lang w:val="en-US" w:eastAsia="zh-CN"/>
                <w14:textFill>
                  <w14:solidFill>
                    <w14:schemeClr w14:val="tx1"/>
                  </w14:solidFill>
                </w14:textFill>
              </w:rPr>
              <w:t>根</w:t>
            </w:r>
            <w:r>
              <w:rPr>
                <w:rFonts w:hint="eastAsia" w:ascii="宋体" w:hAnsi="宋体" w:eastAsia="宋体" w:cs="宋体"/>
                <w:color w:val="000000" w:themeColor="text1"/>
                <w:sz w:val="21"/>
                <w:szCs w:val="21"/>
                <w14:textFill>
                  <w14:solidFill>
                    <w14:schemeClr w14:val="tx1"/>
                  </w14:solidFill>
                </w14:textFill>
              </w:rPr>
              <w:t>据总体布置要求、站址地质条件、设备型号、电源进线方向、对外交通以及有利于站房施工、设备安装与检修和工程管理等条件，经技术经济比较确定。</w:t>
            </w:r>
          </w:p>
        </w:tc>
        <w:tc>
          <w:tcPr>
            <w:tcW w:w="396" w:type="pct"/>
            <w:noWrap w:val="0"/>
            <w:vAlign w:val="center"/>
          </w:tcPr>
          <w:p w14:paraId="37026547">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0BC4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367" w:type="pct"/>
            <w:noWrap w:val="0"/>
            <w:vAlign w:val="center"/>
          </w:tcPr>
          <w:p w14:paraId="586EF67C">
            <w:pPr>
              <w:keepNext w:val="0"/>
              <w:keepLines w:val="0"/>
              <w:pageBreakBefore w:val="0"/>
              <w:widowControl w:val="0"/>
              <w:numPr>
                <w:ilvl w:val="0"/>
                <w:numId w:val="32"/>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6BEAB8B0">
            <w:pPr>
              <w:keepNext w:val="0"/>
              <w:keepLines w:val="0"/>
              <w:pageBreakBefore w:val="0"/>
              <w:widowControl w:val="0"/>
              <w:kinsoku/>
              <w:bidi w:val="0"/>
              <w:spacing w:line="240" w:lineRule="auto"/>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建筑设计应根据规划留有扩建的空间。</w:t>
            </w:r>
          </w:p>
        </w:tc>
        <w:tc>
          <w:tcPr>
            <w:tcW w:w="1157" w:type="pct"/>
            <w:noWrap w:val="0"/>
            <w:vAlign w:val="center"/>
          </w:tcPr>
          <w:p w14:paraId="472F0D2F">
            <w:pPr>
              <w:pStyle w:val="17"/>
              <w:keepNext w:val="0"/>
              <w:keepLines w:val="0"/>
              <w:pageBreakBefore w:val="0"/>
              <w:widowControl w:val="0"/>
              <w:kinsoku/>
              <w:bidi w:val="0"/>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《光伏发电站设计规范》（GB50797-2012）</w:t>
            </w:r>
          </w:p>
          <w:p w14:paraId="3335A8B8">
            <w:pPr>
              <w:pStyle w:val="17"/>
              <w:keepNext w:val="0"/>
              <w:keepLines w:val="0"/>
              <w:pageBreakBefore w:val="0"/>
              <w:widowControl w:val="0"/>
              <w:kinsoku/>
              <w:bidi w:val="0"/>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第10.1.2条</w:t>
            </w:r>
          </w:p>
        </w:tc>
        <w:tc>
          <w:tcPr>
            <w:tcW w:w="1419" w:type="pct"/>
            <w:noWrap w:val="0"/>
            <w:vAlign w:val="center"/>
          </w:tcPr>
          <w:p w14:paraId="771FA6F2">
            <w:pPr>
              <w:keepNext w:val="0"/>
              <w:keepLines w:val="0"/>
              <w:pageBreakBefore w:val="0"/>
              <w:widowControl w:val="0"/>
              <w:kinsoku/>
              <w:bidi w:val="0"/>
              <w:spacing w:line="240" w:lineRule="auto"/>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无规划</w:t>
            </w:r>
            <w:r>
              <w:rPr>
                <w:rFonts w:hint="eastAsia" w:ascii="宋体" w:hAnsi="宋体" w:cs="宋体"/>
                <w:color w:val="000000" w:themeColor="text1"/>
                <w:sz w:val="21"/>
                <w:szCs w:val="21"/>
                <w:lang w:eastAsia="zh-CN"/>
                <w14:textFill>
                  <w14:solidFill>
                    <w14:schemeClr w14:val="tx1"/>
                  </w14:solidFill>
                </w14:textFill>
              </w:rPr>
              <w:t>扩建</w:t>
            </w:r>
            <w:r>
              <w:rPr>
                <w:rFonts w:hint="eastAsia" w:ascii="宋体" w:hAnsi="宋体" w:eastAsia="宋体" w:cs="宋体"/>
                <w:color w:val="000000" w:themeColor="text1"/>
                <w:sz w:val="21"/>
                <w:szCs w:val="21"/>
                <w14:textFill>
                  <w14:solidFill>
                    <w14:schemeClr w14:val="tx1"/>
                  </w14:solidFill>
                </w14:textFill>
              </w:rPr>
              <w:t>，一次建成。</w:t>
            </w:r>
          </w:p>
        </w:tc>
        <w:tc>
          <w:tcPr>
            <w:tcW w:w="396" w:type="pct"/>
            <w:noWrap w:val="0"/>
            <w:vAlign w:val="center"/>
          </w:tcPr>
          <w:p w14:paraId="0C2A9BE7">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5B86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367" w:type="pct"/>
            <w:noWrap w:val="0"/>
            <w:vAlign w:val="center"/>
          </w:tcPr>
          <w:p w14:paraId="1D8EB08B">
            <w:pPr>
              <w:keepNext w:val="0"/>
              <w:keepLines w:val="0"/>
              <w:pageBreakBefore w:val="0"/>
              <w:widowControl w:val="0"/>
              <w:numPr>
                <w:ilvl w:val="0"/>
                <w:numId w:val="32"/>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51361083">
            <w:pPr>
              <w:keepNext w:val="0"/>
              <w:keepLines w:val="0"/>
              <w:pageBreakBefore w:val="0"/>
              <w:widowControl w:val="0"/>
              <w:kinsoku/>
              <w:bidi w:val="0"/>
              <w:spacing w:line="240" w:lineRule="auto"/>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电气间应设防止蛇、鼠类等小动物危害的措施。</w:t>
            </w:r>
          </w:p>
        </w:tc>
        <w:tc>
          <w:tcPr>
            <w:tcW w:w="1157" w:type="pct"/>
            <w:noWrap w:val="0"/>
            <w:vAlign w:val="center"/>
          </w:tcPr>
          <w:p w14:paraId="54645708">
            <w:pPr>
              <w:pStyle w:val="17"/>
              <w:keepNext w:val="0"/>
              <w:keepLines w:val="0"/>
              <w:pageBreakBefore w:val="0"/>
              <w:widowControl w:val="0"/>
              <w:kinsoku/>
              <w:bidi w:val="0"/>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《光伏发电站设计规范》（GB50797-2012）</w:t>
            </w:r>
          </w:p>
          <w:p w14:paraId="30C4C465">
            <w:pPr>
              <w:pStyle w:val="17"/>
              <w:keepNext w:val="0"/>
              <w:keepLines w:val="0"/>
              <w:pageBreakBefore w:val="0"/>
              <w:widowControl w:val="0"/>
              <w:kinsoku/>
              <w:bidi w:val="0"/>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第10.1.5</w:t>
            </w:r>
            <w:r>
              <w:rPr>
                <w:rFonts w:hint="eastAsia" w:ascii="宋体" w:hAnsi="宋体" w:eastAsia="宋体" w:cs="宋体"/>
                <w:color w:val="000000" w:themeColor="text1"/>
                <w:sz w:val="21"/>
                <w:szCs w:val="21"/>
                <w14:textFill>
                  <w14:solidFill>
                    <w14:schemeClr w14:val="tx1"/>
                  </w14:solidFill>
                </w14:textFill>
              </w:rPr>
              <w:tab/>
            </w:r>
            <w:r>
              <w:rPr>
                <w:rFonts w:hint="eastAsia" w:ascii="宋体" w:hAnsi="宋体" w:eastAsia="宋体" w:cs="宋体"/>
                <w:color w:val="000000" w:themeColor="text1"/>
                <w:sz w:val="21"/>
                <w:szCs w:val="21"/>
                <w14:textFill>
                  <w14:solidFill>
                    <w14:schemeClr w14:val="tx1"/>
                  </w14:solidFill>
                </w14:textFill>
              </w:rPr>
              <w:t>条</w:t>
            </w:r>
          </w:p>
        </w:tc>
        <w:tc>
          <w:tcPr>
            <w:tcW w:w="1419" w:type="pct"/>
            <w:noWrap w:val="0"/>
            <w:vAlign w:val="center"/>
          </w:tcPr>
          <w:p w14:paraId="014F09D4">
            <w:pPr>
              <w:keepNext w:val="0"/>
              <w:keepLines w:val="0"/>
              <w:pageBreakBefore w:val="0"/>
              <w:widowControl w:val="0"/>
              <w:kinsoku/>
              <w:bidi w:val="0"/>
              <w:spacing w:line="240" w:lineRule="auto"/>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配电室等入口处设置了防小动物进入的挡板。</w:t>
            </w:r>
          </w:p>
        </w:tc>
        <w:tc>
          <w:tcPr>
            <w:tcW w:w="396" w:type="pct"/>
            <w:noWrap w:val="0"/>
            <w:vAlign w:val="center"/>
          </w:tcPr>
          <w:p w14:paraId="17991C7C">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EC67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9" w:hRule="atLeast"/>
          <w:jc w:val="center"/>
        </w:trPr>
        <w:tc>
          <w:tcPr>
            <w:tcW w:w="367" w:type="pct"/>
            <w:noWrap w:val="0"/>
            <w:vAlign w:val="center"/>
          </w:tcPr>
          <w:p w14:paraId="734EDBA2">
            <w:pPr>
              <w:keepNext w:val="0"/>
              <w:keepLines w:val="0"/>
              <w:pageBreakBefore w:val="0"/>
              <w:widowControl w:val="0"/>
              <w:numPr>
                <w:ilvl w:val="0"/>
                <w:numId w:val="32"/>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060754A3">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地面光伏发电站的建筑物设计应符合下列要求：1、满足设备布置、安装、运行和检修的要求。2、满足内外交通运输的要求。3、满足站房结构布置的要求。4、满足站房内采暖、通风和采光要求。5、满足防水、防潮、防尘、防噪声要求。6、建筑造型与场地协调，布置合理，</w:t>
            </w:r>
            <w:r>
              <w:rPr>
                <w:rFonts w:hint="eastAsia" w:ascii="宋体" w:hAnsi="宋体" w:cs="宋体"/>
                <w:color w:val="000000" w:themeColor="text1"/>
                <w:sz w:val="21"/>
                <w:szCs w:val="21"/>
                <w:lang w:eastAsia="zh-CN"/>
                <w14:textFill>
                  <w14:solidFill>
                    <w14:schemeClr w14:val="tx1"/>
                  </w14:solidFill>
                </w14:textFill>
              </w:rPr>
              <w:t>实用</w:t>
            </w:r>
            <w:r>
              <w:rPr>
                <w:rFonts w:hint="eastAsia" w:ascii="宋体" w:hAnsi="宋体" w:eastAsia="宋体" w:cs="宋体"/>
                <w:color w:val="000000" w:themeColor="text1"/>
                <w:sz w:val="21"/>
                <w:szCs w:val="21"/>
                <w14:textFill>
                  <w14:solidFill>
                    <w14:schemeClr w14:val="tx1"/>
                  </w14:solidFill>
                </w14:textFill>
              </w:rPr>
              <w:t>美观。</w:t>
            </w:r>
          </w:p>
        </w:tc>
        <w:tc>
          <w:tcPr>
            <w:tcW w:w="1157" w:type="pct"/>
            <w:noWrap w:val="0"/>
            <w:vAlign w:val="center"/>
          </w:tcPr>
          <w:p w14:paraId="4C21CCF4">
            <w:pPr>
              <w:pStyle w:val="17"/>
              <w:keepNext w:val="0"/>
              <w:keepLines w:val="0"/>
              <w:pageBreakBefore w:val="0"/>
              <w:widowControl w:val="0"/>
              <w:kinsoku/>
              <w:bidi w:val="0"/>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《光伏发电站设计规范》（GB50797-2012）</w:t>
            </w:r>
          </w:p>
          <w:p w14:paraId="26777E1C">
            <w:pPr>
              <w:pStyle w:val="17"/>
              <w:keepNext w:val="0"/>
              <w:keepLines w:val="0"/>
              <w:pageBreakBefore w:val="0"/>
              <w:widowControl w:val="0"/>
              <w:kinsoku/>
              <w:bidi w:val="0"/>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第10.2.1条</w:t>
            </w:r>
          </w:p>
        </w:tc>
        <w:tc>
          <w:tcPr>
            <w:tcW w:w="1419" w:type="pct"/>
            <w:noWrap w:val="0"/>
            <w:vAlign w:val="center"/>
          </w:tcPr>
          <w:p w14:paraId="65707A35">
            <w:pPr>
              <w:pStyle w:val="17"/>
              <w:keepNext w:val="0"/>
              <w:keepLines w:val="0"/>
              <w:pageBreakBefore w:val="0"/>
              <w:widowControl w:val="0"/>
              <w:kinsoku/>
              <w:bidi w:val="0"/>
              <w:spacing w:line="240" w:lineRule="auto"/>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建筑物满足设备布置、安装、运行、检修、交通运输、结构、采暖通风、采光等要求。建筑造型与场地协调，布置合理，</w:t>
            </w:r>
            <w:r>
              <w:rPr>
                <w:rFonts w:hint="eastAsia" w:ascii="宋体" w:hAnsi="宋体" w:cs="宋体"/>
                <w:color w:val="000000" w:themeColor="text1"/>
                <w:sz w:val="21"/>
                <w:szCs w:val="21"/>
                <w:lang w:eastAsia="zh-CN"/>
                <w14:textFill>
                  <w14:solidFill>
                    <w14:schemeClr w14:val="tx1"/>
                  </w14:solidFill>
                </w14:textFill>
              </w:rPr>
              <w:t>实用</w:t>
            </w:r>
            <w:r>
              <w:rPr>
                <w:rFonts w:hint="eastAsia" w:ascii="宋体" w:hAnsi="宋体" w:eastAsia="宋体" w:cs="宋体"/>
                <w:color w:val="000000" w:themeColor="text1"/>
                <w:sz w:val="21"/>
                <w:szCs w:val="21"/>
                <w14:textFill>
                  <w14:solidFill>
                    <w14:schemeClr w14:val="tx1"/>
                  </w14:solidFill>
                </w14:textFill>
              </w:rPr>
              <w:t>美观</w:t>
            </w:r>
          </w:p>
        </w:tc>
        <w:tc>
          <w:tcPr>
            <w:tcW w:w="396" w:type="pct"/>
            <w:noWrap w:val="0"/>
            <w:vAlign w:val="center"/>
          </w:tcPr>
          <w:p w14:paraId="21ECBD5F">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C684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367" w:type="pct"/>
            <w:noWrap w:val="0"/>
            <w:vAlign w:val="center"/>
          </w:tcPr>
          <w:p w14:paraId="314C81E1">
            <w:pPr>
              <w:keepNext w:val="0"/>
              <w:keepLines w:val="0"/>
              <w:pageBreakBefore w:val="0"/>
              <w:widowControl w:val="0"/>
              <w:numPr>
                <w:ilvl w:val="0"/>
                <w:numId w:val="32"/>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072FEFFB">
            <w:pPr>
              <w:keepNext w:val="0"/>
              <w:keepLines w:val="0"/>
              <w:pageBreakBefore w:val="0"/>
              <w:widowControl w:val="0"/>
              <w:kinsoku/>
              <w:bidi w:val="0"/>
              <w:spacing w:line="240" w:lineRule="auto"/>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建筑物门窗应根据建筑物内通风、采暖和采光的需要合理布置，必要时可采用双层玻璃窗。</w:t>
            </w:r>
          </w:p>
        </w:tc>
        <w:tc>
          <w:tcPr>
            <w:tcW w:w="1157" w:type="pct"/>
            <w:noWrap w:val="0"/>
            <w:vAlign w:val="top"/>
          </w:tcPr>
          <w:p w14:paraId="5F2C4D9C">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《光伏发电站设计规范》（GB50797-2012）第10.2.3条</w:t>
            </w:r>
          </w:p>
        </w:tc>
        <w:tc>
          <w:tcPr>
            <w:tcW w:w="1419" w:type="pct"/>
            <w:noWrap w:val="0"/>
            <w:vAlign w:val="center"/>
          </w:tcPr>
          <w:p w14:paraId="131926A1">
            <w:pPr>
              <w:pStyle w:val="17"/>
              <w:keepNext w:val="0"/>
              <w:keepLines w:val="0"/>
              <w:pageBreakBefore w:val="0"/>
              <w:widowControl w:val="0"/>
              <w:kinsoku/>
              <w:bidi w:val="0"/>
              <w:spacing w:line="240" w:lineRule="auto"/>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门窗采用自然通风、采光、采暖。</w:t>
            </w:r>
          </w:p>
        </w:tc>
        <w:tc>
          <w:tcPr>
            <w:tcW w:w="396" w:type="pct"/>
            <w:noWrap w:val="0"/>
            <w:vAlign w:val="center"/>
          </w:tcPr>
          <w:p w14:paraId="6DB76E73">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5DF5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367" w:type="pct"/>
            <w:noWrap w:val="0"/>
            <w:vAlign w:val="center"/>
          </w:tcPr>
          <w:p w14:paraId="72EDD091">
            <w:pPr>
              <w:keepNext w:val="0"/>
              <w:keepLines w:val="0"/>
              <w:pageBreakBefore w:val="0"/>
              <w:widowControl w:val="0"/>
              <w:numPr>
                <w:ilvl w:val="0"/>
                <w:numId w:val="32"/>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34A1C65C">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光伏发电站中，除光伏支架外的建（构）筑物的结构设计使用年限应为50年。</w:t>
            </w:r>
          </w:p>
        </w:tc>
        <w:tc>
          <w:tcPr>
            <w:tcW w:w="1157" w:type="pct"/>
            <w:noWrap w:val="0"/>
            <w:vAlign w:val="top"/>
          </w:tcPr>
          <w:p w14:paraId="7FC2E2E3">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《光伏发电站设计规范》（GB50797-2012）第10.4.1条</w:t>
            </w:r>
          </w:p>
        </w:tc>
        <w:tc>
          <w:tcPr>
            <w:tcW w:w="1419" w:type="pct"/>
            <w:noWrap w:val="0"/>
            <w:vAlign w:val="center"/>
          </w:tcPr>
          <w:p w14:paraId="2205EE18">
            <w:pPr>
              <w:pStyle w:val="17"/>
              <w:keepNext w:val="0"/>
              <w:keepLines w:val="0"/>
              <w:pageBreakBefore w:val="0"/>
              <w:widowControl w:val="0"/>
              <w:kinsoku/>
              <w:bidi w:val="0"/>
              <w:spacing w:line="240" w:lineRule="auto"/>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建（构）筑物的结构设计使用年限为50年。</w:t>
            </w:r>
          </w:p>
        </w:tc>
        <w:tc>
          <w:tcPr>
            <w:tcW w:w="396" w:type="pct"/>
            <w:noWrap w:val="0"/>
            <w:vAlign w:val="center"/>
          </w:tcPr>
          <w:p w14:paraId="4BC1B96B">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6ACE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367" w:type="pct"/>
            <w:noWrap w:val="0"/>
            <w:vAlign w:val="center"/>
          </w:tcPr>
          <w:p w14:paraId="39F6B44B">
            <w:pPr>
              <w:keepNext w:val="0"/>
              <w:keepLines w:val="0"/>
              <w:pageBreakBefore w:val="0"/>
              <w:widowControl w:val="0"/>
              <w:numPr>
                <w:ilvl w:val="0"/>
                <w:numId w:val="32"/>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4D6FCD49">
            <w:pPr>
              <w:keepNext w:val="0"/>
              <w:keepLines w:val="0"/>
              <w:pageBreakBefore w:val="0"/>
              <w:widowControl w:val="0"/>
              <w:tabs>
                <w:tab w:val="left" w:pos="1246"/>
              </w:tabs>
              <w:kinsoku/>
              <w:bidi w:val="0"/>
              <w:adjustRightInd w:val="0"/>
              <w:snapToGrid w:val="0"/>
              <w:spacing w:line="240" w:lineRule="exact"/>
              <w:ind w:firstLine="7"/>
              <w:jc w:val="both"/>
              <w:rPr>
                <w:rFonts w:hint="eastAsia" w:ascii="宋体" w:hAnsi="宋体" w:eastAsia="宋体" w:cs="宋体"/>
                <w:snapToGrid/>
                <w:color w:val="000000" w:themeColor="text1"/>
                <w:kern w:val="2"/>
                <w:sz w:val="21"/>
                <w:szCs w:val="21"/>
                <w:lang w:val="en-US" w:eastAsia="zh-CN" w:bidi="ar-SA"/>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bidi="ar-SA"/>
                <w14:textFill>
                  <w14:solidFill>
                    <w14:schemeClr w14:val="tx1"/>
                  </w14:solidFill>
                </w14:textFill>
              </w:rPr>
              <w:t>建（构）筑物结构型式、地基处理方案应根据地基土质、建（构）筑物结构特点、施工条件和运行要求等因素，经技术经济比较后确定。</w:t>
            </w:r>
          </w:p>
        </w:tc>
        <w:tc>
          <w:tcPr>
            <w:tcW w:w="1157" w:type="pct"/>
            <w:noWrap w:val="0"/>
            <w:vAlign w:val="top"/>
          </w:tcPr>
          <w:p w14:paraId="728C2FD0">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《光伏发电站设计规范》（GB50797-2012）第10.4.2条</w:t>
            </w:r>
          </w:p>
        </w:tc>
        <w:tc>
          <w:tcPr>
            <w:tcW w:w="1419" w:type="pct"/>
            <w:noWrap w:val="0"/>
            <w:vAlign w:val="center"/>
          </w:tcPr>
          <w:p w14:paraId="767DECD9">
            <w:pPr>
              <w:keepNext w:val="0"/>
              <w:keepLines w:val="0"/>
              <w:pageBreakBefore w:val="0"/>
              <w:widowControl w:val="0"/>
              <w:tabs>
                <w:tab w:val="left" w:pos="1246"/>
              </w:tabs>
              <w:kinsoku/>
              <w:bidi w:val="0"/>
              <w:adjustRightInd w:val="0"/>
              <w:snapToGrid w:val="0"/>
              <w:spacing w:line="240" w:lineRule="auto"/>
              <w:ind w:firstLine="7"/>
              <w:jc w:val="both"/>
              <w:rPr>
                <w:rFonts w:hint="eastAsia" w:ascii="宋体" w:hAnsi="宋体" w:eastAsia="宋体" w:cs="宋体"/>
                <w:snapToGrid/>
                <w:color w:val="000000" w:themeColor="text1"/>
                <w:kern w:val="2"/>
                <w:sz w:val="21"/>
                <w:szCs w:val="21"/>
                <w:lang w:val="en-US" w:eastAsia="zh-CN" w:bidi="ar-SA"/>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bidi="ar-SA"/>
                <w14:textFill>
                  <w14:solidFill>
                    <w14:schemeClr w14:val="tx1"/>
                  </w14:solidFill>
                </w14:textFill>
              </w:rPr>
              <w:t>建（构）筑物结构型式、地基处理方案根据地基土质、结构特点等因素，经技术经济比较后确定。</w:t>
            </w:r>
          </w:p>
        </w:tc>
        <w:tc>
          <w:tcPr>
            <w:tcW w:w="396" w:type="pct"/>
            <w:noWrap w:val="0"/>
            <w:vAlign w:val="center"/>
          </w:tcPr>
          <w:p w14:paraId="24814B14">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A7C0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367" w:type="pct"/>
            <w:noWrap w:val="0"/>
            <w:vAlign w:val="center"/>
          </w:tcPr>
          <w:p w14:paraId="31A041D1">
            <w:pPr>
              <w:keepNext w:val="0"/>
              <w:keepLines w:val="0"/>
              <w:pageBreakBefore w:val="0"/>
              <w:widowControl w:val="0"/>
              <w:numPr>
                <w:ilvl w:val="0"/>
                <w:numId w:val="32"/>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52A2A87C">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ab/>
            </w:r>
            <w:r>
              <w:rPr>
                <w:rFonts w:hint="eastAsia" w:ascii="宋体" w:hAnsi="宋体" w:eastAsia="宋体" w:cs="宋体"/>
                <w:color w:val="000000" w:themeColor="text1"/>
                <w:sz w:val="21"/>
                <w:szCs w:val="21"/>
                <w14:textFill>
                  <w14:solidFill>
                    <w14:schemeClr w14:val="tx1"/>
                  </w14:solidFill>
                </w14:textFill>
              </w:rPr>
              <w:t>光伏发电站建（构）筑物的抗震设防烈度应按国家对该地区的要求确定。地震烈度6度及以上地区建筑物、结构物的抗震设防要求，应符合现行国家标准《建筑抗震设计规范》GB50011的规定。</w:t>
            </w:r>
          </w:p>
        </w:tc>
        <w:tc>
          <w:tcPr>
            <w:tcW w:w="1157" w:type="pct"/>
            <w:noWrap w:val="0"/>
            <w:vAlign w:val="top"/>
          </w:tcPr>
          <w:p w14:paraId="57F88E36">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《光伏发电站设计规范》（GB50797-2012）第10.4.3条</w:t>
            </w:r>
          </w:p>
        </w:tc>
        <w:tc>
          <w:tcPr>
            <w:tcW w:w="1419" w:type="pct"/>
            <w:noWrap w:val="0"/>
            <w:vAlign w:val="center"/>
          </w:tcPr>
          <w:p w14:paraId="768699BB">
            <w:pPr>
              <w:keepNext w:val="0"/>
              <w:keepLines w:val="0"/>
              <w:pageBreakBefore w:val="0"/>
              <w:widowControl w:val="0"/>
              <w:tabs>
                <w:tab w:val="left" w:pos="1246"/>
              </w:tabs>
              <w:kinsoku/>
              <w:bidi w:val="0"/>
              <w:adjustRightInd w:val="0"/>
              <w:snapToGrid w:val="0"/>
              <w:spacing w:line="240" w:lineRule="auto"/>
              <w:ind w:firstLine="7"/>
              <w:jc w:val="both"/>
              <w:rPr>
                <w:rFonts w:hint="eastAsia" w:ascii="宋体" w:hAnsi="宋体" w:eastAsia="宋体" w:cs="宋体"/>
                <w:snapToGrid w:val="0"/>
                <w:color w:val="000000" w:themeColor="text1"/>
                <w:kern w:val="0"/>
                <w:sz w:val="21"/>
                <w:szCs w:val="21"/>
                <w:lang w:val="en-US" w:eastAsia="zh-CN" w:bidi="ar-SA"/>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bidi="ar-SA"/>
                <w14:textFill>
                  <w14:solidFill>
                    <w14:schemeClr w14:val="tx1"/>
                  </w14:solidFill>
                </w14:textFill>
              </w:rPr>
              <w:t>场地地震基本烈度8度，建（构）筑物按8度设防。</w:t>
            </w:r>
          </w:p>
        </w:tc>
        <w:tc>
          <w:tcPr>
            <w:tcW w:w="396" w:type="pct"/>
            <w:noWrap w:val="0"/>
            <w:vAlign w:val="center"/>
          </w:tcPr>
          <w:p w14:paraId="17E30321">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CD43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367" w:type="pct"/>
            <w:noWrap w:val="0"/>
            <w:vAlign w:val="center"/>
          </w:tcPr>
          <w:p w14:paraId="40D8F8C4">
            <w:pPr>
              <w:keepNext w:val="0"/>
              <w:keepLines w:val="0"/>
              <w:pageBreakBefore w:val="0"/>
              <w:widowControl w:val="0"/>
              <w:numPr>
                <w:ilvl w:val="0"/>
                <w:numId w:val="32"/>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6C3602E1">
            <w:pPr>
              <w:keepNext w:val="0"/>
              <w:keepLines w:val="0"/>
              <w:pageBreakBefore w:val="0"/>
              <w:widowControl w:val="0"/>
              <w:kinsoku/>
              <w:bidi w:val="0"/>
              <w:spacing w:line="240" w:lineRule="exact"/>
              <w:ind w:firstLine="0" w:firstLineChars="0"/>
              <w:jc w:val="both"/>
              <w:rPr>
                <w:rFonts w:hint="eastAsia"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光伏阵列设计参数：</w:t>
            </w:r>
          </w:p>
          <w:p w14:paraId="0CA1A12D">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光伏组件规格</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2278mm×1134mm×30mm</w:t>
            </w:r>
          </w:p>
          <w:p w14:paraId="06FCD57B">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光伏组件重量：31.3 kg</w:t>
            </w:r>
          </w:p>
          <w:p w14:paraId="7EA66055">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支架倾角：   22°</w:t>
            </w:r>
          </w:p>
          <w:p w14:paraId="550CBF55">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电池组件排列方式：2×14 </w:t>
            </w:r>
          </w:p>
        </w:tc>
        <w:tc>
          <w:tcPr>
            <w:tcW w:w="1157" w:type="pct"/>
            <w:noWrap w:val="0"/>
            <w:vAlign w:val="center"/>
          </w:tcPr>
          <w:p w14:paraId="7787DCBD">
            <w:pPr>
              <w:keepNext w:val="0"/>
              <w:keepLines w:val="0"/>
              <w:pageBreakBefore w:val="0"/>
              <w:widowControl w:val="0"/>
              <w:kinsoku/>
              <w:bidi w:val="0"/>
              <w:spacing w:line="240" w:lineRule="auto"/>
              <w:ind w:firstLine="0" w:firstLineChars="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项目安全设施设计</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4.2.2</w:t>
            </w:r>
          </w:p>
        </w:tc>
        <w:tc>
          <w:tcPr>
            <w:tcW w:w="1419" w:type="pct"/>
            <w:noWrap w:val="0"/>
            <w:vAlign w:val="center"/>
          </w:tcPr>
          <w:p w14:paraId="7009E0D7">
            <w:pPr>
              <w:keepNext w:val="0"/>
              <w:keepLines w:val="0"/>
              <w:pageBreakBefore w:val="0"/>
              <w:widowControl w:val="0"/>
              <w:tabs>
                <w:tab w:val="left" w:pos="1246"/>
              </w:tabs>
              <w:kinsoku/>
              <w:bidi w:val="0"/>
              <w:adjustRightInd w:val="0"/>
              <w:snapToGrid w:val="0"/>
              <w:spacing w:line="240" w:lineRule="auto"/>
              <w:ind w:firstLine="7"/>
              <w:jc w:val="both"/>
              <w:rPr>
                <w:rFonts w:hint="eastAsia" w:ascii="宋体" w:hAnsi="宋体" w:eastAsia="宋体" w:cs="宋体"/>
                <w:snapToGrid w:val="0"/>
                <w:color w:val="000000" w:themeColor="text1"/>
                <w:kern w:val="0"/>
                <w:sz w:val="21"/>
                <w:szCs w:val="21"/>
                <w:lang w:val="en-US" w:eastAsia="zh-CN" w:bidi="ar-SA"/>
                <w14:textFill>
                  <w14:solidFill>
                    <w14:schemeClr w14:val="tx1"/>
                  </w14:solidFill>
                </w14:textFill>
              </w:rPr>
            </w:pPr>
            <w:r>
              <w:rPr>
                <w:color w:val="000000" w:themeColor="text1"/>
                <w:spacing w:val="9"/>
                <w:sz w:val="20"/>
                <w:szCs w:val="20"/>
                <w14:textFill>
                  <w14:solidFill>
                    <w14:schemeClr w14:val="tx1"/>
                  </w14:solidFill>
                </w14:textFill>
              </w:rPr>
              <w:t>项目建设现场符</w:t>
            </w:r>
            <w:r>
              <w:rPr>
                <w:color w:val="000000" w:themeColor="text1"/>
                <w:spacing w:val="6"/>
                <w:sz w:val="20"/>
                <w:szCs w:val="20"/>
                <w14:textFill>
                  <w14:solidFill>
                    <w14:schemeClr w14:val="tx1"/>
                  </w14:solidFill>
                </w14:textFill>
              </w:rPr>
              <w:t>合</w:t>
            </w:r>
            <w:r>
              <w:rPr>
                <w:rFonts w:hint="eastAsia"/>
                <w:color w:val="000000" w:themeColor="text1"/>
                <w:spacing w:val="6"/>
                <w:sz w:val="20"/>
                <w:szCs w:val="20"/>
                <w:lang w:val="en-US" w:eastAsia="zh-CN"/>
                <w14:textFill>
                  <w14:solidFill>
                    <w14:schemeClr w14:val="tx1"/>
                  </w14:solidFill>
                </w14:textFill>
              </w:rPr>
              <w:t>安全设施</w:t>
            </w:r>
            <w:r>
              <w:rPr>
                <w:color w:val="000000" w:themeColor="text1"/>
                <w:spacing w:val="6"/>
                <w:sz w:val="20"/>
                <w:szCs w:val="20"/>
                <w14:textFill>
                  <w14:solidFill>
                    <w14:schemeClr w14:val="tx1"/>
                  </w14:solidFill>
                </w14:textFill>
              </w:rPr>
              <w:t>设计要求。</w:t>
            </w:r>
          </w:p>
        </w:tc>
        <w:tc>
          <w:tcPr>
            <w:tcW w:w="396" w:type="pct"/>
            <w:noWrap w:val="0"/>
            <w:vAlign w:val="center"/>
          </w:tcPr>
          <w:p w14:paraId="50999C85">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E210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367" w:type="pct"/>
            <w:noWrap w:val="0"/>
            <w:vAlign w:val="center"/>
          </w:tcPr>
          <w:p w14:paraId="3273EA2E">
            <w:pPr>
              <w:keepNext w:val="0"/>
              <w:keepLines w:val="0"/>
              <w:pageBreakBefore w:val="0"/>
              <w:widowControl w:val="0"/>
              <w:numPr>
                <w:ilvl w:val="0"/>
                <w:numId w:val="32"/>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56BC5998">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支架结构布置</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光伏支架选用固定式钢支架方案，组件采用纵向双排、倾角22°、方 向正南布置，光伏支架分单立柱方案。固定支架采用横向棕条，纵向支架布置方案，一个结构单元内有4榀支架，支架由立柱、横梁及斜撑(或拉 梁)组成，支架杆件间以及支架与檩条之问的连接均采用螺栓连接。</w:t>
            </w:r>
          </w:p>
          <w:p w14:paraId="21156F61">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一个光伏支架单元由28块2278mm×1134mm×30mm 的575/580Wp 光伏组件按采用2行14列排布组成。光伏组件采用固定倾角22°安装方式， 组件最低点离地高度≥2.5m, 满足云南省复合型光伏项目用地要求。单立柱方案立柱采用C 型钢，每组支架共4个立柱，上立柱与下立柱连接采用 搭接并螺栓连接方式。组串式逆变器直接固定在支架立柱上，安装高度离 地距离≥1.0m。</w:t>
            </w:r>
          </w:p>
          <w:p w14:paraId="07F1A9B5">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lang w:eastAsia="zh-CN"/>
                <w14:textFill>
                  <w14:solidFill>
                    <w14:schemeClr w14:val="tx1"/>
                  </w14:solidFill>
                </w14:textFill>
              </w:rPr>
            </w:pPr>
          </w:p>
        </w:tc>
        <w:tc>
          <w:tcPr>
            <w:tcW w:w="1157" w:type="pct"/>
            <w:noWrap w:val="0"/>
            <w:vAlign w:val="center"/>
          </w:tcPr>
          <w:p w14:paraId="6D2895EA">
            <w:pPr>
              <w:keepNext w:val="0"/>
              <w:keepLines w:val="0"/>
              <w:pageBreakBefore w:val="0"/>
              <w:widowControl w:val="0"/>
              <w:kinsoku/>
              <w:bidi w:val="0"/>
              <w:spacing w:line="240" w:lineRule="auto"/>
              <w:ind w:firstLine="0" w:firstLineChars="0"/>
              <w:jc w:val="center"/>
              <w:rPr>
                <w:rFonts w:hint="eastAsia" w:ascii="宋体" w:hAnsi="宋体" w:cs="宋体"/>
                <w:color w:val="000000" w:themeColor="text1"/>
                <w:sz w:val="21"/>
                <w:szCs w:val="21"/>
                <w:lang w:eastAsia="zh-CN"/>
                <w14:textFill>
                  <w14:solidFill>
                    <w14:schemeClr w14:val="tx1"/>
                  </w14:solidFill>
                </w14:textFill>
              </w:rPr>
            </w:pP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项目安全设施设计</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4.2.2</w:t>
            </w:r>
          </w:p>
        </w:tc>
        <w:tc>
          <w:tcPr>
            <w:tcW w:w="1419" w:type="pct"/>
            <w:noWrap w:val="0"/>
            <w:vAlign w:val="center"/>
          </w:tcPr>
          <w:p w14:paraId="4C91FAD7">
            <w:pPr>
              <w:keepNext w:val="0"/>
              <w:keepLines w:val="0"/>
              <w:pageBreakBefore w:val="0"/>
              <w:widowControl w:val="0"/>
              <w:tabs>
                <w:tab w:val="left" w:pos="1246"/>
              </w:tabs>
              <w:kinsoku/>
              <w:bidi w:val="0"/>
              <w:adjustRightInd w:val="0"/>
              <w:snapToGrid w:val="0"/>
              <w:spacing w:line="240" w:lineRule="auto"/>
              <w:ind w:firstLine="436" w:firstLineChars="200"/>
              <w:jc w:val="both"/>
              <w:rPr>
                <w:rFonts w:hint="eastAsia" w:ascii="宋体" w:hAnsi="宋体" w:eastAsia="宋体" w:cs="宋体"/>
                <w:snapToGrid w:val="0"/>
                <w:color w:val="000000" w:themeColor="text1"/>
                <w:kern w:val="0"/>
                <w:sz w:val="21"/>
                <w:szCs w:val="21"/>
                <w:lang w:val="en-US" w:eastAsia="zh-CN" w:bidi="ar-SA"/>
                <w14:textFill>
                  <w14:solidFill>
                    <w14:schemeClr w14:val="tx1"/>
                  </w14:solidFill>
                </w14:textFill>
              </w:rPr>
            </w:pPr>
            <w:r>
              <w:rPr>
                <w:color w:val="000000" w:themeColor="text1"/>
                <w:spacing w:val="9"/>
                <w:sz w:val="20"/>
                <w:szCs w:val="20"/>
                <w14:textFill>
                  <w14:solidFill>
                    <w14:schemeClr w14:val="tx1"/>
                  </w14:solidFill>
                </w14:textFill>
              </w:rPr>
              <w:t>项目建设现场符</w:t>
            </w:r>
            <w:r>
              <w:rPr>
                <w:color w:val="000000" w:themeColor="text1"/>
                <w:spacing w:val="6"/>
                <w:sz w:val="20"/>
                <w:szCs w:val="20"/>
                <w14:textFill>
                  <w14:solidFill>
                    <w14:schemeClr w14:val="tx1"/>
                  </w14:solidFill>
                </w14:textFill>
              </w:rPr>
              <w:t>合</w:t>
            </w:r>
            <w:r>
              <w:rPr>
                <w:rFonts w:hint="eastAsia"/>
                <w:color w:val="000000" w:themeColor="text1"/>
                <w:spacing w:val="6"/>
                <w:sz w:val="20"/>
                <w:szCs w:val="20"/>
                <w:lang w:val="en-US" w:eastAsia="zh-CN"/>
                <w14:textFill>
                  <w14:solidFill>
                    <w14:schemeClr w14:val="tx1"/>
                  </w14:solidFill>
                </w14:textFill>
              </w:rPr>
              <w:t>安全设施</w:t>
            </w:r>
            <w:r>
              <w:rPr>
                <w:color w:val="000000" w:themeColor="text1"/>
                <w:spacing w:val="6"/>
                <w:sz w:val="20"/>
                <w:szCs w:val="20"/>
                <w14:textFill>
                  <w14:solidFill>
                    <w14:schemeClr w14:val="tx1"/>
                  </w14:solidFill>
                </w14:textFill>
              </w:rPr>
              <w:t>设计要求。</w:t>
            </w:r>
          </w:p>
        </w:tc>
        <w:tc>
          <w:tcPr>
            <w:tcW w:w="396" w:type="pct"/>
            <w:noWrap w:val="0"/>
            <w:vAlign w:val="center"/>
          </w:tcPr>
          <w:p w14:paraId="62BE1254">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BE04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367" w:type="pct"/>
            <w:noWrap w:val="0"/>
            <w:vAlign w:val="center"/>
          </w:tcPr>
          <w:p w14:paraId="04FD1604">
            <w:pPr>
              <w:keepNext w:val="0"/>
              <w:keepLines w:val="0"/>
              <w:pageBreakBefore w:val="0"/>
              <w:widowControl w:val="0"/>
              <w:numPr>
                <w:ilvl w:val="0"/>
                <w:numId w:val="32"/>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107DAE03">
            <w:pPr>
              <w:keepNext w:val="0"/>
              <w:keepLines w:val="0"/>
              <w:pageBreakBefore w:val="0"/>
              <w:widowControl w:val="0"/>
              <w:kinsoku/>
              <w:bidi w:val="0"/>
              <w:spacing w:line="240" w:lineRule="exact"/>
              <w:ind w:firstLine="0" w:firstLineChars="0"/>
              <w:jc w:val="both"/>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光伏支架基础设计：</w:t>
            </w:r>
            <w:r>
              <w:rPr>
                <w:rFonts w:hint="eastAsia" w:ascii="宋体" w:hAnsi="宋体" w:eastAsia="宋体" w:cs="宋体"/>
                <w:color w:val="000000" w:themeColor="text1"/>
                <w:sz w:val="21"/>
                <w:szCs w:val="21"/>
                <w14:textFill>
                  <w14:solidFill>
                    <w14:schemeClr w14:val="tx1"/>
                  </w14:solidFill>
                </w14:textFill>
              </w:rPr>
              <w:t>光伏支架采用灌注桩基础。电池组件采用单晶硅组件，每个组串单元由28块2278mm×1134mm 单晶硅组件组成，2行14列，电池板竖向布置，每个组串组成一个支架。</w:t>
            </w:r>
          </w:p>
        </w:tc>
        <w:tc>
          <w:tcPr>
            <w:tcW w:w="1157" w:type="pct"/>
            <w:shd w:val="clear" w:color="auto" w:fill="auto"/>
            <w:noWrap w:val="0"/>
            <w:vAlign w:val="center"/>
          </w:tcPr>
          <w:p w14:paraId="208392C3">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项目安全设施设计</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4.2.2</w:t>
            </w:r>
          </w:p>
        </w:tc>
        <w:tc>
          <w:tcPr>
            <w:tcW w:w="1419" w:type="pct"/>
            <w:shd w:val="clear" w:color="auto" w:fill="auto"/>
            <w:noWrap w:val="0"/>
            <w:vAlign w:val="center"/>
          </w:tcPr>
          <w:p w14:paraId="0D9A3815">
            <w:pPr>
              <w:keepNext w:val="0"/>
              <w:keepLines w:val="0"/>
              <w:pageBreakBefore w:val="0"/>
              <w:widowControl w:val="0"/>
              <w:tabs>
                <w:tab w:val="left" w:pos="1246"/>
              </w:tabs>
              <w:kinsoku/>
              <w:bidi w:val="0"/>
              <w:adjustRightInd w:val="0"/>
              <w:snapToGrid w:val="0"/>
              <w:spacing w:line="240" w:lineRule="auto"/>
              <w:ind w:firstLine="456" w:firstLineChars="200"/>
              <w:jc w:val="both"/>
              <w:rPr>
                <w:rFonts w:hint="eastAsia" w:ascii="宋体" w:hAnsi="宋体" w:eastAsia="宋体" w:cs="宋体"/>
                <w:snapToGrid w:val="0"/>
                <w:color w:val="000000" w:themeColor="text1"/>
                <w:kern w:val="0"/>
                <w:sz w:val="21"/>
                <w:szCs w:val="21"/>
                <w:lang w:val="en-US" w:eastAsia="zh-CN" w:bidi="ar-SA"/>
                <w14:textFill>
                  <w14:solidFill>
                    <w14:schemeClr w14:val="tx1"/>
                  </w14:solidFill>
                </w14:textFill>
              </w:rPr>
            </w:pPr>
            <w:r>
              <w:rPr>
                <w:color w:val="000000" w:themeColor="text1"/>
                <w:spacing w:val="9"/>
                <w:sz w:val="21"/>
                <w:szCs w:val="21"/>
                <w14:textFill>
                  <w14:solidFill>
                    <w14:schemeClr w14:val="tx1"/>
                  </w14:solidFill>
                </w14:textFill>
              </w:rPr>
              <w:t>项目建设现场符</w:t>
            </w:r>
            <w:r>
              <w:rPr>
                <w:color w:val="000000" w:themeColor="text1"/>
                <w:spacing w:val="6"/>
                <w:sz w:val="21"/>
                <w:szCs w:val="21"/>
                <w14:textFill>
                  <w14:solidFill>
                    <w14:schemeClr w14:val="tx1"/>
                  </w14:solidFill>
                </w14:textFill>
              </w:rPr>
              <w:t>合</w:t>
            </w:r>
            <w:r>
              <w:rPr>
                <w:rFonts w:hint="eastAsia"/>
                <w:color w:val="000000" w:themeColor="text1"/>
                <w:spacing w:val="6"/>
                <w:sz w:val="21"/>
                <w:szCs w:val="21"/>
                <w:lang w:val="en-US" w:eastAsia="zh-CN"/>
                <w14:textFill>
                  <w14:solidFill>
                    <w14:schemeClr w14:val="tx1"/>
                  </w14:solidFill>
                </w14:textFill>
              </w:rPr>
              <w:t>安全设施</w:t>
            </w:r>
            <w:r>
              <w:rPr>
                <w:color w:val="000000" w:themeColor="text1"/>
                <w:spacing w:val="6"/>
                <w:sz w:val="21"/>
                <w:szCs w:val="21"/>
                <w14:textFill>
                  <w14:solidFill>
                    <w14:schemeClr w14:val="tx1"/>
                  </w14:solidFill>
                </w14:textFill>
              </w:rPr>
              <w:t>设计要求。</w:t>
            </w:r>
          </w:p>
        </w:tc>
        <w:tc>
          <w:tcPr>
            <w:tcW w:w="396" w:type="pct"/>
            <w:shd w:val="clear" w:color="auto" w:fill="auto"/>
            <w:noWrap w:val="0"/>
            <w:vAlign w:val="center"/>
          </w:tcPr>
          <w:p w14:paraId="7A60231E">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E0A1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367" w:type="pct"/>
            <w:noWrap w:val="0"/>
            <w:vAlign w:val="center"/>
          </w:tcPr>
          <w:p w14:paraId="3960A7DE">
            <w:pPr>
              <w:keepNext w:val="0"/>
              <w:keepLines w:val="0"/>
              <w:pageBreakBefore w:val="0"/>
              <w:widowControl w:val="0"/>
              <w:numPr>
                <w:ilvl w:val="0"/>
                <w:numId w:val="32"/>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5C3F2CB1">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逆变器基础设计：</w:t>
            </w:r>
            <w:r>
              <w:rPr>
                <w:rFonts w:hint="eastAsia" w:ascii="宋体" w:hAnsi="宋体" w:eastAsia="宋体" w:cs="宋体"/>
                <w:color w:val="000000" w:themeColor="text1"/>
                <w:sz w:val="21"/>
                <w:szCs w:val="21"/>
                <w14:textFill>
                  <w14:solidFill>
                    <w14:schemeClr w14:val="tx1"/>
                  </w14:solidFill>
                </w14:textFill>
              </w:rPr>
              <w:t>逆变器采用两根C60×50×20×2.0和d12U 型抱箍固定于支架上，为 保证放热性能，逆变器距离地面应不小于1000mm。</w:t>
            </w:r>
          </w:p>
          <w:p w14:paraId="31DF65AF">
            <w:pPr>
              <w:keepNext w:val="0"/>
              <w:keepLines w:val="0"/>
              <w:pageBreakBefore w:val="0"/>
              <w:widowControl w:val="0"/>
              <w:kinsoku/>
              <w:bidi w:val="0"/>
              <w:spacing w:line="240" w:lineRule="exact"/>
              <w:ind w:firstLine="0" w:firstLineChars="0"/>
              <w:jc w:val="both"/>
              <w:rPr>
                <w:rFonts w:hint="default" w:ascii="宋体" w:hAnsi="宋体" w:eastAsia="宋体" w:cs="宋体"/>
                <w:color w:val="000000" w:themeColor="text1"/>
                <w:sz w:val="21"/>
                <w:szCs w:val="21"/>
                <w:lang w:val="en-US" w:eastAsia="zh-CN"/>
                <w14:textFill>
                  <w14:solidFill>
                    <w14:schemeClr w14:val="tx1"/>
                  </w14:solidFill>
                </w14:textFill>
              </w:rPr>
            </w:pPr>
          </w:p>
        </w:tc>
        <w:tc>
          <w:tcPr>
            <w:tcW w:w="1157" w:type="pct"/>
            <w:shd w:val="clear" w:color="auto" w:fill="auto"/>
            <w:noWrap w:val="0"/>
            <w:vAlign w:val="center"/>
          </w:tcPr>
          <w:p w14:paraId="51522C9D">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项目安全设施设计</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4.2.3</w:t>
            </w:r>
          </w:p>
        </w:tc>
        <w:tc>
          <w:tcPr>
            <w:tcW w:w="1419" w:type="pct"/>
            <w:shd w:val="clear" w:color="auto" w:fill="auto"/>
            <w:noWrap w:val="0"/>
            <w:vAlign w:val="center"/>
          </w:tcPr>
          <w:p w14:paraId="1AECF373">
            <w:pPr>
              <w:keepNext w:val="0"/>
              <w:keepLines w:val="0"/>
              <w:pageBreakBefore w:val="0"/>
              <w:widowControl w:val="0"/>
              <w:tabs>
                <w:tab w:val="left" w:pos="1246"/>
              </w:tabs>
              <w:kinsoku/>
              <w:bidi w:val="0"/>
              <w:adjustRightInd w:val="0"/>
              <w:snapToGrid w:val="0"/>
              <w:spacing w:line="240" w:lineRule="auto"/>
              <w:ind w:firstLine="456" w:firstLineChars="200"/>
              <w:jc w:val="both"/>
              <w:rPr>
                <w:rFonts w:hint="eastAsia" w:ascii="宋体" w:hAnsi="宋体" w:eastAsia="宋体" w:cs="宋体"/>
                <w:snapToGrid w:val="0"/>
                <w:color w:val="000000" w:themeColor="text1"/>
                <w:kern w:val="0"/>
                <w:sz w:val="21"/>
                <w:szCs w:val="21"/>
                <w:lang w:val="en-US" w:eastAsia="zh-CN" w:bidi="ar-SA"/>
                <w14:textFill>
                  <w14:solidFill>
                    <w14:schemeClr w14:val="tx1"/>
                  </w14:solidFill>
                </w14:textFill>
              </w:rPr>
            </w:pPr>
            <w:r>
              <w:rPr>
                <w:color w:val="000000" w:themeColor="text1"/>
                <w:spacing w:val="9"/>
                <w:sz w:val="21"/>
                <w:szCs w:val="21"/>
                <w14:textFill>
                  <w14:solidFill>
                    <w14:schemeClr w14:val="tx1"/>
                  </w14:solidFill>
                </w14:textFill>
              </w:rPr>
              <w:t>项目建设现场符</w:t>
            </w:r>
            <w:r>
              <w:rPr>
                <w:color w:val="000000" w:themeColor="text1"/>
                <w:spacing w:val="6"/>
                <w:sz w:val="21"/>
                <w:szCs w:val="21"/>
                <w14:textFill>
                  <w14:solidFill>
                    <w14:schemeClr w14:val="tx1"/>
                  </w14:solidFill>
                </w14:textFill>
              </w:rPr>
              <w:t>合</w:t>
            </w:r>
            <w:r>
              <w:rPr>
                <w:rFonts w:hint="eastAsia"/>
                <w:color w:val="000000" w:themeColor="text1"/>
                <w:spacing w:val="6"/>
                <w:sz w:val="21"/>
                <w:szCs w:val="21"/>
                <w:lang w:val="en-US" w:eastAsia="zh-CN"/>
                <w14:textFill>
                  <w14:solidFill>
                    <w14:schemeClr w14:val="tx1"/>
                  </w14:solidFill>
                </w14:textFill>
              </w:rPr>
              <w:t>安全设施</w:t>
            </w:r>
            <w:r>
              <w:rPr>
                <w:color w:val="000000" w:themeColor="text1"/>
                <w:spacing w:val="6"/>
                <w:sz w:val="21"/>
                <w:szCs w:val="21"/>
                <w14:textFill>
                  <w14:solidFill>
                    <w14:schemeClr w14:val="tx1"/>
                  </w14:solidFill>
                </w14:textFill>
              </w:rPr>
              <w:t>设计要求。</w:t>
            </w:r>
          </w:p>
        </w:tc>
        <w:tc>
          <w:tcPr>
            <w:tcW w:w="396" w:type="pct"/>
            <w:shd w:val="clear" w:color="auto" w:fill="auto"/>
            <w:noWrap w:val="0"/>
            <w:vAlign w:val="center"/>
          </w:tcPr>
          <w:p w14:paraId="45D7A97E">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8CA1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367" w:type="pct"/>
            <w:noWrap w:val="0"/>
            <w:vAlign w:val="center"/>
          </w:tcPr>
          <w:p w14:paraId="7096E6C5">
            <w:pPr>
              <w:keepNext w:val="0"/>
              <w:keepLines w:val="0"/>
              <w:pageBreakBefore w:val="0"/>
              <w:widowControl w:val="0"/>
              <w:numPr>
                <w:ilvl w:val="0"/>
                <w:numId w:val="32"/>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09817187">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箱变基础设计：</w:t>
            </w:r>
            <w:r>
              <w:rPr>
                <w:rFonts w:hint="eastAsia" w:ascii="宋体" w:hAnsi="宋体" w:eastAsia="宋体" w:cs="宋体"/>
                <w:color w:val="000000" w:themeColor="text1"/>
                <w:sz w:val="21"/>
                <w:szCs w:val="21"/>
                <w14:textFill>
                  <w14:solidFill>
                    <w14:schemeClr w14:val="tx1"/>
                  </w14:solidFill>
                </w14:textFill>
              </w:rPr>
              <w:t>本工程光伏场区内共设置箱变15座，基础采用钻孔灌注桩基础，基础 上采用钢筋泥凝土平台，箱变置于钢筋混凝土平台上，立于光伏场区道路 周边，靠近运输道路侧。</w:t>
            </w:r>
          </w:p>
        </w:tc>
        <w:tc>
          <w:tcPr>
            <w:tcW w:w="1157" w:type="pct"/>
            <w:shd w:val="clear" w:color="auto" w:fill="auto"/>
            <w:noWrap w:val="0"/>
            <w:vAlign w:val="center"/>
          </w:tcPr>
          <w:p w14:paraId="10940BF3">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项目安全设施设计</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4.2.3</w:t>
            </w:r>
          </w:p>
        </w:tc>
        <w:tc>
          <w:tcPr>
            <w:tcW w:w="1419" w:type="pct"/>
            <w:shd w:val="clear" w:color="auto" w:fill="auto"/>
            <w:noWrap w:val="0"/>
            <w:vAlign w:val="center"/>
          </w:tcPr>
          <w:p w14:paraId="74DD7796">
            <w:pPr>
              <w:keepNext w:val="0"/>
              <w:keepLines w:val="0"/>
              <w:pageBreakBefore w:val="0"/>
              <w:widowControl w:val="0"/>
              <w:tabs>
                <w:tab w:val="left" w:pos="1246"/>
              </w:tabs>
              <w:kinsoku/>
              <w:bidi w:val="0"/>
              <w:adjustRightInd w:val="0"/>
              <w:snapToGrid w:val="0"/>
              <w:spacing w:line="240" w:lineRule="auto"/>
              <w:ind w:firstLine="436" w:firstLineChars="200"/>
              <w:jc w:val="both"/>
              <w:rPr>
                <w:rFonts w:hint="eastAsia" w:ascii="宋体" w:hAnsi="宋体" w:eastAsia="宋体" w:cs="宋体"/>
                <w:snapToGrid w:val="0"/>
                <w:color w:val="000000" w:themeColor="text1"/>
                <w:kern w:val="0"/>
                <w:sz w:val="21"/>
                <w:szCs w:val="21"/>
                <w:lang w:val="en-US" w:eastAsia="zh-CN" w:bidi="ar-SA"/>
                <w14:textFill>
                  <w14:solidFill>
                    <w14:schemeClr w14:val="tx1"/>
                  </w14:solidFill>
                </w14:textFill>
              </w:rPr>
            </w:pPr>
            <w:r>
              <w:rPr>
                <w:color w:val="000000" w:themeColor="text1"/>
                <w:spacing w:val="9"/>
                <w:sz w:val="20"/>
                <w:szCs w:val="20"/>
                <w14:textFill>
                  <w14:solidFill>
                    <w14:schemeClr w14:val="tx1"/>
                  </w14:solidFill>
                </w14:textFill>
              </w:rPr>
              <w:t>项目建设现场符</w:t>
            </w:r>
            <w:r>
              <w:rPr>
                <w:color w:val="000000" w:themeColor="text1"/>
                <w:spacing w:val="6"/>
                <w:sz w:val="20"/>
                <w:szCs w:val="20"/>
                <w14:textFill>
                  <w14:solidFill>
                    <w14:schemeClr w14:val="tx1"/>
                  </w14:solidFill>
                </w14:textFill>
              </w:rPr>
              <w:t>合</w:t>
            </w:r>
            <w:r>
              <w:rPr>
                <w:rFonts w:hint="eastAsia"/>
                <w:color w:val="000000" w:themeColor="text1"/>
                <w:spacing w:val="6"/>
                <w:sz w:val="20"/>
                <w:szCs w:val="20"/>
                <w:lang w:val="en-US" w:eastAsia="zh-CN"/>
                <w14:textFill>
                  <w14:solidFill>
                    <w14:schemeClr w14:val="tx1"/>
                  </w14:solidFill>
                </w14:textFill>
              </w:rPr>
              <w:t>安全设施</w:t>
            </w:r>
            <w:r>
              <w:rPr>
                <w:color w:val="000000" w:themeColor="text1"/>
                <w:spacing w:val="6"/>
                <w:sz w:val="20"/>
                <w:szCs w:val="20"/>
                <w14:textFill>
                  <w14:solidFill>
                    <w14:schemeClr w14:val="tx1"/>
                  </w14:solidFill>
                </w14:textFill>
              </w:rPr>
              <w:t>设计要求。</w:t>
            </w:r>
          </w:p>
        </w:tc>
        <w:tc>
          <w:tcPr>
            <w:tcW w:w="396" w:type="pct"/>
            <w:shd w:val="clear" w:color="auto" w:fill="auto"/>
            <w:noWrap w:val="0"/>
            <w:vAlign w:val="center"/>
          </w:tcPr>
          <w:p w14:paraId="6746ADC4">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A020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367" w:type="pct"/>
            <w:noWrap w:val="0"/>
            <w:vAlign w:val="center"/>
          </w:tcPr>
          <w:p w14:paraId="465D3CD6">
            <w:pPr>
              <w:keepNext w:val="0"/>
              <w:keepLines w:val="0"/>
              <w:pageBreakBefore w:val="0"/>
              <w:widowControl w:val="0"/>
              <w:numPr>
                <w:ilvl w:val="0"/>
                <w:numId w:val="32"/>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097AF335">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场地集电线路设计：</w:t>
            </w:r>
            <w:r>
              <w:rPr>
                <w:rFonts w:hint="eastAsia" w:ascii="宋体" w:hAnsi="宋体" w:eastAsia="宋体" w:cs="宋体"/>
                <w:color w:val="000000" w:themeColor="text1"/>
                <w:sz w:val="21"/>
                <w:szCs w:val="21"/>
                <w14:textFill>
                  <w14:solidFill>
                    <w14:schemeClr w14:val="tx1"/>
                  </w14:solidFill>
                </w14:textFill>
              </w:rPr>
              <w:t>电缆直埋</w:t>
            </w:r>
            <w:r>
              <w:rPr>
                <w:rFonts w:hint="eastAsia" w:ascii="宋体" w:hAnsi="宋体" w:cs="宋体"/>
                <w:color w:val="000000" w:themeColor="text1"/>
                <w:sz w:val="21"/>
                <w:szCs w:val="21"/>
                <w:lang w:val="en-US" w:eastAsia="zh-CN"/>
                <w14:textFill>
                  <w14:solidFill>
                    <w14:schemeClr w14:val="tx1"/>
                  </w14:solidFill>
                </w14:textFill>
              </w:rPr>
              <w:t>敷</w:t>
            </w:r>
            <w:r>
              <w:rPr>
                <w:rFonts w:hint="eastAsia" w:ascii="宋体" w:hAnsi="宋体" w:eastAsia="宋体" w:cs="宋体"/>
                <w:color w:val="000000" w:themeColor="text1"/>
                <w:sz w:val="21"/>
                <w:szCs w:val="21"/>
                <w14:textFill>
                  <w14:solidFill>
                    <w14:schemeClr w14:val="tx1"/>
                  </w14:solidFill>
                </w14:textFill>
              </w:rPr>
              <w:t>设时距地面不小于700mm,  电缆上下均钏设细砂或细土，</w:t>
            </w:r>
          </w:p>
          <w:p w14:paraId="733F3C64">
            <w:pPr>
              <w:keepNext w:val="0"/>
              <w:keepLines w:val="0"/>
              <w:pageBreakBefore w:val="0"/>
              <w:widowControl w:val="0"/>
              <w:kinsoku/>
              <w:bidi w:val="0"/>
              <w:spacing w:line="240" w:lineRule="exact"/>
              <w:ind w:firstLine="0" w:firstLineChars="0"/>
              <w:jc w:val="both"/>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并设置电缆警示带，过路时设保护套管。</w:t>
            </w:r>
          </w:p>
        </w:tc>
        <w:tc>
          <w:tcPr>
            <w:tcW w:w="1157" w:type="pct"/>
            <w:shd w:val="clear" w:color="auto" w:fill="auto"/>
            <w:noWrap w:val="0"/>
            <w:vAlign w:val="center"/>
          </w:tcPr>
          <w:p w14:paraId="27419446">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项目安全设施设计</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4.2.3</w:t>
            </w:r>
          </w:p>
        </w:tc>
        <w:tc>
          <w:tcPr>
            <w:tcW w:w="1419" w:type="pct"/>
            <w:shd w:val="clear" w:color="auto" w:fill="auto"/>
            <w:noWrap w:val="0"/>
            <w:vAlign w:val="center"/>
          </w:tcPr>
          <w:p w14:paraId="0B0979FC">
            <w:pPr>
              <w:keepNext w:val="0"/>
              <w:keepLines w:val="0"/>
              <w:pageBreakBefore w:val="0"/>
              <w:widowControl w:val="0"/>
              <w:tabs>
                <w:tab w:val="left" w:pos="1246"/>
              </w:tabs>
              <w:kinsoku/>
              <w:bidi w:val="0"/>
              <w:adjustRightInd w:val="0"/>
              <w:snapToGrid w:val="0"/>
              <w:spacing w:line="240" w:lineRule="auto"/>
              <w:ind w:firstLine="436" w:firstLineChars="200"/>
              <w:jc w:val="both"/>
              <w:rPr>
                <w:rFonts w:hint="eastAsia" w:ascii="宋体" w:hAnsi="宋体" w:eastAsia="宋体" w:cs="宋体"/>
                <w:snapToGrid w:val="0"/>
                <w:color w:val="000000" w:themeColor="text1"/>
                <w:kern w:val="0"/>
                <w:sz w:val="21"/>
                <w:szCs w:val="21"/>
                <w:lang w:val="en-US" w:eastAsia="zh-CN" w:bidi="ar-SA"/>
                <w14:textFill>
                  <w14:solidFill>
                    <w14:schemeClr w14:val="tx1"/>
                  </w14:solidFill>
                </w14:textFill>
              </w:rPr>
            </w:pPr>
            <w:r>
              <w:rPr>
                <w:color w:val="000000" w:themeColor="text1"/>
                <w:spacing w:val="9"/>
                <w:sz w:val="20"/>
                <w:szCs w:val="20"/>
                <w14:textFill>
                  <w14:solidFill>
                    <w14:schemeClr w14:val="tx1"/>
                  </w14:solidFill>
                </w14:textFill>
              </w:rPr>
              <w:t>项目建设现场符</w:t>
            </w:r>
            <w:r>
              <w:rPr>
                <w:color w:val="000000" w:themeColor="text1"/>
                <w:spacing w:val="6"/>
                <w:sz w:val="20"/>
                <w:szCs w:val="20"/>
                <w14:textFill>
                  <w14:solidFill>
                    <w14:schemeClr w14:val="tx1"/>
                  </w14:solidFill>
                </w14:textFill>
              </w:rPr>
              <w:t>合</w:t>
            </w:r>
            <w:r>
              <w:rPr>
                <w:rFonts w:hint="eastAsia"/>
                <w:color w:val="000000" w:themeColor="text1"/>
                <w:spacing w:val="6"/>
                <w:sz w:val="20"/>
                <w:szCs w:val="20"/>
                <w:lang w:val="en-US" w:eastAsia="zh-CN"/>
                <w14:textFill>
                  <w14:solidFill>
                    <w14:schemeClr w14:val="tx1"/>
                  </w14:solidFill>
                </w14:textFill>
              </w:rPr>
              <w:t>安全设施</w:t>
            </w:r>
            <w:r>
              <w:rPr>
                <w:color w:val="000000" w:themeColor="text1"/>
                <w:spacing w:val="6"/>
                <w:sz w:val="20"/>
                <w:szCs w:val="20"/>
                <w14:textFill>
                  <w14:solidFill>
                    <w14:schemeClr w14:val="tx1"/>
                  </w14:solidFill>
                </w14:textFill>
              </w:rPr>
              <w:t>设计要求。</w:t>
            </w:r>
          </w:p>
        </w:tc>
        <w:tc>
          <w:tcPr>
            <w:tcW w:w="396" w:type="pct"/>
            <w:shd w:val="clear" w:color="auto" w:fill="auto"/>
            <w:noWrap w:val="0"/>
            <w:vAlign w:val="center"/>
          </w:tcPr>
          <w:p w14:paraId="5856487B">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bl>
    <w:p w14:paraId="380F2000">
      <w:pPr>
        <w:pStyle w:val="10"/>
        <w:keepNext w:val="0"/>
        <w:keepLines w:val="0"/>
        <w:pageBreakBefore w:val="0"/>
        <w:widowControl w:val="0"/>
        <w:kinsoku/>
        <w:wordWrap/>
        <w:overflowPunct/>
        <w:topLinePunct w:val="0"/>
        <w:autoSpaceDE/>
        <w:autoSpaceDN/>
        <w:bidi w:val="0"/>
        <w:adjustRightInd/>
        <w:snapToGrid/>
        <w:spacing w:after="0" w:line="420" w:lineRule="exact"/>
        <w:ind w:firstLine="560" w:firstLineChars="200"/>
        <w:jc w:val="both"/>
        <w:textAlignment w:val="auto"/>
        <w:rPr>
          <w:rFonts w:hint="eastAsia"/>
          <w:color w:val="000000" w:themeColor="text1"/>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评价分析：针对建（构）筑物安全检查表内的 1</w:t>
      </w:r>
      <w:r>
        <w:rPr>
          <w:rFonts w:hint="eastAsia" w:ascii="宋体" w:hAnsi="宋体" w:cs="宋体"/>
          <w:color w:val="000000" w:themeColor="text1"/>
          <w:kern w:val="2"/>
          <w:sz w:val="28"/>
          <w:szCs w:val="24"/>
          <w:lang w:val="en-US" w:eastAsia="zh-CN" w:bidi="ar-SA"/>
          <w14:textFill>
            <w14:solidFill>
              <w14:schemeClr w14:val="tx1"/>
            </w14:solidFill>
          </w14:textFill>
        </w:rPr>
        <w:t>4</w:t>
      </w:r>
      <w:r>
        <w:rPr>
          <w:rFonts w:hint="eastAsia" w:ascii="宋体" w:hAnsi="宋体" w:eastAsia="宋体" w:cs="宋体"/>
          <w:color w:val="000000" w:themeColor="text1"/>
          <w:kern w:val="2"/>
          <w:sz w:val="28"/>
          <w:szCs w:val="24"/>
          <w:lang w:val="en-US" w:eastAsia="zh-CN" w:bidi="ar-SA"/>
          <w14:textFill>
            <w14:solidFill>
              <w14:schemeClr w14:val="tx1"/>
            </w14:solidFill>
          </w14:textFill>
        </w:rPr>
        <w:t>项内容，其中 1</w:t>
      </w:r>
      <w:r>
        <w:rPr>
          <w:rFonts w:hint="eastAsia" w:ascii="宋体" w:hAnsi="宋体" w:cs="宋体"/>
          <w:color w:val="000000" w:themeColor="text1"/>
          <w:kern w:val="2"/>
          <w:sz w:val="28"/>
          <w:szCs w:val="24"/>
          <w:lang w:val="en-US" w:eastAsia="zh-CN" w:bidi="ar-SA"/>
          <w14:textFill>
            <w14:solidFill>
              <w14:schemeClr w14:val="tx1"/>
            </w14:solidFill>
          </w14:textFill>
        </w:rPr>
        <w:t>4</w:t>
      </w:r>
      <w:r>
        <w:rPr>
          <w:rFonts w:hint="eastAsia" w:ascii="宋体" w:hAnsi="宋体" w:eastAsia="宋体" w:cs="宋体"/>
          <w:color w:val="000000" w:themeColor="text1"/>
          <w:kern w:val="2"/>
          <w:sz w:val="28"/>
          <w:szCs w:val="24"/>
          <w:lang w:val="en-US" w:eastAsia="zh-CN" w:bidi="ar-SA"/>
          <w14:textFill>
            <w14:solidFill>
              <w14:schemeClr w14:val="tx1"/>
            </w14:solidFill>
          </w14:textFill>
        </w:rPr>
        <w:t>项合格，0 项不合格。</w:t>
      </w:r>
    </w:p>
    <w:p w14:paraId="6748DCBF">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422" w:name="_Toc24193"/>
      <w:bookmarkStart w:id="423" w:name="_Toc1015"/>
      <w:bookmarkStart w:id="424" w:name="_Toc499"/>
      <w:r>
        <w:rPr>
          <w:rFonts w:hint="eastAsia" w:ascii="宋体" w:hAnsi="宋体" w:eastAsia="宋体" w:cs="宋体"/>
          <w:b/>
          <w:bCs w:val="0"/>
          <w:color w:val="000000" w:themeColor="text1"/>
          <w:sz w:val="30"/>
          <w:szCs w:val="30"/>
          <w:lang w:val="en-US" w:eastAsia="zh-CN"/>
          <w14:textFill>
            <w14:solidFill>
              <w14:schemeClr w14:val="tx1"/>
            </w14:solidFill>
          </w14:textFill>
        </w:rPr>
        <w:t>5.3.2单元小结</w:t>
      </w:r>
      <w:bookmarkEnd w:id="422"/>
      <w:bookmarkEnd w:id="423"/>
      <w:bookmarkEnd w:id="424"/>
    </w:p>
    <w:p w14:paraId="41F9E651">
      <w:pPr>
        <w:pageBreakBefore w:val="0"/>
        <w:widowControl w:val="0"/>
        <w:kinsoku/>
        <w:wordWrap/>
        <w:overflowPunct/>
        <w:topLinePunct w:val="0"/>
        <w:autoSpaceDE/>
        <w:autoSpaceDN/>
        <w:bidi w:val="0"/>
        <w:spacing w:line="420" w:lineRule="exact"/>
        <w:ind w:firstLine="560" w:firstLineChars="200"/>
        <w:jc w:val="left"/>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本单元依据</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光伏发电站设计规范</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华能澜沧江(景洪)新能源有限公司</w:t>
      </w:r>
      <w:r>
        <w:rPr>
          <w:rFonts w:hint="eastAsia" w:ascii="宋体" w:hAnsi="宋体" w:cs="宋体"/>
          <w:color w:val="000000" w:themeColor="text1"/>
          <w:sz w:val="28"/>
          <w:szCs w:val="28"/>
          <w:lang w:val="en-US" w:eastAsia="zh-CN"/>
          <w14:textFill>
            <w14:solidFill>
              <w14:schemeClr w14:val="tx1"/>
            </w14:solidFill>
          </w14:textFill>
        </w:rPr>
        <w:t>景讷乡大寨村云盘</w:t>
      </w:r>
      <w:r>
        <w:rPr>
          <w:rFonts w:hint="eastAsia" w:ascii="宋体" w:hAnsi="宋体" w:eastAsia="宋体" w:cs="宋体"/>
          <w:color w:val="000000" w:themeColor="text1"/>
          <w:sz w:val="28"/>
          <w:szCs w:val="28"/>
          <w:lang w:val="en-US" w:eastAsia="zh-CN"/>
          <w14:textFill>
            <w14:solidFill>
              <w14:schemeClr w14:val="tx1"/>
            </w14:solidFill>
          </w14:textFill>
        </w:rPr>
        <w:t>光伏电站</w:t>
      </w:r>
      <w:r>
        <w:rPr>
          <w:rFonts w:hint="eastAsia" w:ascii="宋体" w:hAnsi="宋体" w:eastAsia="宋体" w:cs="宋体"/>
          <w:color w:val="000000" w:themeColor="text1"/>
          <w:sz w:val="28"/>
          <w:szCs w:val="28"/>
          <w14:textFill>
            <w14:solidFill>
              <w14:schemeClr w14:val="tx1"/>
            </w14:solidFill>
          </w14:textFill>
        </w:rPr>
        <w:t>项目安全设施设计》等共检查1</w:t>
      </w:r>
      <w:r>
        <w:rPr>
          <w:rFonts w:hint="eastAsia" w:ascii="宋体" w:hAnsi="宋体" w:eastAsia="宋体" w:cs="宋体"/>
          <w:color w:val="000000" w:themeColor="text1"/>
          <w:sz w:val="28"/>
          <w:szCs w:val="28"/>
          <w:lang w:val="en-US" w:eastAsia="zh-CN"/>
          <w14:textFill>
            <w14:solidFill>
              <w14:schemeClr w14:val="tx1"/>
            </w14:solidFill>
          </w14:textFill>
        </w:rPr>
        <w:t>4</w:t>
      </w:r>
      <w:r>
        <w:rPr>
          <w:rFonts w:hint="eastAsia" w:ascii="宋体" w:hAnsi="宋体" w:eastAsia="宋体" w:cs="宋体"/>
          <w:color w:val="000000" w:themeColor="text1"/>
          <w:sz w:val="28"/>
          <w:szCs w:val="28"/>
          <w14:textFill>
            <w14:solidFill>
              <w14:schemeClr w14:val="tx1"/>
            </w14:solidFill>
          </w14:textFill>
        </w:rPr>
        <w:t>项，均符合要求。后期运行期</w:t>
      </w:r>
      <w:r>
        <w:rPr>
          <w:rFonts w:hint="eastAsia"/>
          <w:color w:val="000000" w:themeColor="text1"/>
          <w:sz w:val="28"/>
          <w:szCs w:val="28"/>
          <w14:textFill>
            <w14:solidFill>
              <w14:schemeClr w14:val="tx1"/>
            </w14:solidFill>
          </w14:textFill>
        </w:rPr>
        <w:t>间应定期对建（构）筑物监测、巡查，发现问题及时处理。</w:t>
      </w:r>
    </w:p>
    <w:p w14:paraId="3736BE1B">
      <w:pPr>
        <w:pStyle w:val="3"/>
        <w:pageBreakBefore w:val="0"/>
        <w:widowControl w:val="0"/>
        <w:tabs>
          <w:tab w:val="left" w:pos="0"/>
        </w:tabs>
        <w:kinsoku/>
        <w:wordWrap/>
        <w:overflowPunct/>
        <w:topLinePunct w:val="0"/>
        <w:autoSpaceDE/>
        <w:autoSpaceDN/>
        <w:bidi w:val="0"/>
        <w:spacing w:line="420" w:lineRule="exact"/>
        <w:textAlignment w:val="auto"/>
        <w:rPr>
          <w:rFonts w:hint="eastAsia" w:ascii="宋体" w:hAnsi="宋体" w:eastAsia="宋体" w:cs="宋体"/>
          <w:color w:val="000000" w:themeColor="text1"/>
          <w:lang w:val="en-US" w:eastAsia="zh-CN"/>
          <w14:textFill>
            <w14:solidFill>
              <w14:schemeClr w14:val="tx1"/>
            </w14:solidFill>
          </w14:textFill>
        </w:rPr>
      </w:pPr>
      <w:bookmarkStart w:id="425" w:name="_Toc18097"/>
      <w:bookmarkStart w:id="426" w:name="_Toc28260"/>
      <w:bookmarkStart w:id="427" w:name="_Toc4828"/>
      <w:bookmarkStart w:id="428" w:name="_Toc3445"/>
      <w:r>
        <w:rPr>
          <w:rFonts w:hint="eastAsia" w:ascii="宋体" w:hAnsi="宋体" w:eastAsia="宋体" w:cs="宋体"/>
          <w:color w:val="000000" w:themeColor="text1"/>
          <w:lang w:val="en-US" w:eastAsia="zh-CN"/>
          <w14:textFill>
            <w14:solidFill>
              <w14:schemeClr w14:val="tx1"/>
            </w14:solidFill>
          </w14:textFill>
        </w:rPr>
        <w:t>5.4光伏发电设备及其系统单元</w:t>
      </w:r>
      <w:bookmarkEnd w:id="425"/>
      <w:bookmarkEnd w:id="426"/>
      <w:bookmarkEnd w:id="427"/>
      <w:bookmarkEnd w:id="428"/>
    </w:p>
    <w:p w14:paraId="78A41736">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lang w:val="en-US" w:eastAsia="zh-CN"/>
          <w14:textFill>
            <w14:solidFill>
              <w14:schemeClr w14:val="tx1"/>
            </w14:solidFill>
          </w14:textFill>
        </w:rPr>
      </w:pPr>
      <w:bookmarkStart w:id="429" w:name="_Toc27090"/>
      <w:bookmarkStart w:id="430" w:name="_Toc15634"/>
      <w:bookmarkStart w:id="431" w:name="_Toc2508"/>
      <w:bookmarkStart w:id="432" w:name="_Toc194127757"/>
      <w:bookmarkStart w:id="433" w:name="_Toc164155942"/>
      <w:bookmarkStart w:id="434" w:name="_Toc195424866"/>
      <w:bookmarkStart w:id="435" w:name="_Toc242850426"/>
      <w:r>
        <w:rPr>
          <w:rFonts w:hint="eastAsia" w:ascii="宋体" w:hAnsi="宋体" w:eastAsia="宋体" w:cs="宋体"/>
          <w:b/>
          <w:bCs w:val="0"/>
          <w:color w:val="000000" w:themeColor="text1"/>
          <w:sz w:val="30"/>
          <w:szCs w:val="30"/>
          <w:lang w:val="en-US" w:eastAsia="zh-CN"/>
          <w14:textFill>
            <w14:solidFill>
              <w14:schemeClr w14:val="tx1"/>
            </w14:solidFill>
          </w14:textFill>
        </w:rPr>
        <w:t>5.4.1光伏发电设备及其系统安全检查表</w:t>
      </w:r>
      <w:bookmarkEnd w:id="429"/>
      <w:bookmarkEnd w:id="430"/>
      <w:bookmarkEnd w:id="431"/>
    </w:p>
    <w:p w14:paraId="1E401B66">
      <w:pPr>
        <w:pStyle w:val="8"/>
        <w:keepNext w:val="0"/>
        <w:keepLines w:val="0"/>
        <w:pageBreakBefore w:val="0"/>
        <w:widowControl w:val="0"/>
        <w:kinsoku/>
        <w:wordWrap/>
        <w:overflowPunct/>
        <w:topLinePunct w:val="0"/>
        <w:autoSpaceDE/>
        <w:autoSpaceDN/>
        <w:bidi w:val="0"/>
        <w:spacing w:line="420" w:lineRule="exact"/>
        <w:textAlignment w:val="auto"/>
        <w:rPr>
          <w:rFonts w:hint="eastAsia"/>
          <w:color w:val="000000" w:themeColor="text1"/>
          <w14:textFill>
            <w14:solidFill>
              <w14:schemeClr w14:val="tx1"/>
            </w14:solidFill>
          </w14:textFill>
        </w:rPr>
      </w:pPr>
      <w:r>
        <w:rPr>
          <w:color w:val="000000" w:themeColor="text1"/>
          <w14:textFill>
            <w14:solidFill>
              <w14:schemeClr w14:val="tx1"/>
            </w14:solidFill>
          </w14:textFill>
        </w:rPr>
        <w:t>表</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SEQ 表 \* ARABIC \s 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光伏发电</w:t>
      </w:r>
      <w:r>
        <w:rPr>
          <w:rFonts w:hint="eastAsia"/>
          <w:color w:val="000000" w:themeColor="text1"/>
          <w:lang w:val="en-US" w:eastAsia="zh-CN"/>
          <w14:textFill>
            <w14:solidFill>
              <w14:schemeClr w14:val="tx1"/>
            </w14:solidFill>
          </w14:textFill>
        </w:rPr>
        <w:t>设备及其</w:t>
      </w:r>
      <w:r>
        <w:rPr>
          <w:rFonts w:hint="eastAsia"/>
          <w:color w:val="000000" w:themeColor="text1"/>
          <w14:textFill>
            <w14:solidFill>
              <w14:schemeClr w14:val="tx1"/>
            </w14:solidFill>
          </w14:textFill>
        </w:rPr>
        <w:t>系统安全检查</w:t>
      </w:r>
      <w:r>
        <w:rPr>
          <w:color w:val="000000" w:themeColor="text1"/>
          <w14:textFill>
            <w14:solidFill>
              <w14:schemeClr w14:val="tx1"/>
            </w14:solidFill>
          </w14:textFill>
        </w:rPr>
        <w:t>表</w:t>
      </w:r>
    </w:p>
    <w:tbl>
      <w:tblPr>
        <w:tblStyle w:val="21"/>
        <w:tblW w:w="49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2915"/>
        <w:gridCol w:w="2020"/>
        <w:gridCol w:w="2722"/>
        <w:gridCol w:w="767"/>
      </w:tblGrid>
      <w:tr w14:paraId="025B2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blHeader/>
          <w:jc w:val="center"/>
        </w:trPr>
        <w:tc>
          <w:tcPr>
            <w:tcW w:w="287" w:type="pct"/>
            <w:noWrap w:val="0"/>
            <w:vAlign w:val="center"/>
          </w:tcPr>
          <w:p w14:paraId="766A8EE0">
            <w:pPr>
              <w:pStyle w:val="17"/>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序号</w:t>
            </w:r>
          </w:p>
        </w:tc>
        <w:tc>
          <w:tcPr>
            <w:tcW w:w="1631" w:type="pct"/>
            <w:noWrap w:val="0"/>
            <w:vAlign w:val="center"/>
          </w:tcPr>
          <w:p w14:paraId="57C5AAA5">
            <w:pPr>
              <w:pStyle w:val="17"/>
              <w:keepNext w:val="0"/>
              <w:keepLines w:val="0"/>
              <w:pageBreakBefore w:val="0"/>
              <w:widowControl w:val="0"/>
              <w:kinsoku/>
              <w:bidi w:val="0"/>
              <w:spacing w:line="240" w:lineRule="exact"/>
              <w:ind w:firstLine="0" w:firstLineChars="0"/>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检查项目与内容</w:t>
            </w:r>
          </w:p>
        </w:tc>
        <w:tc>
          <w:tcPr>
            <w:tcW w:w="1130" w:type="pct"/>
            <w:noWrap w:val="0"/>
            <w:vAlign w:val="center"/>
          </w:tcPr>
          <w:p w14:paraId="0ECD907F">
            <w:pPr>
              <w:pStyle w:val="17"/>
              <w:keepNext w:val="0"/>
              <w:keepLines w:val="0"/>
              <w:pageBreakBefore w:val="0"/>
              <w:widowControl w:val="0"/>
              <w:kinsoku/>
              <w:bidi w:val="0"/>
              <w:spacing w:line="240" w:lineRule="exact"/>
              <w:ind w:firstLine="0" w:firstLineChars="0"/>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检查依据</w:t>
            </w:r>
          </w:p>
        </w:tc>
        <w:tc>
          <w:tcPr>
            <w:tcW w:w="1523" w:type="pct"/>
            <w:noWrap w:val="0"/>
            <w:vAlign w:val="center"/>
          </w:tcPr>
          <w:p w14:paraId="051F8CBD">
            <w:pPr>
              <w:pStyle w:val="17"/>
              <w:keepNext w:val="0"/>
              <w:keepLines w:val="0"/>
              <w:pageBreakBefore w:val="0"/>
              <w:widowControl w:val="0"/>
              <w:kinsoku/>
              <w:bidi w:val="0"/>
              <w:spacing w:line="240" w:lineRule="exact"/>
              <w:ind w:firstLine="0" w:firstLineChars="0"/>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检查记录</w:t>
            </w:r>
          </w:p>
        </w:tc>
        <w:tc>
          <w:tcPr>
            <w:tcW w:w="428" w:type="pct"/>
            <w:noWrap w:val="0"/>
            <w:vAlign w:val="center"/>
          </w:tcPr>
          <w:p w14:paraId="3DCE8476">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b/>
                <w:bCs/>
                <w:color w:val="000000" w:themeColor="text1"/>
                <w:sz w:val="21"/>
                <w:szCs w:val="21"/>
                <w14:textFill>
                  <w14:solidFill>
                    <w14:schemeClr w14:val="tx1"/>
                  </w14:solidFill>
                </w14:textFill>
              </w:rPr>
            </w:pPr>
            <w:r>
              <w:rPr>
                <w:rFonts w:hint="eastAsia" w:ascii="Times New Roman" w:hAnsi="Times New Roman" w:eastAsia="宋体" w:cs="Times New Roman"/>
                <w:b/>
                <w:bCs/>
                <w:color w:val="000000" w:themeColor="text1"/>
                <w:sz w:val="21"/>
                <w:szCs w:val="21"/>
                <w14:textFill>
                  <w14:solidFill>
                    <w14:schemeClr w14:val="tx1"/>
                  </w14:solidFill>
                </w14:textFill>
              </w:rPr>
              <w:t>检查结果</w:t>
            </w:r>
          </w:p>
        </w:tc>
      </w:tr>
      <w:tr w14:paraId="38DFB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5000" w:type="pct"/>
            <w:gridSpan w:val="5"/>
            <w:noWrap w:val="0"/>
            <w:vAlign w:val="center"/>
          </w:tcPr>
          <w:p w14:paraId="633D0E1A">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一、一般规定</w:t>
            </w:r>
          </w:p>
        </w:tc>
      </w:tr>
      <w:tr w14:paraId="40961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287" w:type="pct"/>
            <w:noWrap w:val="0"/>
            <w:vAlign w:val="center"/>
          </w:tcPr>
          <w:p w14:paraId="0946245B">
            <w:pPr>
              <w:keepNext w:val="0"/>
              <w:keepLines w:val="0"/>
              <w:pageBreakBefore w:val="0"/>
              <w:widowControl w:val="0"/>
              <w:numPr>
                <w:ilvl w:val="0"/>
                <w:numId w:val="33"/>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494CF0D2">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光伏发电系统中，同一个逆变器接入的光伏组件串的电压、方阵朝向、安装倾角宜一致。</w:t>
            </w:r>
          </w:p>
        </w:tc>
        <w:tc>
          <w:tcPr>
            <w:tcW w:w="1130" w:type="pct"/>
            <w:noWrap w:val="0"/>
            <w:vAlign w:val="center"/>
          </w:tcPr>
          <w:p w14:paraId="572E96B0">
            <w:pPr>
              <w:pStyle w:val="17"/>
              <w:keepNext w:val="0"/>
              <w:keepLines w:val="0"/>
              <w:pageBreakBefore w:val="0"/>
              <w:widowControl w:val="0"/>
              <w:kinsoku/>
              <w:bidi w:val="0"/>
              <w:spacing w:line="240" w:lineRule="exact"/>
              <w:ind w:firstLine="0" w:firstLineChars="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《光伏发电站设计规范》（GB50797-2012）第6.1.2条</w:t>
            </w:r>
          </w:p>
        </w:tc>
        <w:tc>
          <w:tcPr>
            <w:tcW w:w="1523" w:type="pct"/>
            <w:noWrap w:val="0"/>
            <w:vAlign w:val="center"/>
          </w:tcPr>
          <w:p w14:paraId="01E74400">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同一个逆变器接入的光伏组件串的电压、方阵朝向</w:t>
            </w:r>
            <w:r>
              <w:rPr>
                <w:rFonts w:hint="eastAsia" w:ascii="宋体" w:hAnsi="宋体" w:eastAsia="宋体" w:cs="宋体"/>
                <w:color w:val="000000" w:themeColor="text1"/>
                <w:sz w:val="21"/>
                <w:szCs w:val="21"/>
                <w:lang w:val="en-US" w:eastAsia="zh-CN"/>
                <w14:textFill>
                  <w14:solidFill>
                    <w14:schemeClr w14:val="tx1"/>
                  </w14:solidFill>
                </w14:textFill>
              </w:rPr>
              <w:t>都一致</w:t>
            </w:r>
            <w:r>
              <w:rPr>
                <w:rFonts w:hint="eastAsia" w:ascii="宋体" w:hAnsi="宋体" w:eastAsia="宋体" w:cs="宋体"/>
                <w:color w:val="000000" w:themeColor="text1"/>
                <w:sz w:val="21"/>
                <w:szCs w:val="21"/>
                <w14:textFill>
                  <w14:solidFill>
                    <w14:schemeClr w14:val="tx1"/>
                  </w14:solidFill>
                </w14:textFill>
              </w:rPr>
              <w:t>，安装倾角都为2</w:t>
            </w:r>
            <w:r>
              <w:rPr>
                <w:rFonts w:hint="eastAsia" w:ascii="宋体" w:hAnsi="宋体" w:eastAsia="宋体" w:cs="宋体"/>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14:textFill>
                  <w14:solidFill>
                    <w14:schemeClr w14:val="tx1"/>
                  </w14:solidFill>
                </w14:textFill>
              </w:rPr>
              <w:t>度。</w:t>
            </w:r>
          </w:p>
        </w:tc>
        <w:tc>
          <w:tcPr>
            <w:tcW w:w="428" w:type="pct"/>
            <w:noWrap w:val="0"/>
            <w:vAlign w:val="center"/>
          </w:tcPr>
          <w:p w14:paraId="2148E6EB">
            <w:pPr>
              <w:keepNext w:val="0"/>
              <w:keepLines w:val="0"/>
              <w:pageBreakBefore w:val="0"/>
              <w:widowControl w:val="0"/>
              <w:kinsoku/>
              <w:bidi w:val="0"/>
              <w:spacing w:line="240" w:lineRule="exact"/>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7FA4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jc w:val="center"/>
        </w:trPr>
        <w:tc>
          <w:tcPr>
            <w:tcW w:w="287" w:type="pct"/>
            <w:noWrap w:val="0"/>
            <w:vAlign w:val="center"/>
          </w:tcPr>
          <w:p w14:paraId="4E5D0B50">
            <w:pPr>
              <w:keepNext w:val="0"/>
              <w:keepLines w:val="0"/>
              <w:pageBreakBefore w:val="0"/>
              <w:widowControl w:val="0"/>
              <w:numPr>
                <w:ilvl w:val="0"/>
                <w:numId w:val="33"/>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320B70D3">
            <w:pPr>
              <w:keepNext w:val="0"/>
              <w:keepLines w:val="0"/>
              <w:pageBreakBefore w:val="0"/>
              <w:widowControl w:val="0"/>
              <w:kinsoku/>
              <w:autoSpaceDE w:val="0"/>
              <w:autoSpaceDN w:val="0"/>
              <w:bidi w:val="0"/>
              <w:adjustRightInd w:val="0"/>
              <w:spacing w:line="240" w:lineRule="exact"/>
              <w:ind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光伏发电系统直流侧的设计电压应高于光伏组件串在当地昼间极端气温下的最大开路电压，系统中所采用的设备和材料的最高允许电压应不低于该设计电压。</w:t>
            </w:r>
          </w:p>
        </w:tc>
        <w:tc>
          <w:tcPr>
            <w:tcW w:w="1130" w:type="pct"/>
            <w:noWrap w:val="0"/>
            <w:vAlign w:val="center"/>
          </w:tcPr>
          <w:p w14:paraId="051C8FC8">
            <w:pPr>
              <w:pStyle w:val="17"/>
              <w:keepNext w:val="0"/>
              <w:keepLines w:val="0"/>
              <w:pageBreakBefore w:val="0"/>
              <w:widowControl w:val="0"/>
              <w:kinsoku/>
              <w:bidi w:val="0"/>
              <w:spacing w:line="240" w:lineRule="exact"/>
              <w:ind w:firstLine="0" w:firstLineChars="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eastAsia="zh-CN"/>
                <w14:textFill>
                  <w14:solidFill>
                    <w14:schemeClr w14:val="tx1"/>
                  </w14:solidFill>
                </w14:textFill>
              </w:rPr>
              <w:t>光伏发电站设计规范</w:t>
            </w:r>
            <w:r>
              <w:rPr>
                <w:rFonts w:hint="eastAsia" w:ascii="宋体" w:hAnsi="宋体" w:eastAsia="宋体" w:cs="宋体"/>
                <w:color w:val="000000" w:themeColor="text1"/>
                <w14:textFill>
                  <w14:solidFill>
                    <w14:schemeClr w14:val="tx1"/>
                  </w14:solidFill>
                </w14:textFill>
              </w:rPr>
              <w:t>》（GB50797-2012）第6.1.3条</w:t>
            </w:r>
          </w:p>
        </w:tc>
        <w:tc>
          <w:tcPr>
            <w:tcW w:w="1523" w:type="pct"/>
            <w:noWrap w:val="0"/>
            <w:vAlign w:val="center"/>
          </w:tcPr>
          <w:p w14:paraId="55F2AEF4">
            <w:pPr>
              <w:keepNext w:val="0"/>
              <w:keepLines w:val="0"/>
              <w:pageBreakBefore w:val="0"/>
              <w:widowControl w:val="0"/>
              <w:kinsoku/>
              <w:autoSpaceDE w:val="0"/>
              <w:autoSpaceDN w:val="0"/>
              <w:bidi w:val="0"/>
              <w:adjustRightInd w:val="0"/>
              <w:spacing w:line="240" w:lineRule="exact"/>
              <w:ind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光伏发电系统直流侧的设计电压</w:t>
            </w:r>
            <w:r>
              <w:rPr>
                <w:rFonts w:hint="eastAsia" w:ascii="宋体" w:hAnsi="宋体" w:eastAsia="宋体" w:cs="宋体"/>
                <w:color w:val="000000" w:themeColor="text1"/>
                <w:sz w:val="21"/>
                <w:szCs w:val="21"/>
                <w:lang w:val="en-US" w:eastAsia="zh-CN"/>
                <w14:textFill>
                  <w14:solidFill>
                    <w14:schemeClr w14:val="tx1"/>
                  </w14:solidFill>
                </w14:textFill>
              </w:rPr>
              <w:t>高于</w:t>
            </w:r>
            <w:r>
              <w:rPr>
                <w:rFonts w:hint="eastAsia" w:ascii="宋体" w:hAnsi="宋体" w:eastAsia="宋体" w:cs="宋体"/>
                <w:color w:val="000000" w:themeColor="text1"/>
                <w:sz w:val="21"/>
                <w:szCs w:val="21"/>
                <w14:textFill>
                  <w14:solidFill>
                    <w14:schemeClr w14:val="tx1"/>
                  </w14:solidFill>
                </w14:textFill>
              </w:rPr>
              <w:t>光伏组件串在当地昼间极端气温下的最大开路电压。</w:t>
            </w:r>
          </w:p>
        </w:tc>
        <w:tc>
          <w:tcPr>
            <w:tcW w:w="428" w:type="pct"/>
            <w:noWrap w:val="0"/>
            <w:vAlign w:val="center"/>
          </w:tcPr>
          <w:p w14:paraId="15C62635">
            <w:pPr>
              <w:keepNext w:val="0"/>
              <w:keepLines w:val="0"/>
              <w:pageBreakBefore w:val="0"/>
              <w:widowControl w:val="0"/>
              <w:kinsoku/>
              <w:bidi w:val="0"/>
              <w:spacing w:line="240" w:lineRule="exact"/>
              <w:ind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979D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jc w:val="center"/>
        </w:trPr>
        <w:tc>
          <w:tcPr>
            <w:tcW w:w="287" w:type="pct"/>
            <w:noWrap w:val="0"/>
            <w:vAlign w:val="center"/>
          </w:tcPr>
          <w:p w14:paraId="5168B8ED">
            <w:pPr>
              <w:keepNext w:val="0"/>
              <w:keepLines w:val="0"/>
              <w:pageBreakBefore w:val="0"/>
              <w:widowControl w:val="0"/>
              <w:numPr>
                <w:ilvl w:val="0"/>
                <w:numId w:val="33"/>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22D14A7F">
            <w:pPr>
              <w:keepNext w:val="0"/>
              <w:keepLines w:val="0"/>
              <w:pageBreakBefore w:val="0"/>
              <w:widowControl w:val="0"/>
              <w:kinsoku/>
              <w:autoSpaceDE w:val="0"/>
              <w:autoSpaceDN w:val="0"/>
              <w:bidi w:val="0"/>
              <w:adjustRightInd w:val="0"/>
              <w:spacing w:line="240" w:lineRule="exact"/>
              <w:ind w:firstLine="0" w:firstLineChars="0"/>
              <w:jc w:val="left"/>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光伏发电系统中逆变器的配置容量应与光伏方阵的安装容量相匹配，逆变器允许的最大直流输</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入</w:t>
            </w:r>
            <w:r>
              <w:rPr>
                <w:rFonts w:hint="eastAsia" w:ascii="Times New Roman" w:hAnsi="Times New Roman" w:eastAsia="宋体" w:cs="Times New Roman"/>
                <w:color w:val="000000" w:themeColor="text1"/>
                <w:sz w:val="21"/>
                <w:szCs w:val="21"/>
                <w14:textFill>
                  <w14:solidFill>
                    <w14:schemeClr w14:val="tx1"/>
                  </w14:solidFill>
                </w14:textFill>
              </w:rPr>
              <w:t>功率应不小于其对应的光伏方阵的实际最大直流输出功率。</w:t>
            </w:r>
          </w:p>
        </w:tc>
        <w:tc>
          <w:tcPr>
            <w:tcW w:w="1130" w:type="pct"/>
            <w:noWrap w:val="0"/>
            <w:vAlign w:val="center"/>
          </w:tcPr>
          <w:p w14:paraId="7B723EFC">
            <w:pPr>
              <w:pStyle w:val="17"/>
              <w:keepNext w:val="0"/>
              <w:keepLines w:val="0"/>
              <w:pageBreakBefore w:val="0"/>
              <w:widowControl w:val="0"/>
              <w:kinsoku/>
              <w:bidi w:val="0"/>
              <w:spacing w:line="240" w:lineRule="exact"/>
              <w:ind w:firstLine="0" w:firstLineChars="0"/>
              <w:jc w:val="left"/>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）第6.1.4条</w:t>
            </w:r>
          </w:p>
        </w:tc>
        <w:tc>
          <w:tcPr>
            <w:tcW w:w="1523" w:type="pct"/>
            <w:noWrap w:val="0"/>
            <w:vAlign w:val="center"/>
          </w:tcPr>
          <w:p w14:paraId="4A0D9395">
            <w:pPr>
              <w:keepNext w:val="0"/>
              <w:keepLines w:val="0"/>
              <w:pageBreakBefore w:val="0"/>
              <w:widowControl w:val="0"/>
              <w:kinsoku/>
              <w:autoSpaceDE w:val="0"/>
              <w:autoSpaceDN w:val="0"/>
              <w:bidi w:val="0"/>
              <w:adjustRightInd w:val="0"/>
              <w:spacing w:line="240" w:lineRule="exact"/>
              <w:ind w:firstLine="0" w:firstLineChars="0"/>
              <w:jc w:val="left"/>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该电站光伏系统中逆变器的配置容量为</w:t>
            </w:r>
            <w:r>
              <w:rPr>
                <w:rFonts w:hint="eastAsia" w:cs="Times New Roman"/>
                <w:color w:val="000000" w:themeColor="text1"/>
                <w:sz w:val="21"/>
                <w:szCs w:val="21"/>
                <w:lang w:val="en-US" w:eastAsia="zh-CN"/>
                <w14:textFill>
                  <w14:solidFill>
                    <w14:schemeClr w14:val="tx1"/>
                  </w14:solidFill>
                </w14:textFill>
              </w:rPr>
              <w:t>320</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kW，与每个光伏方阵的安装容量相同。</w:t>
            </w:r>
          </w:p>
        </w:tc>
        <w:tc>
          <w:tcPr>
            <w:tcW w:w="428" w:type="pct"/>
            <w:noWrap w:val="0"/>
            <w:vAlign w:val="center"/>
          </w:tcPr>
          <w:p w14:paraId="49E9D5FE">
            <w:pPr>
              <w:keepNext w:val="0"/>
              <w:keepLines w:val="0"/>
              <w:pageBreakBefore w:val="0"/>
              <w:widowControl w:val="0"/>
              <w:kinsoku/>
              <w:bidi w:val="0"/>
              <w:spacing w:line="240" w:lineRule="exact"/>
              <w:ind w:firstLine="0" w:firstLineChars="0"/>
              <w:jc w:val="left"/>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宋体" w:hAnsi="宋体" w:eastAsia="宋体" w:cs="Times New Roman"/>
                <w:color w:val="000000" w:themeColor="text1"/>
                <w:sz w:val="21"/>
                <w:szCs w:val="21"/>
                <w14:textFill>
                  <w14:solidFill>
                    <w14:schemeClr w14:val="tx1"/>
                  </w14:solidFill>
                </w14:textFill>
              </w:rPr>
              <w:t>符合</w:t>
            </w:r>
          </w:p>
        </w:tc>
      </w:tr>
      <w:tr w14:paraId="60070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jc w:val="center"/>
        </w:trPr>
        <w:tc>
          <w:tcPr>
            <w:tcW w:w="287" w:type="pct"/>
            <w:noWrap w:val="0"/>
            <w:vAlign w:val="center"/>
          </w:tcPr>
          <w:p w14:paraId="7B924636">
            <w:pPr>
              <w:keepNext w:val="0"/>
              <w:keepLines w:val="0"/>
              <w:pageBreakBefore w:val="0"/>
              <w:widowControl w:val="0"/>
              <w:numPr>
                <w:ilvl w:val="0"/>
                <w:numId w:val="33"/>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18D8CFFE">
            <w:pPr>
              <w:keepNext w:val="0"/>
              <w:keepLines w:val="0"/>
              <w:pageBreakBefore w:val="0"/>
              <w:widowControl w:val="0"/>
              <w:kinsoku/>
              <w:autoSpaceDE w:val="0"/>
              <w:autoSpaceDN w:val="0"/>
              <w:bidi w:val="0"/>
              <w:adjustRightInd w:val="0"/>
              <w:spacing w:line="240" w:lineRule="exact"/>
              <w:ind w:firstLine="0"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光伏方阵设计应便于光伏组件表面的清洗，当站址所在地的大气环境较差、组件表面污染较严重且又无自洁能力时，应设置清洗系统或配置清洗设备。</w:t>
            </w:r>
          </w:p>
        </w:tc>
        <w:tc>
          <w:tcPr>
            <w:tcW w:w="1130" w:type="pct"/>
            <w:noWrap w:val="0"/>
            <w:vAlign w:val="center"/>
          </w:tcPr>
          <w:p w14:paraId="0CB00585">
            <w:pPr>
              <w:pStyle w:val="17"/>
              <w:keepNext w:val="0"/>
              <w:keepLines w:val="0"/>
              <w:pageBreakBefore w:val="0"/>
              <w:widowControl w:val="0"/>
              <w:kinsoku/>
              <w:bidi w:val="0"/>
              <w:spacing w:line="240" w:lineRule="exact"/>
              <w:ind w:firstLine="0" w:firstLineChars="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《光伏发电站设计规范》（GB50797-2012）第6.1.7条</w:t>
            </w:r>
          </w:p>
        </w:tc>
        <w:tc>
          <w:tcPr>
            <w:tcW w:w="1523" w:type="pct"/>
            <w:noWrap w:val="0"/>
            <w:vAlign w:val="center"/>
          </w:tcPr>
          <w:p w14:paraId="0ED0C764">
            <w:pPr>
              <w:keepNext w:val="0"/>
              <w:keepLines w:val="0"/>
              <w:pageBreakBefore w:val="0"/>
              <w:widowControl w:val="0"/>
              <w:kinsoku/>
              <w:autoSpaceDE w:val="0"/>
              <w:autoSpaceDN w:val="0"/>
              <w:bidi w:val="0"/>
              <w:adjustRightInd w:val="0"/>
              <w:spacing w:line="240" w:lineRule="exact"/>
              <w:ind w:firstLine="0" w:firstLine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电站位于山区，光伏方阵的清洗采用利用水车从站外运水进行原地清洗。</w:t>
            </w:r>
          </w:p>
        </w:tc>
        <w:tc>
          <w:tcPr>
            <w:tcW w:w="428" w:type="pct"/>
            <w:noWrap w:val="0"/>
            <w:vAlign w:val="center"/>
          </w:tcPr>
          <w:p w14:paraId="04215915">
            <w:pPr>
              <w:keepNext w:val="0"/>
              <w:keepLines w:val="0"/>
              <w:pageBreakBefore w:val="0"/>
              <w:widowControl w:val="0"/>
              <w:kinsoku/>
              <w:bidi w:val="0"/>
              <w:spacing w:line="240" w:lineRule="exact"/>
              <w:ind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6711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jc w:val="center"/>
        </w:trPr>
        <w:tc>
          <w:tcPr>
            <w:tcW w:w="287" w:type="pct"/>
            <w:noWrap w:val="0"/>
            <w:vAlign w:val="center"/>
          </w:tcPr>
          <w:p w14:paraId="13883383">
            <w:pPr>
              <w:keepNext w:val="0"/>
              <w:keepLines w:val="0"/>
              <w:pageBreakBefore w:val="0"/>
              <w:widowControl w:val="0"/>
              <w:numPr>
                <w:ilvl w:val="0"/>
                <w:numId w:val="33"/>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494117BA">
            <w:pPr>
              <w:keepNext w:val="0"/>
              <w:keepLines w:val="0"/>
              <w:pageBreakBefore w:val="0"/>
              <w:widowControl w:val="0"/>
              <w:kinsoku/>
              <w:bidi w:val="0"/>
              <w:spacing w:line="240" w:lineRule="exact"/>
              <w:ind w:firstLine="0" w:firstLineChars="0"/>
              <w:jc w:val="both"/>
              <w:rPr>
                <w:rFonts w:hint="eastAsia" w:ascii="宋体" w:hAnsi="宋体"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光伏组件应根据类型、峰值功率、转换效率、温度系数、组件尺寸和重量、功率辐照度特性等技术条件进行选择。</w:t>
            </w:r>
          </w:p>
        </w:tc>
        <w:tc>
          <w:tcPr>
            <w:tcW w:w="1130" w:type="pct"/>
            <w:noWrap w:val="0"/>
            <w:vAlign w:val="center"/>
          </w:tcPr>
          <w:p w14:paraId="543D3C73">
            <w:pPr>
              <w:pStyle w:val="17"/>
              <w:keepNext w:val="0"/>
              <w:keepLines w:val="0"/>
              <w:pageBreakBefore w:val="0"/>
              <w:widowControl w:val="0"/>
              <w:kinsoku/>
              <w:bidi w:val="0"/>
              <w:spacing w:line="240" w:lineRule="exact"/>
              <w:ind w:firstLine="0" w:firstLineChars="0"/>
              <w:jc w:val="left"/>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）第6.3.2条</w:t>
            </w:r>
          </w:p>
        </w:tc>
        <w:tc>
          <w:tcPr>
            <w:tcW w:w="1523" w:type="pct"/>
            <w:noWrap w:val="0"/>
            <w:vAlign w:val="top"/>
          </w:tcPr>
          <w:p w14:paraId="111B8C38">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设计单位</w:t>
            </w:r>
            <w:r>
              <w:rPr>
                <w:rFonts w:hint="eastAsia" w:ascii="宋体" w:hAnsi="宋体" w:eastAsia="宋体" w:cs="宋体"/>
                <w:color w:val="000000" w:themeColor="text1"/>
                <w:sz w:val="21"/>
                <w:szCs w:val="21"/>
                <w:lang w:val="en-US" w:eastAsia="zh-CN"/>
                <w14:textFill>
                  <w14:solidFill>
                    <w14:schemeClr w14:val="tx1"/>
                  </w14:solidFill>
                </w14:textFill>
              </w:rPr>
              <w:t>根据</w:t>
            </w:r>
            <w:r>
              <w:rPr>
                <w:rFonts w:hint="eastAsia" w:ascii="宋体" w:hAnsi="宋体" w:eastAsia="宋体" w:cs="宋体"/>
                <w:color w:val="000000" w:themeColor="text1"/>
                <w:sz w:val="21"/>
                <w:szCs w:val="21"/>
                <w14:textFill>
                  <w14:solidFill>
                    <w14:schemeClr w14:val="tx1"/>
                  </w14:solidFill>
                </w14:textFill>
              </w:rPr>
              <w:t>类型、峰值功率、转换效率、温度系数、组件尺寸和重量、功率辐照度特性等技术条件进行选择，采用575/580Wp的国产</w:t>
            </w:r>
            <w:r>
              <w:rPr>
                <w:rFonts w:hint="eastAsia" w:ascii="宋体" w:hAnsi="宋体" w:eastAsia="宋体" w:cs="宋体"/>
                <w:color w:val="000000" w:themeColor="text1"/>
                <w:sz w:val="21"/>
                <w:szCs w:val="21"/>
                <w:lang w:val="en-US" w:eastAsia="zh-CN"/>
                <w14:textFill>
                  <w14:solidFill>
                    <w14:schemeClr w14:val="tx1"/>
                  </w14:solidFill>
                </w14:textFill>
              </w:rPr>
              <w:t>单</w:t>
            </w:r>
            <w:r>
              <w:rPr>
                <w:rFonts w:hint="eastAsia" w:ascii="宋体" w:hAnsi="宋体" w:eastAsia="宋体" w:cs="宋体"/>
                <w:color w:val="000000" w:themeColor="text1"/>
                <w:sz w:val="21"/>
                <w:szCs w:val="21"/>
                <w14:textFill>
                  <w14:solidFill>
                    <w14:schemeClr w14:val="tx1"/>
                  </w14:solidFill>
                </w14:textFill>
              </w:rPr>
              <w:t>晶硅光伏组件。</w:t>
            </w:r>
          </w:p>
        </w:tc>
        <w:tc>
          <w:tcPr>
            <w:tcW w:w="428" w:type="pct"/>
            <w:noWrap w:val="0"/>
            <w:vAlign w:val="center"/>
          </w:tcPr>
          <w:p w14:paraId="17ACAFDF">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137DB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jc w:val="center"/>
        </w:trPr>
        <w:tc>
          <w:tcPr>
            <w:tcW w:w="287" w:type="pct"/>
            <w:noWrap w:val="0"/>
            <w:vAlign w:val="center"/>
          </w:tcPr>
          <w:p w14:paraId="76188A73">
            <w:pPr>
              <w:keepNext w:val="0"/>
              <w:keepLines w:val="0"/>
              <w:pageBreakBefore w:val="0"/>
              <w:widowControl w:val="0"/>
              <w:numPr>
                <w:ilvl w:val="0"/>
                <w:numId w:val="33"/>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4C6A4BFC">
            <w:pPr>
              <w:keepNext w:val="0"/>
              <w:keepLines w:val="0"/>
              <w:pageBreakBefore w:val="0"/>
              <w:widowControl w:val="0"/>
              <w:kinsoku/>
              <w:bidi w:val="0"/>
              <w:spacing w:line="240" w:lineRule="exact"/>
              <w:ind w:firstLine="0" w:firstLineChars="0"/>
              <w:jc w:val="both"/>
              <w:rPr>
                <w:rFonts w:hint="eastAsia" w:ascii="宋体" w:hAnsi="宋体"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光伏组件应按太阳辐照度、工作温度等使用环境条件进行性能参数校验。</w:t>
            </w:r>
          </w:p>
        </w:tc>
        <w:tc>
          <w:tcPr>
            <w:tcW w:w="1130" w:type="pct"/>
            <w:noWrap w:val="0"/>
            <w:vAlign w:val="center"/>
          </w:tcPr>
          <w:p w14:paraId="5D95B9F4">
            <w:pPr>
              <w:pStyle w:val="17"/>
              <w:keepNext w:val="0"/>
              <w:keepLines w:val="0"/>
              <w:pageBreakBefore w:val="0"/>
              <w:widowControl w:val="0"/>
              <w:kinsoku/>
              <w:bidi w:val="0"/>
              <w:spacing w:line="240" w:lineRule="exact"/>
              <w:ind w:firstLine="0" w:firstLineChars="0"/>
              <w:jc w:val="left"/>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）第6.3.3条</w:t>
            </w:r>
          </w:p>
        </w:tc>
        <w:tc>
          <w:tcPr>
            <w:tcW w:w="1523" w:type="pct"/>
            <w:noWrap w:val="0"/>
            <w:vAlign w:val="top"/>
          </w:tcPr>
          <w:p w14:paraId="27EA0A04">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设计单位对串联后的光伏组串的输出电压进行温度校验。</w:t>
            </w:r>
          </w:p>
        </w:tc>
        <w:tc>
          <w:tcPr>
            <w:tcW w:w="428" w:type="pct"/>
            <w:noWrap w:val="0"/>
            <w:vAlign w:val="center"/>
          </w:tcPr>
          <w:p w14:paraId="5E6E72C1">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434C3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0" w:hRule="atLeast"/>
          <w:jc w:val="center"/>
        </w:trPr>
        <w:tc>
          <w:tcPr>
            <w:tcW w:w="287" w:type="pct"/>
            <w:noWrap w:val="0"/>
            <w:vAlign w:val="center"/>
          </w:tcPr>
          <w:p w14:paraId="5B8ED09C">
            <w:pPr>
              <w:keepNext w:val="0"/>
              <w:keepLines w:val="0"/>
              <w:pageBreakBefore w:val="0"/>
              <w:widowControl w:val="0"/>
              <w:numPr>
                <w:ilvl w:val="0"/>
                <w:numId w:val="33"/>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042B5A20">
            <w:pPr>
              <w:keepNext w:val="0"/>
              <w:keepLines w:val="0"/>
              <w:pageBreakBefore w:val="0"/>
              <w:widowControl w:val="0"/>
              <w:kinsoku/>
              <w:bidi w:val="0"/>
              <w:spacing w:line="28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光伏组件的类型应按下列条件选择：1依据太阳辐射量、气候特征、场地面积等因素，经技术经济比较确定。2太阳辐射量较高、直射分量较大的地区宜选用晶体硅光伏组件或聚光光伏组件。3太阳辐射量较低、散射分量较大、环境温度较高的地区宜选用薄膜光伏组件。4在与建筑相结合的光伏发电系统中，当技术经济合理时，宜选用与建筑结构相协调的</w:t>
            </w:r>
            <w:r>
              <w:rPr>
                <w:rFonts w:hint="eastAsia" w:cs="Times New Roman"/>
                <w:color w:val="000000" w:themeColor="text1"/>
                <w:sz w:val="21"/>
                <w:szCs w:val="21"/>
                <w:lang w:eastAsia="zh-CN"/>
                <w14:textFill>
                  <w14:solidFill>
                    <w14:schemeClr w14:val="tx1"/>
                  </w14:solidFill>
                </w14:textFill>
              </w:rPr>
              <w:t>光伏组</w:t>
            </w:r>
            <w:r>
              <w:rPr>
                <w:rFonts w:hint="eastAsia" w:ascii="Times New Roman" w:hAnsi="Times New Roman" w:eastAsia="宋体" w:cs="Times New Roman"/>
                <w:color w:val="000000" w:themeColor="text1"/>
                <w:sz w:val="21"/>
                <w:szCs w:val="21"/>
                <w14:textFill>
                  <w14:solidFill>
                    <w14:schemeClr w14:val="tx1"/>
                  </w14:solidFill>
                </w14:textFill>
              </w:rPr>
              <w:t>件。建材型的光伏组件，应符合相应建筑材料或构件的技术要求。</w:t>
            </w:r>
          </w:p>
        </w:tc>
        <w:tc>
          <w:tcPr>
            <w:tcW w:w="1130" w:type="pct"/>
            <w:noWrap w:val="0"/>
            <w:vAlign w:val="center"/>
          </w:tcPr>
          <w:p w14:paraId="315925C8">
            <w:pPr>
              <w:pStyle w:val="17"/>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）第6.3.4条</w:t>
            </w:r>
          </w:p>
        </w:tc>
        <w:tc>
          <w:tcPr>
            <w:tcW w:w="1523" w:type="pct"/>
            <w:noWrap w:val="0"/>
            <w:vAlign w:val="center"/>
          </w:tcPr>
          <w:p w14:paraId="38805356">
            <w:pPr>
              <w:pStyle w:val="17"/>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光伏组件的类型依据太阳辐射量、气候特征、场地面积等因素，经技术经济比较确定；本地区太阳辐射量高，采用</w:t>
            </w:r>
            <w:r>
              <w:rPr>
                <w:rFonts w:hint="eastAsia" w:cs="Times New Roman"/>
                <w:color w:val="000000" w:themeColor="text1"/>
                <w:lang w:val="en-US" w:eastAsia="zh-CN"/>
                <w14:textFill>
                  <w14:solidFill>
                    <w14:schemeClr w14:val="tx1"/>
                  </w14:solidFill>
                </w14:textFill>
              </w:rPr>
              <w:t>单</w:t>
            </w:r>
            <w:r>
              <w:rPr>
                <w:rFonts w:hint="eastAsia" w:ascii="Times New Roman" w:hAnsi="Times New Roman" w:eastAsia="宋体" w:cs="Times New Roman"/>
                <w:color w:val="000000" w:themeColor="text1"/>
                <w14:textFill>
                  <w14:solidFill>
                    <w14:schemeClr w14:val="tx1"/>
                  </w14:solidFill>
                </w14:textFill>
              </w:rPr>
              <w:t>晶硅光伏组件。</w:t>
            </w:r>
          </w:p>
        </w:tc>
        <w:tc>
          <w:tcPr>
            <w:tcW w:w="428" w:type="pct"/>
            <w:noWrap w:val="0"/>
            <w:vAlign w:val="center"/>
          </w:tcPr>
          <w:p w14:paraId="2FF0F6D2">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1B2DC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5000" w:type="pct"/>
            <w:gridSpan w:val="5"/>
            <w:noWrap w:val="0"/>
            <w:vAlign w:val="center"/>
          </w:tcPr>
          <w:p w14:paraId="5389E711">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二、逆变器</w:t>
            </w:r>
          </w:p>
        </w:tc>
      </w:tr>
      <w:tr w14:paraId="47045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287" w:type="pct"/>
            <w:noWrap w:val="0"/>
            <w:vAlign w:val="center"/>
          </w:tcPr>
          <w:p w14:paraId="6B316748">
            <w:pPr>
              <w:keepNext w:val="0"/>
              <w:keepLines w:val="0"/>
              <w:pageBreakBefore w:val="0"/>
              <w:widowControl w:val="0"/>
              <w:numPr>
                <w:ilvl w:val="0"/>
                <w:numId w:val="34"/>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7BF36F46">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用于并网光伏发电系统的逆变器性能应符合接入公用电网相关技术要求的规定，并具有有功功率和无功功率连续可调功能。用于大、中型光伏发电站的逆变器还应具有低电压穿越功能。</w:t>
            </w:r>
          </w:p>
        </w:tc>
        <w:tc>
          <w:tcPr>
            <w:tcW w:w="1130" w:type="pct"/>
            <w:noWrap w:val="0"/>
            <w:vAlign w:val="center"/>
          </w:tcPr>
          <w:p w14:paraId="2DB73AFF">
            <w:pPr>
              <w:pStyle w:val="17"/>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）第6.3.5条</w:t>
            </w:r>
          </w:p>
        </w:tc>
        <w:tc>
          <w:tcPr>
            <w:tcW w:w="1523" w:type="pct"/>
            <w:noWrap w:val="0"/>
            <w:vAlign w:val="center"/>
          </w:tcPr>
          <w:p w14:paraId="30EC4B8A">
            <w:pPr>
              <w:pStyle w:val="17"/>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电站选用的逆变器具有功率调节和低电压穿越功能。</w:t>
            </w:r>
          </w:p>
        </w:tc>
        <w:tc>
          <w:tcPr>
            <w:tcW w:w="428" w:type="pct"/>
            <w:noWrap w:val="0"/>
            <w:vAlign w:val="center"/>
          </w:tcPr>
          <w:p w14:paraId="076DC366">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54401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287" w:type="pct"/>
            <w:noWrap w:val="0"/>
            <w:vAlign w:val="center"/>
          </w:tcPr>
          <w:p w14:paraId="4C6CE2D3">
            <w:pPr>
              <w:keepNext w:val="0"/>
              <w:keepLines w:val="0"/>
              <w:pageBreakBefore w:val="0"/>
              <w:widowControl w:val="0"/>
              <w:numPr>
                <w:ilvl w:val="0"/>
                <w:numId w:val="34"/>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527B5136">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逆变器应按型式、容量、相数、频率、冷却方式、功率因数、过载能力、温升、效率、输入输出电压、最大功率点跟踪（MPPT)，保护和监测功能、通信接口、防护等级等技术条件进行选</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择</w:t>
            </w:r>
            <w:r>
              <w:rPr>
                <w:rFonts w:hint="eastAsia" w:ascii="Times New Roman" w:hAnsi="Times New Roman" w:eastAsia="宋体" w:cs="Times New Roman"/>
                <w:color w:val="000000" w:themeColor="text1"/>
                <w:sz w:val="21"/>
                <w:szCs w:val="21"/>
                <w14:textFill>
                  <w14:solidFill>
                    <w14:schemeClr w14:val="tx1"/>
                  </w14:solidFill>
                </w14:textFill>
              </w:rPr>
              <w:t>。</w:t>
            </w:r>
          </w:p>
        </w:tc>
        <w:tc>
          <w:tcPr>
            <w:tcW w:w="1130" w:type="pct"/>
            <w:noWrap w:val="0"/>
            <w:vAlign w:val="center"/>
          </w:tcPr>
          <w:p w14:paraId="1772065E">
            <w:pPr>
              <w:pStyle w:val="17"/>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）第6.3.6条</w:t>
            </w:r>
          </w:p>
        </w:tc>
        <w:tc>
          <w:tcPr>
            <w:tcW w:w="1523" w:type="pct"/>
            <w:noWrap w:val="0"/>
            <w:vAlign w:val="center"/>
          </w:tcPr>
          <w:p w14:paraId="4E122E24">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逆变器应按型式、容量、相数、频率、冷却方式、功率因数、过载能力、温升、效率、输入输出电压、最大功率点跟踪（MPPT)，保护和监测功能、通信接口、防护等级等技术条件进行选</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择</w:t>
            </w:r>
            <w:r>
              <w:rPr>
                <w:rFonts w:hint="eastAsia" w:ascii="Times New Roman" w:hAnsi="Times New Roman" w:eastAsia="宋体" w:cs="Times New Roman"/>
                <w:color w:val="000000" w:themeColor="text1"/>
                <w:sz w:val="21"/>
                <w:szCs w:val="21"/>
                <w14:textFill>
                  <w14:solidFill>
                    <w14:schemeClr w14:val="tx1"/>
                  </w14:solidFill>
                </w14:textFill>
              </w:rPr>
              <w:t>。</w:t>
            </w:r>
          </w:p>
        </w:tc>
        <w:tc>
          <w:tcPr>
            <w:tcW w:w="428" w:type="pct"/>
            <w:noWrap w:val="0"/>
            <w:vAlign w:val="center"/>
          </w:tcPr>
          <w:p w14:paraId="016DCA8B">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53206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287" w:type="pct"/>
            <w:noWrap w:val="0"/>
            <w:vAlign w:val="center"/>
          </w:tcPr>
          <w:p w14:paraId="3FE75762">
            <w:pPr>
              <w:keepNext w:val="0"/>
              <w:keepLines w:val="0"/>
              <w:pageBreakBefore w:val="0"/>
              <w:widowControl w:val="0"/>
              <w:numPr>
                <w:ilvl w:val="0"/>
                <w:numId w:val="34"/>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2FD5D933">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逆变器应按环境温度、相对湿度、海拔高度、地震烈度、污秽等级等使用环境条件进行校验。</w:t>
            </w:r>
          </w:p>
        </w:tc>
        <w:tc>
          <w:tcPr>
            <w:tcW w:w="1130" w:type="pct"/>
            <w:noWrap w:val="0"/>
            <w:vAlign w:val="center"/>
          </w:tcPr>
          <w:p w14:paraId="30C15867">
            <w:pPr>
              <w:pStyle w:val="17"/>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）第6.3.7条</w:t>
            </w:r>
          </w:p>
        </w:tc>
        <w:tc>
          <w:tcPr>
            <w:tcW w:w="1523" w:type="pct"/>
            <w:noWrap w:val="0"/>
            <w:vAlign w:val="center"/>
          </w:tcPr>
          <w:p w14:paraId="6076F9ED">
            <w:pPr>
              <w:pStyle w:val="17"/>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在进行试运行过程中，对逆变器的性能进行了综合检验。</w:t>
            </w:r>
          </w:p>
        </w:tc>
        <w:tc>
          <w:tcPr>
            <w:tcW w:w="428" w:type="pct"/>
            <w:noWrap w:val="0"/>
            <w:vAlign w:val="center"/>
          </w:tcPr>
          <w:p w14:paraId="25AA7F59">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24AF4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287" w:type="pct"/>
            <w:noWrap w:val="0"/>
            <w:vAlign w:val="center"/>
          </w:tcPr>
          <w:p w14:paraId="695A2EEE">
            <w:pPr>
              <w:keepNext w:val="0"/>
              <w:keepLines w:val="0"/>
              <w:pageBreakBefore w:val="0"/>
              <w:widowControl w:val="0"/>
              <w:numPr>
                <w:ilvl w:val="0"/>
                <w:numId w:val="34"/>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3880FAE2">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全站共配置</w:t>
            </w:r>
            <w:r>
              <w:rPr>
                <w:rFonts w:hint="eastAsia" w:cs="Times New Roman"/>
                <w:color w:val="000000" w:themeColor="text1"/>
                <w:sz w:val="21"/>
                <w:szCs w:val="21"/>
                <w:lang w:val="en-US" w:eastAsia="zh-CN"/>
                <w14:textFill>
                  <w14:solidFill>
                    <w14:schemeClr w14:val="tx1"/>
                  </w14:solidFill>
                </w14:textFill>
              </w:rPr>
              <w:t>205</w:t>
            </w:r>
            <w:r>
              <w:rPr>
                <w:rFonts w:hint="eastAsia" w:ascii="Times New Roman" w:hAnsi="Times New Roman" w:eastAsia="宋体" w:cs="Times New Roman"/>
                <w:color w:val="000000" w:themeColor="text1"/>
                <w:sz w:val="21"/>
                <w:szCs w:val="21"/>
                <w14:textFill>
                  <w14:solidFill>
                    <w14:schemeClr w14:val="tx1"/>
                  </w14:solidFill>
                </w14:textFill>
              </w:rPr>
              <w:t>台320kW的组串式逆变器</w:t>
            </w:r>
            <w:r>
              <w:rPr>
                <w:rFonts w:hint="eastAsia" w:cs="Times New Roman"/>
                <w:color w:val="000000" w:themeColor="text1"/>
                <w:sz w:val="21"/>
                <w:szCs w:val="21"/>
                <w:lang w:eastAsia="zh-CN"/>
                <w14:textFill>
                  <w14:solidFill>
                    <w14:schemeClr w14:val="tx1"/>
                  </w14:solidFill>
                </w14:textFill>
              </w:rPr>
              <w:t>。</w:t>
            </w:r>
          </w:p>
        </w:tc>
        <w:tc>
          <w:tcPr>
            <w:tcW w:w="1130" w:type="pct"/>
            <w:noWrap w:val="0"/>
            <w:vAlign w:val="center"/>
          </w:tcPr>
          <w:p w14:paraId="44796632">
            <w:pPr>
              <w:pStyle w:val="17"/>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lang w:eastAsia="zh-CN"/>
                <w14:textFill>
                  <w14:solidFill>
                    <w14:schemeClr w14:val="tx1"/>
                  </w14:solidFill>
                </w14:textFill>
              </w:rPr>
            </w:pPr>
            <w:r>
              <w:rPr>
                <w:rFonts w:hint="eastAsia" w:cs="Times New Roman"/>
                <w:color w:val="000000" w:themeColor="text1"/>
                <w:lang w:eastAsia="zh-CN"/>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安全设施设计</w:t>
            </w:r>
            <w:r>
              <w:rPr>
                <w:rFonts w:hint="eastAsia" w:cs="Times New Roman"/>
                <w:color w:val="000000" w:themeColor="text1"/>
                <w:lang w:eastAsia="zh-CN"/>
                <w14:textFill>
                  <w14:solidFill>
                    <w14:schemeClr w14:val="tx1"/>
                  </w14:solidFill>
                </w14:textFill>
              </w:rPr>
              <w:t>》</w:t>
            </w:r>
          </w:p>
        </w:tc>
        <w:tc>
          <w:tcPr>
            <w:tcW w:w="1523" w:type="pct"/>
            <w:noWrap w:val="0"/>
            <w:vAlign w:val="center"/>
          </w:tcPr>
          <w:p w14:paraId="2DE4C99A">
            <w:pPr>
              <w:pStyle w:val="17"/>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全站共配置</w:t>
            </w:r>
            <w:r>
              <w:rPr>
                <w:rFonts w:hint="eastAsia" w:cs="Times New Roman"/>
                <w:color w:val="000000" w:themeColor="text1"/>
                <w:sz w:val="21"/>
                <w:szCs w:val="21"/>
                <w:lang w:val="en-US" w:eastAsia="zh-CN"/>
                <w14:textFill>
                  <w14:solidFill>
                    <w14:schemeClr w14:val="tx1"/>
                  </w14:solidFill>
                </w14:textFill>
              </w:rPr>
              <w:t>205</w:t>
            </w:r>
            <w:r>
              <w:rPr>
                <w:rFonts w:hint="eastAsia" w:ascii="Times New Roman" w:hAnsi="Times New Roman" w:eastAsia="宋体" w:cs="Times New Roman"/>
                <w:color w:val="000000" w:themeColor="text1"/>
                <w:sz w:val="21"/>
                <w:szCs w:val="21"/>
                <w14:textFill>
                  <w14:solidFill>
                    <w14:schemeClr w14:val="tx1"/>
                  </w14:solidFill>
                </w14:textFill>
              </w:rPr>
              <w:t>台320kW的组串式逆变器</w:t>
            </w:r>
            <w:r>
              <w:rPr>
                <w:rFonts w:hint="eastAsia" w:cs="Times New Roman"/>
                <w:color w:val="000000" w:themeColor="text1"/>
                <w:sz w:val="21"/>
                <w:szCs w:val="21"/>
                <w:lang w:eastAsia="zh-CN"/>
                <w14:textFill>
                  <w14:solidFill>
                    <w14:schemeClr w14:val="tx1"/>
                  </w14:solidFill>
                </w14:textFill>
              </w:rPr>
              <w:t>。</w:t>
            </w:r>
          </w:p>
        </w:tc>
        <w:tc>
          <w:tcPr>
            <w:tcW w:w="428" w:type="pct"/>
            <w:noWrap w:val="0"/>
            <w:vAlign w:val="center"/>
          </w:tcPr>
          <w:p w14:paraId="2B5BF016">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符合</w:t>
            </w:r>
          </w:p>
        </w:tc>
      </w:tr>
      <w:tr w14:paraId="5BECC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5000" w:type="pct"/>
            <w:gridSpan w:val="5"/>
            <w:noWrap w:val="0"/>
            <w:vAlign w:val="center"/>
          </w:tcPr>
          <w:p w14:paraId="3D03951E">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三</w:t>
            </w:r>
            <w:r>
              <w:rPr>
                <w:rFonts w:ascii="Times New Roman" w:hAnsi="Times New Roman" w:eastAsia="宋体" w:cs="Times New Roman"/>
                <w:color w:val="000000" w:themeColor="text1"/>
                <w:sz w:val="21"/>
                <w:szCs w:val="21"/>
                <w14:textFill>
                  <w14:solidFill>
                    <w14:schemeClr w14:val="tx1"/>
                  </w14:solidFill>
                </w14:textFill>
              </w:rPr>
              <w:t>、光伏方阵</w:t>
            </w:r>
          </w:p>
        </w:tc>
      </w:tr>
      <w:tr w14:paraId="45C02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jc w:val="center"/>
        </w:trPr>
        <w:tc>
          <w:tcPr>
            <w:tcW w:w="287" w:type="pct"/>
            <w:noWrap w:val="0"/>
            <w:vAlign w:val="center"/>
          </w:tcPr>
          <w:p w14:paraId="3F5C32CC">
            <w:pPr>
              <w:keepNext w:val="0"/>
              <w:keepLines w:val="0"/>
              <w:pageBreakBefore w:val="0"/>
              <w:widowControl w:val="0"/>
              <w:numPr>
                <w:ilvl w:val="0"/>
                <w:numId w:val="35"/>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2CEBE818">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光伏方阵可分为固定式和跟踪式两类，选择何种方式应根据安装容量、安装场地面积和特点、负荷的类别和运行管理方式，由技术经济比较确定。</w:t>
            </w:r>
          </w:p>
        </w:tc>
        <w:tc>
          <w:tcPr>
            <w:tcW w:w="1130" w:type="pct"/>
            <w:noWrap w:val="0"/>
            <w:vAlign w:val="center"/>
          </w:tcPr>
          <w:p w14:paraId="4D207C4D">
            <w:pPr>
              <w:pStyle w:val="17"/>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w:t>
            </w:r>
            <w:r>
              <w:rPr>
                <w:rFonts w:ascii="Times New Roman" w:hAnsi="Times New Roman" w:eastAsia="宋体" w:cs="Times New Roman"/>
                <w:color w:val="000000" w:themeColor="text1"/>
                <w14:textFill>
                  <w14:solidFill>
                    <w14:schemeClr w14:val="tx1"/>
                  </w14:solidFill>
                </w14:textFill>
              </w:rPr>
              <w:t>6.4.1</w:t>
            </w:r>
            <w:r>
              <w:rPr>
                <w:rFonts w:hint="eastAsia" w:ascii="Times New Roman" w:hAnsi="Times New Roman" w:eastAsia="宋体" w:cs="Times New Roman"/>
                <w:color w:val="000000" w:themeColor="text1"/>
                <w14:textFill>
                  <w14:solidFill>
                    <w14:schemeClr w14:val="tx1"/>
                  </w14:solidFill>
                </w14:textFill>
              </w:rPr>
              <w:t>条</w:t>
            </w:r>
          </w:p>
        </w:tc>
        <w:tc>
          <w:tcPr>
            <w:tcW w:w="1523" w:type="pct"/>
            <w:noWrap w:val="0"/>
            <w:vAlign w:val="center"/>
          </w:tcPr>
          <w:p w14:paraId="54AF70A3">
            <w:pPr>
              <w:pStyle w:val="17"/>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本工程光伏方阵采用固定式。</w:t>
            </w:r>
          </w:p>
        </w:tc>
        <w:tc>
          <w:tcPr>
            <w:tcW w:w="428" w:type="pct"/>
            <w:noWrap w:val="0"/>
            <w:vAlign w:val="center"/>
          </w:tcPr>
          <w:p w14:paraId="524599D4">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14A49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7" w:hRule="atLeast"/>
          <w:jc w:val="center"/>
        </w:trPr>
        <w:tc>
          <w:tcPr>
            <w:tcW w:w="287" w:type="pct"/>
            <w:noWrap w:val="0"/>
            <w:vAlign w:val="center"/>
          </w:tcPr>
          <w:p w14:paraId="1AFA7619">
            <w:pPr>
              <w:keepNext w:val="0"/>
              <w:keepLines w:val="0"/>
              <w:pageBreakBefore w:val="0"/>
              <w:widowControl w:val="0"/>
              <w:numPr>
                <w:ilvl w:val="0"/>
                <w:numId w:val="35"/>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1AE176B6">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光伏方阵采用固定式布置时，最佳倾角应结合站址当地的多年月平均辐照度、直射分量辐照度、散射分量辐照度、风速、雨水、积雪等气候条件进行设计，并宜符合下列要求：1对于并网光伏发电系统，倾角宜使光伏方阵的倾斜面上受到的全年辐照量最大。2对于独立光伏发电系统，倾角宜使光伏方阵的最低辐照度月份倾斜面上受到较大的辐照量。3对于有特殊要求或土地成本较高的光伏发电站，可根据实际需要，经技术经济比较后确定光伏方阵的设计倾角和阵列行距。</w:t>
            </w:r>
          </w:p>
        </w:tc>
        <w:tc>
          <w:tcPr>
            <w:tcW w:w="1130" w:type="pct"/>
            <w:noWrap w:val="0"/>
            <w:vAlign w:val="center"/>
          </w:tcPr>
          <w:p w14:paraId="62C0A1C2">
            <w:pPr>
              <w:pStyle w:val="17"/>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）第6.4.3条</w:t>
            </w:r>
          </w:p>
        </w:tc>
        <w:tc>
          <w:tcPr>
            <w:tcW w:w="1523" w:type="pct"/>
            <w:noWrap w:val="0"/>
            <w:vAlign w:val="center"/>
          </w:tcPr>
          <w:p w14:paraId="4E0FD6D0">
            <w:pPr>
              <w:pStyle w:val="17"/>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本工程为交网发电系统，光伏组串采用固定式支架，倾角为</w:t>
            </w:r>
            <w:r>
              <w:rPr>
                <w:rFonts w:ascii="Times New Roman" w:hAnsi="Times New Roman" w:eastAsia="宋体" w:cs="Times New Roman"/>
                <w:color w:val="000000" w:themeColor="text1"/>
                <w14:textFill>
                  <w14:solidFill>
                    <w14:schemeClr w14:val="tx1"/>
                  </w14:solidFill>
                </w14:textFill>
              </w:rPr>
              <w:t>2</w:t>
            </w:r>
            <w:r>
              <w:rPr>
                <w:rFonts w:hint="eastAsia" w:cs="Times New Roman"/>
                <w:color w:val="000000" w:themeColor="text1"/>
                <w:lang w:val="en-US" w:eastAsia="zh-CN"/>
                <w14:textFill>
                  <w14:solidFill>
                    <w14:schemeClr w14:val="tx1"/>
                  </w14:solidFill>
                </w14:textFill>
              </w:rPr>
              <w:t>2</w:t>
            </w:r>
            <w:r>
              <w:rPr>
                <w:rFonts w:ascii="Times New Roman" w:hAnsi="Times New Roman" w:eastAsia="宋体" w:cs="Times New Roman"/>
                <w:color w:val="000000" w:themeColor="text1"/>
                <w14:textFill>
                  <w14:solidFill>
                    <w14:schemeClr w14:val="tx1"/>
                  </w14:solidFill>
                </w14:textFill>
              </w:rPr>
              <w:t>°</w:t>
            </w:r>
            <w:r>
              <w:rPr>
                <w:rFonts w:hint="eastAsia" w:ascii="Times New Roman" w:hAnsi="Times New Roman" w:eastAsia="宋体" w:cs="Times New Roman"/>
                <w:color w:val="000000" w:themeColor="text1"/>
                <w14:textFill>
                  <w14:solidFill>
                    <w14:schemeClr w14:val="tx1"/>
                  </w14:solidFill>
                </w14:textFill>
              </w:rPr>
              <w:t>。</w:t>
            </w:r>
          </w:p>
          <w:p w14:paraId="5C4D7273">
            <w:pPr>
              <w:pStyle w:val="17"/>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本工程水平面支架间最小列间距满足要求。</w:t>
            </w:r>
          </w:p>
        </w:tc>
        <w:tc>
          <w:tcPr>
            <w:tcW w:w="428" w:type="pct"/>
            <w:noWrap w:val="0"/>
            <w:vAlign w:val="center"/>
          </w:tcPr>
          <w:p w14:paraId="31BF59A6">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3B742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5000" w:type="pct"/>
            <w:gridSpan w:val="5"/>
            <w:noWrap w:val="0"/>
            <w:vAlign w:val="center"/>
          </w:tcPr>
          <w:p w14:paraId="132C9678">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四</w:t>
            </w:r>
            <w:r>
              <w:rPr>
                <w:rFonts w:hint="eastAsia" w:ascii="Times New Roman" w:hAnsi="Times New Roman" w:eastAsia="宋体" w:cs="Times New Roman"/>
                <w:color w:val="000000" w:themeColor="text1"/>
                <w:sz w:val="21"/>
                <w:szCs w:val="21"/>
                <w14:textFill>
                  <w14:solidFill>
                    <w14:schemeClr w14:val="tx1"/>
                  </w14:solidFill>
                </w14:textFill>
              </w:rPr>
              <w:t>、光伏支架</w:t>
            </w:r>
          </w:p>
        </w:tc>
      </w:tr>
      <w:tr w14:paraId="2389F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jc w:val="center"/>
        </w:trPr>
        <w:tc>
          <w:tcPr>
            <w:tcW w:w="287" w:type="pct"/>
            <w:noWrap w:val="0"/>
            <w:vAlign w:val="center"/>
          </w:tcPr>
          <w:p w14:paraId="4D623800">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r>
              <w:rPr>
                <w:rFonts w:hint="default" w:ascii="Times New Roman" w:hAnsi="Times New Roman" w:eastAsia="宋体" w:cs="宋体"/>
                <w:color w:val="000000" w:themeColor="text1"/>
                <w:kern w:val="0"/>
                <w:sz w:val="21"/>
                <w:szCs w:val="21"/>
                <w:lang w:val="en-US" w:eastAsia="zh-CN" w:bidi="ar-SA"/>
                <w14:textFill>
                  <w14:solidFill>
                    <w14:schemeClr w14:val="tx1"/>
                  </w14:solidFill>
                </w14:textFill>
              </w:rPr>
              <w:t>1</w:t>
            </w:r>
          </w:p>
        </w:tc>
        <w:tc>
          <w:tcPr>
            <w:tcW w:w="1631" w:type="pct"/>
            <w:noWrap w:val="0"/>
            <w:vAlign w:val="center"/>
          </w:tcPr>
          <w:p w14:paraId="0DBD6928">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光伏支架应结合工程实际选用材料、设计结构方案和构造措施，保证支架结构在运输、安装和使用过程中满足强度、稳定性和刚度要求，并符合抗震、抗风和防腐等要求。</w:t>
            </w:r>
          </w:p>
        </w:tc>
        <w:tc>
          <w:tcPr>
            <w:tcW w:w="1130" w:type="pct"/>
            <w:noWrap w:val="0"/>
            <w:vAlign w:val="center"/>
          </w:tcPr>
          <w:p w14:paraId="4B316267">
            <w:pPr>
              <w:pStyle w:val="17"/>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）第6.8.1条</w:t>
            </w:r>
          </w:p>
        </w:tc>
        <w:tc>
          <w:tcPr>
            <w:tcW w:w="1523" w:type="pct"/>
            <w:noWrap w:val="0"/>
            <w:vAlign w:val="center"/>
          </w:tcPr>
          <w:p w14:paraId="5F58E2AD">
            <w:pPr>
              <w:pStyle w:val="17"/>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电站的光伏支架经过综合选比，选用钢结构支架。</w:t>
            </w:r>
          </w:p>
        </w:tc>
        <w:tc>
          <w:tcPr>
            <w:tcW w:w="428" w:type="pct"/>
            <w:noWrap w:val="0"/>
            <w:vAlign w:val="center"/>
          </w:tcPr>
          <w:p w14:paraId="7F8D3C7F">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5ED07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287" w:type="pct"/>
            <w:noWrap w:val="0"/>
            <w:vAlign w:val="center"/>
          </w:tcPr>
          <w:p w14:paraId="39DA043A">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r>
              <w:rPr>
                <w:rFonts w:hint="default" w:ascii="Times New Roman" w:hAnsi="Times New Roman" w:eastAsia="宋体" w:cs="宋体"/>
                <w:color w:val="000000" w:themeColor="text1"/>
                <w:kern w:val="0"/>
                <w:sz w:val="21"/>
                <w:szCs w:val="21"/>
                <w:lang w:val="en-US" w:eastAsia="zh-CN" w:bidi="ar-SA"/>
                <w14:textFill>
                  <w14:solidFill>
                    <w14:schemeClr w14:val="tx1"/>
                  </w14:solidFill>
                </w14:textFill>
              </w:rPr>
              <w:t>2</w:t>
            </w:r>
          </w:p>
        </w:tc>
        <w:tc>
          <w:tcPr>
            <w:tcW w:w="1631" w:type="pct"/>
            <w:noWrap w:val="0"/>
            <w:vAlign w:val="center"/>
          </w:tcPr>
          <w:p w14:paraId="2925F17E">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光伏支架材料宜采用钢材，材</w:t>
            </w:r>
          </w:p>
          <w:p w14:paraId="4D0030A4">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质的选用和支架设计应符合现行国家标准《钢结构设计规范》GB50017的规定。</w:t>
            </w:r>
          </w:p>
        </w:tc>
        <w:tc>
          <w:tcPr>
            <w:tcW w:w="1130" w:type="pct"/>
            <w:noWrap w:val="0"/>
            <w:vAlign w:val="center"/>
          </w:tcPr>
          <w:p w14:paraId="18729657">
            <w:pPr>
              <w:pStyle w:val="17"/>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）第6.8.2条</w:t>
            </w:r>
          </w:p>
        </w:tc>
        <w:tc>
          <w:tcPr>
            <w:tcW w:w="1523" w:type="pct"/>
            <w:noWrap w:val="0"/>
            <w:vAlign w:val="center"/>
          </w:tcPr>
          <w:p w14:paraId="4C99CCF1">
            <w:pPr>
              <w:pStyle w:val="17"/>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光伏支架选用的是钢材，材质符合规定。</w:t>
            </w:r>
          </w:p>
        </w:tc>
        <w:tc>
          <w:tcPr>
            <w:tcW w:w="428" w:type="pct"/>
            <w:noWrap w:val="0"/>
            <w:vAlign w:val="center"/>
          </w:tcPr>
          <w:p w14:paraId="057BDB90">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7EBF0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jc w:val="center"/>
        </w:trPr>
        <w:tc>
          <w:tcPr>
            <w:tcW w:w="287" w:type="pct"/>
            <w:noWrap w:val="0"/>
            <w:vAlign w:val="center"/>
          </w:tcPr>
          <w:p w14:paraId="63054A88">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r>
              <w:rPr>
                <w:rFonts w:hint="default" w:ascii="Times New Roman" w:hAnsi="Times New Roman" w:eastAsia="宋体" w:cs="宋体"/>
                <w:color w:val="000000" w:themeColor="text1"/>
                <w:kern w:val="0"/>
                <w:sz w:val="21"/>
                <w:szCs w:val="21"/>
                <w:lang w:val="en-US" w:eastAsia="zh-CN" w:bidi="ar-SA"/>
                <w14:textFill>
                  <w14:solidFill>
                    <w14:schemeClr w14:val="tx1"/>
                  </w14:solidFill>
                </w14:textFill>
              </w:rPr>
              <w:t>3</w:t>
            </w:r>
          </w:p>
        </w:tc>
        <w:tc>
          <w:tcPr>
            <w:tcW w:w="1631" w:type="pct"/>
            <w:noWrap w:val="0"/>
            <w:vAlign w:val="center"/>
          </w:tcPr>
          <w:p w14:paraId="672C4D88">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支架应按承载能力极限状态计算结构和构件的强度、稳定性以及连接强度，按正常使用极限状态计算结构和构件的变形。</w:t>
            </w:r>
          </w:p>
        </w:tc>
        <w:tc>
          <w:tcPr>
            <w:tcW w:w="1130" w:type="pct"/>
            <w:noWrap w:val="0"/>
            <w:vAlign w:val="center"/>
          </w:tcPr>
          <w:p w14:paraId="10C3DD30">
            <w:pPr>
              <w:pStyle w:val="17"/>
              <w:keepNext w:val="0"/>
              <w:keepLines w:val="0"/>
              <w:pageBreakBefore w:val="0"/>
              <w:widowControl w:val="0"/>
              <w:kinsoku/>
              <w:bidi w:val="0"/>
              <w:spacing w:line="240" w:lineRule="exact"/>
              <w:ind w:firstLine="0" w:firstLineChars="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）第6.8.3条</w:t>
            </w:r>
          </w:p>
        </w:tc>
        <w:tc>
          <w:tcPr>
            <w:tcW w:w="1523" w:type="pct"/>
            <w:noWrap w:val="0"/>
            <w:vAlign w:val="center"/>
          </w:tcPr>
          <w:p w14:paraId="3D91DD12">
            <w:pPr>
              <w:pStyle w:val="17"/>
              <w:keepNext w:val="0"/>
              <w:keepLines w:val="0"/>
              <w:pageBreakBefore w:val="0"/>
              <w:widowControl w:val="0"/>
              <w:kinsoku/>
              <w:bidi w:val="0"/>
              <w:spacing w:line="240" w:lineRule="exact"/>
              <w:ind w:firstLine="0" w:firstLineChars="0"/>
              <w:jc w:val="left"/>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支架的强度、稳定性等按使用年限的承载力进行计算，并经过了试运行考验。</w:t>
            </w:r>
          </w:p>
        </w:tc>
        <w:tc>
          <w:tcPr>
            <w:tcW w:w="428" w:type="pct"/>
            <w:noWrap w:val="0"/>
            <w:vAlign w:val="center"/>
          </w:tcPr>
          <w:p w14:paraId="79EF013D">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43874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2" w:hRule="atLeast"/>
          <w:jc w:val="center"/>
        </w:trPr>
        <w:tc>
          <w:tcPr>
            <w:tcW w:w="287" w:type="pct"/>
            <w:noWrap w:val="0"/>
            <w:vAlign w:val="center"/>
          </w:tcPr>
          <w:p w14:paraId="73635FA5">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r>
              <w:rPr>
                <w:rFonts w:hint="default" w:ascii="Times New Roman" w:hAnsi="Times New Roman" w:eastAsia="宋体" w:cs="宋体"/>
                <w:color w:val="000000" w:themeColor="text1"/>
                <w:kern w:val="0"/>
                <w:sz w:val="21"/>
                <w:szCs w:val="21"/>
                <w:lang w:val="en-US" w:eastAsia="zh-CN" w:bidi="ar-SA"/>
                <w14:textFill>
                  <w14:solidFill>
                    <w14:schemeClr w14:val="tx1"/>
                  </w14:solidFill>
                </w14:textFill>
              </w:rPr>
              <w:t>4</w:t>
            </w:r>
          </w:p>
        </w:tc>
        <w:tc>
          <w:tcPr>
            <w:tcW w:w="1631" w:type="pct"/>
            <w:noWrap w:val="0"/>
            <w:vAlign w:val="center"/>
          </w:tcPr>
          <w:p w14:paraId="1C02BD5C">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支架的防腐应符合下列要求：1、支架在构造上应便于检查和清刷。2、钢支架防腐宜采用热镀浸锌。3、当铝合金材料与除不锈钢以外的其他金属材料或与酸、碱性的非金属材料接触、紧固时，宜采取隔离措施。</w:t>
            </w:r>
          </w:p>
        </w:tc>
        <w:tc>
          <w:tcPr>
            <w:tcW w:w="1130" w:type="pct"/>
            <w:noWrap w:val="0"/>
            <w:vAlign w:val="center"/>
          </w:tcPr>
          <w:p w14:paraId="2FE026E9">
            <w:pPr>
              <w:pStyle w:val="17"/>
              <w:keepNext w:val="0"/>
              <w:keepLines w:val="0"/>
              <w:pageBreakBefore w:val="0"/>
              <w:widowControl w:val="0"/>
              <w:kinsoku/>
              <w:bidi w:val="0"/>
              <w:spacing w:line="240" w:lineRule="exact"/>
              <w:ind w:firstLine="0" w:firstLineChars="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）第6.8.10条</w:t>
            </w:r>
          </w:p>
        </w:tc>
        <w:tc>
          <w:tcPr>
            <w:tcW w:w="1523" w:type="pct"/>
            <w:noWrap w:val="0"/>
            <w:vAlign w:val="center"/>
          </w:tcPr>
          <w:p w14:paraId="1C671796">
            <w:pPr>
              <w:pStyle w:val="17"/>
              <w:keepNext w:val="0"/>
              <w:keepLines w:val="0"/>
              <w:pageBreakBefore w:val="0"/>
              <w:widowControl w:val="0"/>
              <w:kinsoku/>
              <w:bidi w:val="0"/>
              <w:spacing w:line="240" w:lineRule="exact"/>
              <w:ind w:firstLine="0" w:firstLineChars="0"/>
              <w:jc w:val="left"/>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支架的防腐采用热镀浸锌，钢构架便于检查，因为固定式倾角，清刷起来稍有不便。</w:t>
            </w:r>
          </w:p>
        </w:tc>
        <w:tc>
          <w:tcPr>
            <w:tcW w:w="428" w:type="pct"/>
            <w:noWrap w:val="0"/>
            <w:vAlign w:val="center"/>
          </w:tcPr>
          <w:p w14:paraId="1177C7CD">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3FD75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5000" w:type="pct"/>
            <w:gridSpan w:val="5"/>
            <w:noWrap w:val="0"/>
            <w:vAlign w:val="center"/>
          </w:tcPr>
          <w:p w14:paraId="11F19080">
            <w:pPr>
              <w:keepNext w:val="0"/>
              <w:keepLines w:val="0"/>
              <w:pageBreakBefore w:val="0"/>
              <w:widowControl w:val="0"/>
              <w:kinsoku/>
              <w:overflowPunct/>
              <w:bidi w:val="0"/>
              <w:spacing w:line="420" w:lineRule="exact"/>
              <w:ind w:firstLine="0" w:firstLineChars="0"/>
              <w:jc w:val="center"/>
              <w:textAlignment w:val="auto"/>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五、集线电路</w:t>
            </w:r>
          </w:p>
        </w:tc>
      </w:tr>
      <w:tr w14:paraId="15675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2" w:hRule="atLeast"/>
          <w:jc w:val="center"/>
        </w:trPr>
        <w:tc>
          <w:tcPr>
            <w:tcW w:w="287" w:type="pct"/>
            <w:noWrap w:val="0"/>
            <w:vAlign w:val="center"/>
          </w:tcPr>
          <w:p w14:paraId="28DE9BA9">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afterAutospacing="0" w:line="420" w:lineRule="exact"/>
              <w:ind w:left="0" w:leftChars="0" w:right="0" w:rightChars="0" w:firstLine="0" w:firstLineChars="0"/>
              <w:jc w:val="both"/>
              <w:textAlignment w:val="auto"/>
              <w:rPr>
                <w:rFonts w:hint="default" w:ascii="Times New Roman" w:hAnsi="Times New Roman" w:eastAsia="宋体" w:cs="宋体"/>
                <w:color w:val="000000" w:themeColor="text1"/>
                <w:kern w:val="0"/>
                <w:sz w:val="21"/>
                <w:szCs w:val="21"/>
                <w:lang w:val="en-US" w:eastAsia="zh-CN"/>
                <w14:textFill>
                  <w14:solidFill>
                    <w14:schemeClr w14:val="tx1"/>
                  </w14:solidFill>
                </w14:textFill>
              </w:rPr>
            </w:pPr>
            <w:r>
              <w:rPr>
                <w:rFonts w:hint="eastAsia" w:cs="宋体"/>
                <w:color w:val="000000" w:themeColor="text1"/>
                <w:kern w:val="0"/>
                <w:sz w:val="21"/>
                <w:szCs w:val="21"/>
                <w:lang w:val="en-US" w:eastAsia="zh-CN"/>
                <w14:textFill>
                  <w14:solidFill>
                    <w14:schemeClr w14:val="tx1"/>
                  </w14:solidFill>
                </w14:textFill>
              </w:rPr>
              <w:t>1</w:t>
            </w:r>
          </w:p>
        </w:tc>
        <w:tc>
          <w:tcPr>
            <w:tcW w:w="1631" w:type="pct"/>
            <w:noWrap w:val="0"/>
            <w:vAlign w:val="center"/>
          </w:tcPr>
          <w:p w14:paraId="3918996D">
            <w:pPr>
              <w:pageBreakBefore w:val="0"/>
              <w:widowControl w:val="0"/>
              <w:kinsoku/>
              <w:overflowPunct/>
              <w:bidi w:val="0"/>
              <w:spacing w:line="420" w:lineRule="exact"/>
              <w:ind w:firstLine="0" w:firstLineChars="0"/>
              <w:textAlignment w:val="auto"/>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color w:val="auto"/>
                <w:szCs w:val="21"/>
              </w:rPr>
              <w:t>建筑光伏集电线路不应穿越具有火灾、爆炸危险的房间。</w:t>
            </w:r>
          </w:p>
        </w:tc>
        <w:tc>
          <w:tcPr>
            <w:tcW w:w="1130" w:type="pct"/>
            <w:noWrap w:val="0"/>
            <w:vAlign w:val="center"/>
          </w:tcPr>
          <w:p w14:paraId="61F668E0">
            <w:pPr>
              <w:pageBreakBefore w:val="0"/>
              <w:widowControl w:val="0"/>
              <w:kinsoku/>
              <w:wordWrap w:val="0"/>
              <w:overflowPunct/>
              <w:bidi w:val="0"/>
              <w:spacing w:line="420" w:lineRule="exact"/>
              <w:ind w:firstLine="0" w:firstLineChars="0"/>
              <w:textAlignment w:val="auto"/>
              <w:rPr>
                <w:rFonts w:ascii="Times New Roman" w:hAnsi="Times New Roman" w:eastAsia="宋体" w:cs="Times New Roman"/>
                <w:color w:val="000000" w:themeColor="text1"/>
                <w14:textFill>
                  <w14:solidFill>
                    <w14:schemeClr w14:val="tx1"/>
                  </w14:solidFill>
                </w14:textFill>
              </w:rPr>
            </w:pPr>
            <w:r>
              <w:rPr>
                <w:rFonts w:hint="eastAsia"/>
                <w:color w:val="auto"/>
                <w:szCs w:val="21"/>
              </w:rPr>
              <w:t>《光伏发电工程劳动安全与职业卫生设计规范》（NB/T32040-2017）第4.0.7条</w:t>
            </w:r>
          </w:p>
        </w:tc>
        <w:tc>
          <w:tcPr>
            <w:tcW w:w="1523" w:type="pct"/>
            <w:noWrap w:val="0"/>
            <w:vAlign w:val="center"/>
          </w:tcPr>
          <w:p w14:paraId="7660352A">
            <w:pPr>
              <w:pageBreakBefore w:val="0"/>
              <w:widowControl w:val="0"/>
              <w:kinsoku/>
              <w:overflowPunct/>
              <w:bidi w:val="0"/>
              <w:spacing w:line="420" w:lineRule="exact"/>
              <w:ind w:firstLine="0" w:firstLineChars="0"/>
              <w:textAlignment w:val="auto"/>
              <w:rPr>
                <w:rFonts w:hint="eastAsia" w:ascii="Times New Roman" w:hAnsi="Times New Roman" w:eastAsia="宋体" w:cs="Times New Roman"/>
                <w:color w:val="000000" w:themeColor="text1"/>
                <w14:textFill>
                  <w14:solidFill>
                    <w14:schemeClr w14:val="tx1"/>
                  </w14:solidFill>
                </w14:textFill>
              </w:rPr>
            </w:pPr>
            <w:r>
              <w:rPr>
                <w:rFonts w:hint="eastAsia"/>
                <w:color w:val="auto"/>
                <w:szCs w:val="21"/>
                <w:lang w:eastAsia="zh-CN"/>
              </w:rPr>
              <w:t>集电线路</w:t>
            </w:r>
            <w:r>
              <w:rPr>
                <w:rFonts w:hint="eastAsia"/>
                <w:color w:val="auto"/>
                <w:szCs w:val="21"/>
              </w:rPr>
              <w:t>进入</w:t>
            </w:r>
            <w:r>
              <w:rPr>
                <w:rFonts w:hint="eastAsia"/>
                <w:color w:val="auto"/>
                <w:szCs w:val="21"/>
                <w:lang w:val="en-US" w:eastAsia="zh-CN"/>
              </w:rPr>
              <w:t>升压</w:t>
            </w:r>
            <w:r>
              <w:rPr>
                <w:rFonts w:hint="eastAsia"/>
                <w:color w:val="auto"/>
                <w:szCs w:val="21"/>
                <w:lang w:eastAsia="zh-CN"/>
              </w:rPr>
              <w:t>站</w:t>
            </w:r>
            <w:r>
              <w:rPr>
                <w:rFonts w:hint="eastAsia"/>
                <w:color w:val="auto"/>
                <w:szCs w:val="21"/>
              </w:rPr>
              <w:t>采用电缆沟进入配电室，不穿越其它建筑物。</w:t>
            </w:r>
          </w:p>
        </w:tc>
        <w:tc>
          <w:tcPr>
            <w:tcW w:w="428" w:type="pct"/>
            <w:noWrap w:val="0"/>
            <w:vAlign w:val="center"/>
          </w:tcPr>
          <w:p w14:paraId="3FD1888C">
            <w:pPr>
              <w:pageBreakBefore w:val="0"/>
              <w:widowControl w:val="0"/>
              <w:kinsoku/>
              <w:overflowPunct/>
              <w:bidi w:val="0"/>
              <w:spacing w:line="420" w:lineRule="exact"/>
              <w:ind w:firstLine="0" w:firstLineChars="0"/>
              <w:textAlignment w:val="auto"/>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color w:val="auto"/>
                <w:szCs w:val="21"/>
              </w:rPr>
              <w:t>符合</w:t>
            </w:r>
          </w:p>
        </w:tc>
      </w:tr>
      <w:tr w14:paraId="61A1F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5000" w:type="pct"/>
            <w:gridSpan w:val="5"/>
            <w:noWrap w:val="0"/>
            <w:vAlign w:val="center"/>
          </w:tcPr>
          <w:p w14:paraId="62604899">
            <w:pPr>
              <w:keepNext w:val="0"/>
              <w:keepLines w:val="0"/>
              <w:pageBreakBefore w:val="0"/>
              <w:widowControl w:val="0"/>
              <w:kinsoku/>
              <w:overflowPunct/>
              <w:bidi w:val="0"/>
              <w:spacing w:line="420" w:lineRule="exact"/>
              <w:ind w:firstLine="0" w:firstLineChars="0"/>
              <w:jc w:val="center"/>
              <w:textAlignment w:val="auto"/>
              <w:rPr>
                <w:rFonts w:hint="eastAsia"/>
                <w:color w:val="auto"/>
                <w:szCs w:val="21"/>
              </w:rPr>
            </w:pPr>
            <w:r>
              <w:rPr>
                <w:rFonts w:hint="eastAsia" w:cs="Times New Roman"/>
                <w:color w:val="000000" w:themeColor="text1"/>
                <w:sz w:val="21"/>
                <w:szCs w:val="21"/>
                <w:lang w:val="en-US" w:eastAsia="zh-CN"/>
                <w14:textFill>
                  <w14:solidFill>
                    <w14:schemeClr w14:val="tx1"/>
                  </w14:solidFill>
                </w14:textFill>
              </w:rPr>
              <w:t>六、变压器</w:t>
            </w:r>
          </w:p>
        </w:tc>
      </w:tr>
      <w:tr w14:paraId="0185B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287" w:type="pct"/>
            <w:noWrap w:val="0"/>
            <w:vAlign w:val="center"/>
          </w:tcPr>
          <w:p w14:paraId="5EEA123C">
            <w:pPr>
              <w:pageBreakBefore w:val="0"/>
              <w:widowControl w:val="0"/>
              <w:kinsoku/>
              <w:overflowPunct/>
              <w:bidi w:val="0"/>
              <w:spacing w:line="420" w:lineRule="exact"/>
              <w:ind w:firstLine="0" w:firstLineChars="0"/>
              <w:jc w:val="center"/>
              <w:textAlignment w:val="auto"/>
              <w:rPr>
                <w:rFonts w:hint="eastAsia" w:cs="宋体"/>
                <w:color w:val="000000" w:themeColor="text1"/>
                <w:kern w:val="0"/>
                <w:sz w:val="21"/>
                <w:szCs w:val="21"/>
                <w:lang w:val="en-US" w:eastAsia="zh-CN"/>
                <w14:textFill>
                  <w14:solidFill>
                    <w14:schemeClr w14:val="tx1"/>
                  </w14:solidFill>
                </w14:textFill>
              </w:rPr>
            </w:pPr>
            <w:r>
              <w:rPr>
                <w:rFonts w:ascii="宋体" w:hAnsi="宋体"/>
                <w:color w:val="auto"/>
                <w:szCs w:val="21"/>
              </w:rPr>
              <w:t>1</w:t>
            </w:r>
          </w:p>
        </w:tc>
        <w:tc>
          <w:tcPr>
            <w:tcW w:w="1631" w:type="pct"/>
            <w:noWrap w:val="0"/>
            <w:vAlign w:val="center"/>
          </w:tcPr>
          <w:p w14:paraId="3C74A96F">
            <w:pPr>
              <w:pageBreakBefore w:val="0"/>
              <w:widowControl w:val="0"/>
              <w:kinsoku/>
              <w:overflowPunct/>
              <w:bidi w:val="0"/>
              <w:spacing w:line="420" w:lineRule="exact"/>
              <w:ind w:firstLine="0" w:firstLineChars="0"/>
              <w:textAlignment w:val="auto"/>
              <w:rPr>
                <w:rFonts w:ascii="宋体" w:hAnsi="宋体"/>
                <w:color w:val="auto"/>
                <w:szCs w:val="21"/>
              </w:rPr>
            </w:pPr>
            <w:r>
              <w:rPr>
                <w:rFonts w:hint="eastAsia" w:ascii="宋体" w:hAnsi="宋体"/>
                <w:color w:val="auto"/>
                <w:szCs w:val="21"/>
              </w:rPr>
              <w:t>光伏发电站</w:t>
            </w:r>
            <w:r>
              <w:rPr>
                <w:rFonts w:hint="eastAsia" w:ascii="宋体" w:hAnsi="宋体"/>
                <w:color w:val="auto"/>
                <w:szCs w:val="21"/>
                <w:lang w:val="en-US" w:eastAsia="zh-CN"/>
              </w:rPr>
              <w:t>升压</w:t>
            </w:r>
            <w:r>
              <w:rPr>
                <w:rFonts w:hint="eastAsia" w:ascii="宋体" w:hAnsi="宋体"/>
                <w:color w:val="auto"/>
                <w:szCs w:val="21"/>
              </w:rPr>
              <w:t>站主变压器的选择应符合下列要求：</w:t>
            </w:r>
          </w:p>
          <w:p w14:paraId="55B1EAE7">
            <w:pPr>
              <w:pageBreakBefore w:val="0"/>
              <w:widowControl w:val="0"/>
              <w:kinsoku/>
              <w:overflowPunct/>
              <w:bidi w:val="0"/>
              <w:spacing w:line="420" w:lineRule="exact"/>
              <w:ind w:firstLine="0" w:firstLineChars="0"/>
              <w:textAlignment w:val="auto"/>
              <w:rPr>
                <w:rFonts w:ascii="宋体" w:hAnsi="宋体"/>
                <w:color w:val="auto"/>
                <w:szCs w:val="21"/>
              </w:rPr>
            </w:pPr>
            <w:r>
              <w:rPr>
                <w:rFonts w:ascii="宋体" w:hAnsi="宋体"/>
                <w:color w:val="auto"/>
                <w:szCs w:val="21"/>
              </w:rPr>
              <w:t>1</w:t>
            </w:r>
            <w:r>
              <w:rPr>
                <w:rFonts w:hint="eastAsia" w:ascii="宋体" w:hAnsi="宋体"/>
                <w:color w:val="auto"/>
                <w:szCs w:val="21"/>
              </w:rPr>
              <w:t>、应优先选用自冷式、低损耗电力变压器。</w:t>
            </w:r>
          </w:p>
          <w:p w14:paraId="758DBDAF">
            <w:pPr>
              <w:pageBreakBefore w:val="0"/>
              <w:widowControl w:val="0"/>
              <w:kinsoku/>
              <w:overflowPunct/>
              <w:bidi w:val="0"/>
              <w:spacing w:line="420" w:lineRule="exact"/>
              <w:ind w:firstLine="0" w:firstLineChars="0"/>
              <w:textAlignment w:val="auto"/>
              <w:rPr>
                <w:rFonts w:ascii="宋体" w:hAnsi="宋体"/>
                <w:color w:val="auto"/>
                <w:szCs w:val="21"/>
              </w:rPr>
            </w:pPr>
            <w:r>
              <w:rPr>
                <w:rFonts w:ascii="宋体" w:hAnsi="宋体"/>
                <w:color w:val="auto"/>
                <w:szCs w:val="21"/>
              </w:rPr>
              <w:t>2</w:t>
            </w:r>
            <w:r>
              <w:rPr>
                <w:rFonts w:hint="eastAsia" w:ascii="宋体" w:hAnsi="宋体"/>
                <w:color w:val="auto"/>
                <w:szCs w:val="21"/>
              </w:rPr>
              <w:t>、当无励磁调压电力变压器不能满足电力系统调压要求时，应采用有载调压电力变压器。</w:t>
            </w:r>
          </w:p>
          <w:p w14:paraId="24EFA2B9">
            <w:pPr>
              <w:pageBreakBefore w:val="0"/>
              <w:widowControl w:val="0"/>
              <w:kinsoku/>
              <w:overflowPunct/>
              <w:bidi w:val="0"/>
              <w:spacing w:line="420" w:lineRule="exact"/>
              <w:ind w:firstLine="0" w:firstLineChars="0"/>
              <w:textAlignment w:val="auto"/>
              <w:rPr>
                <w:rFonts w:hint="eastAsia"/>
                <w:color w:val="auto"/>
                <w:szCs w:val="21"/>
              </w:rPr>
            </w:pPr>
            <w:r>
              <w:rPr>
                <w:rFonts w:ascii="宋体" w:hAnsi="宋体"/>
                <w:color w:val="auto"/>
                <w:szCs w:val="21"/>
              </w:rPr>
              <w:t>3</w:t>
            </w:r>
            <w:r>
              <w:rPr>
                <w:rFonts w:hint="eastAsia" w:ascii="宋体" w:hAnsi="宋体"/>
                <w:color w:val="auto"/>
                <w:szCs w:val="21"/>
              </w:rPr>
              <w:t>、主变压器容量可按光伏发电站的最大连续输出容量进行选取，且宜选用标准容量。</w:t>
            </w:r>
          </w:p>
        </w:tc>
        <w:tc>
          <w:tcPr>
            <w:tcW w:w="1130" w:type="pct"/>
            <w:noWrap w:val="0"/>
            <w:vAlign w:val="center"/>
          </w:tcPr>
          <w:p w14:paraId="61B7C9F4">
            <w:pPr>
              <w:pageBreakBefore w:val="0"/>
              <w:widowControl w:val="0"/>
              <w:kinsoku/>
              <w:overflowPunct/>
              <w:bidi w:val="0"/>
              <w:spacing w:line="420" w:lineRule="exact"/>
              <w:ind w:firstLine="0" w:firstLineChars="0"/>
              <w:textAlignment w:val="auto"/>
              <w:rPr>
                <w:rFonts w:hint="eastAsia"/>
                <w:color w:val="auto"/>
                <w:szCs w:val="21"/>
              </w:rPr>
            </w:pPr>
            <w:r>
              <w:rPr>
                <w:rFonts w:hint="eastAsia" w:ascii="宋体" w:hAnsi="宋体"/>
                <w:color w:val="auto"/>
                <w:szCs w:val="21"/>
                <w:lang w:eastAsia="zh-CN"/>
              </w:rPr>
              <w:t>《光伏发电站设计标》（GB50797-2012[2024年局部修订]）</w:t>
            </w:r>
            <w:r>
              <w:rPr>
                <w:rFonts w:hint="eastAsia" w:ascii="宋体" w:hAnsi="宋体"/>
                <w:color w:val="auto"/>
                <w:szCs w:val="21"/>
              </w:rPr>
              <w:t>第</w:t>
            </w:r>
            <w:r>
              <w:rPr>
                <w:rFonts w:ascii="宋体" w:hAnsi="宋体"/>
                <w:color w:val="auto"/>
                <w:szCs w:val="21"/>
              </w:rPr>
              <w:t>8.1.2</w:t>
            </w:r>
            <w:r>
              <w:rPr>
                <w:rFonts w:hint="eastAsia" w:ascii="宋体" w:hAnsi="宋体"/>
                <w:color w:val="auto"/>
                <w:szCs w:val="21"/>
              </w:rPr>
              <w:t>条</w:t>
            </w:r>
          </w:p>
        </w:tc>
        <w:tc>
          <w:tcPr>
            <w:tcW w:w="1523" w:type="pct"/>
            <w:noWrap w:val="0"/>
            <w:vAlign w:val="center"/>
          </w:tcPr>
          <w:p w14:paraId="6234036B">
            <w:pPr>
              <w:pageBreakBefore w:val="0"/>
              <w:widowControl w:val="0"/>
              <w:kinsoku/>
              <w:overflowPunct/>
              <w:bidi w:val="0"/>
              <w:spacing w:line="420" w:lineRule="exact"/>
              <w:ind w:firstLine="0" w:firstLineChars="0"/>
              <w:textAlignment w:val="auto"/>
              <w:rPr>
                <w:rFonts w:hint="eastAsia"/>
                <w:color w:val="auto"/>
                <w:szCs w:val="21"/>
                <w:lang w:eastAsia="zh-CN"/>
              </w:rPr>
            </w:pPr>
            <w:r>
              <w:rPr>
                <w:rFonts w:hint="eastAsia" w:ascii="宋体" w:hAnsi="宋体"/>
                <w:color w:val="auto"/>
                <w:szCs w:val="21"/>
                <w:lang w:val="en-US" w:eastAsia="zh-CN"/>
              </w:rPr>
              <w:t>本期新建1台35KV箱式变压器</w:t>
            </w:r>
          </w:p>
        </w:tc>
        <w:tc>
          <w:tcPr>
            <w:tcW w:w="428" w:type="pct"/>
            <w:noWrap w:val="0"/>
            <w:vAlign w:val="center"/>
          </w:tcPr>
          <w:p w14:paraId="6F194E98">
            <w:pPr>
              <w:pageBreakBefore w:val="0"/>
              <w:widowControl w:val="0"/>
              <w:kinsoku/>
              <w:overflowPunct/>
              <w:bidi w:val="0"/>
              <w:spacing w:line="420" w:lineRule="exact"/>
              <w:ind w:firstLine="0" w:firstLineChars="0"/>
              <w:textAlignment w:val="auto"/>
              <w:rPr>
                <w:rFonts w:hint="eastAsia"/>
                <w:color w:val="auto"/>
                <w:szCs w:val="21"/>
              </w:rPr>
            </w:pPr>
            <w:r>
              <w:rPr>
                <w:rFonts w:hint="eastAsia" w:ascii="宋体" w:hAnsi="宋体"/>
                <w:color w:val="auto"/>
                <w:szCs w:val="21"/>
                <w:lang w:val="en-US" w:eastAsia="zh-CN"/>
              </w:rPr>
              <w:t>符合</w:t>
            </w:r>
          </w:p>
        </w:tc>
      </w:tr>
      <w:tr w14:paraId="10522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287" w:type="pct"/>
            <w:noWrap w:val="0"/>
            <w:vAlign w:val="center"/>
          </w:tcPr>
          <w:p w14:paraId="665FCB48">
            <w:pPr>
              <w:pageBreakBefore w:val="0"/>
              <w:widowControl w:val="0"/>
              <w:kinsoku/>
              <w:overflowPunct/>
              <w:bidi w:val="0"/>
              <w:spacing w:line="420" w:lineRule="exact"/>
              <w:ind w:firstLine="0" w:firstLineChars="0"/>
              <w:jc w:val="center"/>
              <w:textAlignment w:val="auto"/>
              <w:rPr>
                <w:rFonts w:hint="eastAsia" w:cs="宋体"/>
                <w:color w:val="000000" w:themeColor="text1"/>
                <w:kern w:val="0"/>
                <w:sz w:val="21"/>
                <w:szCs w:val="21"/>
                <w:lang w:val="en-US" w:eastAsia="zh-CN"/>
                <w14:textFill>
                  <w14:solidFill>
                    <w14:schemeClr w14:val="tx1"/>
                  </w14:solidFill>
                </w14:textFill>
              </w:rPr>
            </w:pPr>
            <w:r>
              <w:rPr>
                <w:rFonts w:ascii="宋体" w:hAnsi="宋体"/>
                <w:color w:val="auto"/>
                <w:szCs w:val="21"/>
              </w:rPr>
              <w:t>2</w:t>
            </w:r>
          </w:p>
        </w:tc>
        <w:tc>
          <w:tcPr>
            <w:tcW w:w="1631" w:type="pct"/>
            <w:noWrap w:val="0"/>
            <w:vAlign w:val="center"/>
          </w:tcPr>
          <w:p w14:paraId="74AC8CD1">
            <w:pPr>
              <w:pageBreakBefore w:val="0"/>
              <w:widowControl w:val="0"/>
              <w:kinsoku/>
              <w:overflowPunct/>
              <w:bidi w:val="0"/>
              <w:spacing w:line="420" w:lineRule="exact"/>
              <w:ind w:firstLine="0" w:firstLineChars="0"/>
              <w:textAlignment w:val="auto"/>
              <w:rPr>
                <w:rFonts w:hint="eastAsia" w:ascii="宋体" w:hAnsi="宋体" w:eastAsia="宋体" w:cs="Times New Roman"/>
                <w:color w:val="auto"/>
                <w:szCs w:val="21"/>
              </w:rPr>
            </w:pPr>
            <w:r>
              <w:rPr>
                <w:rFonts w:hint="eastAsia" w:ascii="宋体" w:hAnsi="宋体" w:eastAsia="宋体" w:cs="Times New Roman"/>
                <w:color w:val="auto"/>
                <w:szCs w:val="21"/>
              </w:rPr>
              <w:t>光伏方阵内就地升压变压器的选择应符合下列要求</w:t>
            </w:r>
            <w:r>
              <w:rPr>
                <w:rFonts w:hint="eastAsia" w:ascii="宋体" w:hAnsi="宋体" w:eastAsia="宋体" w:cs="Times New Roman"/>
                <w:color w:val="auto"/>
                <w:szCs w:val="21"/>
                <w:lang w:eastAsia="zh-CN"/>
              </w:rPr>
              <w:t>：</w:t>
            </w:r>
            <w:r>
              <w:rPr>
                <w:rFonts w:hint="eastAsia" w:ascii="宋体" w:hAnsi="宋体" w:eastAsia="宋体" w:cs="Times New Roman"/>
                <w:color w:val="auto"/>
                <w:szCs w:val="21"/>
                <w:lang w:val="en-US" w:eastAsia="zh-CN"/>
              </w:rPr>
              <w:t>1</w:t>
            </w:r>
            <w:r>
              <w:rPr>
                <w:rFonts w:hint="eastAsia" w:ascii="宋体" w:hAnsi="宋体" w:eastAsia="宋体" w:cs="Times New Roman"/>
                <w:color w:val="auto"/>
                <w:szCs w:val="21"/>
              </w:rPr>
              <w:t>宜选用自冷式、低损耗电力变压器。</w:t>
            </w:r>
          </w:p>
          <w:p w14:paraId="79C58BA6">
            <w:pPr>
              <w:pageBreakBefore w:val="0"/>
              <w:widowControl w:val="0"/>
              <w:kinsoku/>
              <w:overflowPunct/>
              <w:bidi w:val="0"/>
              <w:spacing w:line="420" w:lineRule="exact"/>
              <w:ind w:firstLine="0" w:firstLineChars="0"/>
              <w:textAlignment w:val="auto"/>
              <w:rPr>
                <w:rFonts w:hint="eastAsia" w:ascii="宋体" w:hAnsi="宋体" w:eastAsia="宋体" w:cs="Times New Roman"/>
                <w:color w:val="auto"/>
                <w:szCs w:val="21"/>
              </w:rPr>
            </w:pPr>
            <w:r>
              <w:rPr>
                <w:rFonts w:hint="eastAsia" w:ascii="宋体" w:hAnsi="宋体" w:cs="Times New Roman"/>
                <w:color w:val="auto"/>
                <w:szCs w:val="21"/>
                <w:lang w:val="en-US" w:eastAsia="zh-CN"/>
              </w:rPr>
              <w:t>2、</w:t>
            </w:r>
            <w:r>
              <w:rPr>
                <w:rFonts w:hint="eastAsia" w:ascii="宋体" w:hAnsi="宋体" w:eastAsia="宋体" w:cs="Times New Roman"/>
                <w:color w:val="auto"/>
                <w:szCs w:val="21"/>
              </w:rPr>
              <w:t>变压器容量宜按光伏方阵单元最大连续输出功率选取。3宜选用高压</w:t>
            </w:r>
            <w:r>
              <w:rPr>
                <w:rFonts w:hint="eastAsia" w:ascii="宋体" w:hAnsi="宋体" w:eastAsia="宋体" w:cs="Times New Roman"/>
                <w:color w:val="auto"/>
                <w:szCs w:val="21"/>
                <w:lang w:eastAsia="zh-CN"/>
              </w:rPr>
              <w:t>（</w:t>
            </w:r>
            <w:r>
              <w:rPr>
                <w:rFonts w:hint="eastAsia" w:ascii="宋体" w:hAnsi="宋体" w:eastAsia="宋体" w:cs="Times New Roman"/>
                <w:color w:val="auto"/>
                <w:szCs w:val="21"/>
              </w:rPr>
              <w:t>低压</w:t>
            </w:r>
            <w:r>
              <w:rPr>
                <w:rFonts w:hint="eastAsia" w:ascii="宋体" w:hAnsi="宋体" w:eastAsia="宋体" w:cs="Times New Roman"/>
                <w:color w:val="auto"/>
                <w:szCs w:val="21"/>
                <w:lang w:eastAsia="zh-CN"/>
              </w:rPr>
              <w:t>）</w:t>
            </w:r>
            <w:r>
              <w:rPr>
                <w:rFonts w:hint="eastAsia" w:ascii="宋体" w:hAnsi="宋体" w:eastAsia="宋体" w:cs="Times New Roman"/>
                <w:color w:val="auto"/>
                <w:szCs w:val="21"/>
              </w:rPr>
              <w:t>预装式箱式变电站或变压器、高低压电气设备等组成的装配式变电站。防护等级不应低于IP54。</w:t>
            </w:r>
          </w:p>
          <w:p w14:paraId="58499F74">
            <w:pPr>
              <w:pageBreakBefore w:val="0"/>
              <w:widowControl w:val="0"/>
              <w:kinsoku/>
              <w:overflowPunct/>
              <w:bidi w:val="0"/>
              <w:spacing w:line="420" w:lineRule="exact"/>
              <w:ind w:firstLine="0" w:firstLineChars="0"/>
              <w:textAlignment w:val="auto"/>
              <w:rPr>
                <w:rFonts w:hint="eastAsia"/>
                <w:color w:val="auto"/>
                <w:szCs w:val="21"/>
              </w:rPr>
            </w:pPr>
            <w:r>
              <w:rPr>
                <w:rFonts w:hint="eastAsia" w:ascii="宋体" w:hAnsi="宋体" w:eastAsia="宋体" w:cs="Times New Roman"/>
                <w:color w:val="auto"/>
                <w:szCs w:val="21"/>
              </w:rPr>
              <w:t>4 就地升压变压器可采用双绕组变压器</w:t>
            </w:r>
            <w:r>
              <w:rPr>
                <w:rFonts w:hint="eastAsia" w:ascii="宋体" w:hAnsi="宋体" w:eastAsia="宋体" w:cs="Times New Roman"/>
                <w:color w:val="auto"/>
                <w:szCs w:val="21"/>
                <w:lang w:eastAsia="zh-CN"/>
              </w:rPr>
              <w:t>，</w:t>
            </w:r>
            <w:r>
              <w:rPr>
                <w:rFonts w:hint="eastAsia" w:ascii="宋体" w:hAnsi="宋体" w:eastAsia="宋体" w:cs="Times New Roman"/>
                <w:color w:val="auto"/>
                <w:szCs w:val="21"/>
              </w:rPr>
              <w:t>当多台没有高环流抑制功能的集中式或集散式逆变器直接接</w:t>
            </w:r>
            <w:r>
              <w:rPr>
                <w:rFonts w:hint="eastAsia" w:ascii="宋体" w:hAnsi="宋体" w:eastAsia="宋体" w:cs="Times New Roman"/>
                <w:color w:val="auto"/>
                <w:szCs w:val="21"/>
                <w:lang w:val="en-US" w:eastAsia="zh-CN"/>
              </w:rPr>
              <w:t>入</w:t>
            </w:r>
            <w:r>
              <w:rPr>
                <w:rFonts w:hint="eastAsia" w:ascii="宋体" w:hAnsi="宋体" w:eastAsia="宋体" w:cs="Times New Roman"/>
                <w:color w:val="auto"/>
                <w:szCs w:val="21"/>
              </w:rPr>
              <w:t>同一台就地升压变压器时</w:t>
            </w:r>
            <w:r>
              <w:rPr>
                <w:rFonts w:hint="eastAsia" w:ascii="宋体" w:hAnsi="宋体" w:eastAsia="宋体" w:cs="Times New Roman"/>
                <w:color w:val="auto"/>
                <w:szCs w:val="21"/>
                <w:lang w:eastAsia="zh-CN"/>
              </w:rPr>
              <w:t>，</w:t>
            </w:r>
            <w:r>
              <w:rPr>
                <w:rFonts w:hint="eastAsia" w:ascii="宋体" w:hAnsi="宋体" w:eastAsia="宋体" w:cs="Times New Roman"/>
                <w:color w:val="auto"/>
                <w:szCs w:val="21"/>
              </w:rPr>
              <w:t>就地升压变压器应采用分裂变压器，且其分裂系数不宜低于3。</w:t>
            </w:r>
            <w:r>
              <w:rPr>
                <w:rFonts w:hint="eastAsia" w:ascii="宋体" w:hAnsi="宋体" w:eastAsia="宋体" w:cs="Times New Roman"/>
                <w:color w:val="auto"/>
                <w:szCs w:val="21"/>
                <w:lang w:val="en-US" w:eastAsia="zh-CN"/>
              </w:rPr>
              <w:t>5</w:t>
            </w:r>
            <w:r>
              <w:rPr>
                <w:rFonts w:hint="eastAsia" w:ascii="宋体" w:hAnsi="宋体" w:cs="Times New Roman"/>
                <w:color w:val="auto"/>
                <w:szCs w:val="21"/>
                <w:lang w:val="en-US" w:eastAsia="zh-CN"/>
              </w:rPr>
              <w:t>、</w:t>
            </w:r>
            <w:r>
              <w:rPr>
                <w:rFonts w:hint="eastAsia" w:ascii="宋体" w:hAnsi="宋体" w:eastAsia="宋体" w:cs="Times New Roman"/>
                <w:color w:val="auto"/>
                <w:szCs w:val="21"/>
              </w:rPr>
              <w:t>就地升压变压器宜选用无励磁调压变压器</w:t>
            </w:r>
            <w:r>
              <w:rPr>
                <w:rFonts w:hint="eastAsia" w:ascii="宋体" w:hAnsi="宋体" w:cs="Times New Roman"/>
                <w:color w:val="auto"/>
                <w:szCs w:val="21"/>
                <w:lang w:eastAsia="zh-CN"/>
              </w:rPr>
              <w:t>。</w:t>
            </w:r>
            <w:r>
              <w:rPr>
                <w:rFonts w:hint="eastAsia" w:ascii="宋体" w:hAnsi="宋体" w:eastAsia="宋体" w:cs="Times New Roman"/>
                <w:color w:val="auto"/>
                <w:szCs w:val="21"/>
                <w:lang w:val="en-US" w:eastAsia="zh-CN"/>
              </w:rPr>
              <w:t>6</w:t>
            </w:r>
            <w:r>
              <w:rPr>
                <w:rFonts w:hint="eastAsia" w:ascii="宋体" w:hAnsi="宋体" w:cs="Times New Roman"/>
                <w:color w:val="auto"/>
                <w:szCs w:val="21"/>
                <w:lang w:val="en-US" w:eastAsia="zh-CN"/>
              </w:rPr>
              <w:t>、</w:t>
            </w:r>
            <w:r>
              <w:rPr>
                <w:rFonts w:hint="eastAsia" w:ascii="宋体" w:hAnsi="宋体" w:eastAsia="宋体" w:cs="Times New Roman"/>
                <w:color w:val="auto"/>
                <w:szCs w:val="21"/>
              </w:rPr>
              <w:t>就地升压变压器应具备电气隔离功能</w:t>
            </w:r>
            <w:r>
              <w:rPr>
                <w:rFonts w:hint="eastAsia" w:ascii="宋体" w:hAnsi="宋体" w:eastAsia="宋体" w:cs="Times New Roman"/>
                <w:color w:val="auto"/>
                <w:szCs w:val="21"/>
                <w:lang w:eastAsia="zh-CN"/>
              </w:rPr>
              <w:t>，</w:t>
            </w:r>
            <w:r>
              <w:rPr>
                <w:rFonts w:hint="eastAsia" w:ascii="宋体" w:hAnsi="宋体" w:eastAsia="宋体" w:cs="Times New Roman"/>
                <w:color w:val="auto"/>
                <w:szCs w:val="21"/>
              </w:rPr>
              <w:t>不应采用自耦变</w:t>
            </w:r>
            <w:r>
              <w:rPr>
                <w:rFonts w:hint="eastAsia" w:ascii="宋体" w:hAnsi="宋体" w:eastAsia="宋体" w:cs="Times New Roman"/>
                <w:color w:val="auto"/>
                <w:szCs w:val="21"/>
                <w:lang w:val="en-US" w:eastAsia="zh-CN"/>
              </w:rPr>
              <w:t>压器</w:t>
            </w:r>
            <w:r>
              <w:rPr>
                <w:rFonts w:hint="eastAsia" w:ascii="宋体" w:hAnsi="宋体" w:eastAsia="宋体" w:cs="Times New Roman"/>
                <w:color w:val="auto"/>
                <w:szCs w:val="21"/>
              </w:rPr>
              <w:t>。</w:t>
            </w:r>
          </w:p>
        </w:tc>
        <w:tc>
          <w:tcPr>
            <w:tcW w:w="1130" w:type="pct"/>
            <w:noWrap w:val="0"/>
            <w:vAlign w:val="center"/>
          </w:tcPr>
          <w:p w14:paraId="1F998C00">
            <w:pPr>
              <w:pageBreakBefore w:val="0"/>
              <w:widowControl w:val="0"/>
              <w:kinsoku/>
              <w:overflowPunct/>
              <w:bidi w:val="0"/>
              <w:spacing w:line="420" w:lineRule="exact"/>
              <w:ind w:firstLine="0" w:firstLineChars="0"/>
              <w:textAlignment w:val="auto"/>
              <w:rPr>
                <w:rFonts w:hint="eastAsia"/>
                <w:color w:val="auto"/>
                <w:szCs w:val="21"/>
              </w:rPr>
            </w:pPr>
            <w:r>
              <w:rPr>
                <w:rFonts w:hint="eastAsia" w:ascii="宋体" w:hAnsi="宋体"/>
                <w:color w:val="auto"/>
                <w:szCs w:val="21"/>
                <w:lang w:eastAsia="zh-CN"/>
              </w:rPr>
              <w:t>《光伏发电站设计标》（GB50797-2012[2024年局部修订]）</w:t>
            </w:r>
            <w:r>
              <w:rPr>
                <w:rFonts w:hint="eastAsia" w:ascii="宋体" w:hAnsi="宋体"/>
                <w:color w:val="auto"/>
                <w:szCs w:val="21"/>
              </w:rPr>
              <w:t>第</w:t>
            </w:r>
            <w:r>
              <w:rPr>
                <w:rFonts w:ascii="宋体" w:hAnsi="宋体"/>
                <w:color w:val="auto"/>
                <w:szCs w:val="21"/>
              </w:rPr>
              <w:t>8.1.3</w:t>
            </w:r>
            <w:r>
              <w:rPr>
                <w:rFonts w:hint="eastAsia" w:ascii="宋体" w:hAnsi="宋体"/>
                <w:color w:val="auto"/>
                <w:szCs w:val="21"/>
              </w:rPr>
              <w:t>条</w:t>
            </w:r>
          </w:p>
        </w:tc>
        <w:tc>
          <w:tcPr>
            <w:tcW w:w="1523" w:type="pct"/>
            <w:noWrap w:val="0"/>
            <w:vAlign w:val="center"/>
          </w:tcPr>
          <w:p w14:paraId="2DF7D445">
            <w:pPr>
              <w:pageBreakBefore w:val="0"/>
              <w:widowControl w:val="0"/>
              <w:kinsoku/>
              <w:overflowPunct/>
              <w:bidi w:val="0"/>
              <w:spacing w:line="420" w:lineRule="exact"/>
              <w:ind w:firstLine="0" w:firstLineChars="0"/>
              <w:textAlignment w:val="auto"/>
              <w:rPr>
                <w:rFonts w:hint="eastAsia"/>
                <w:color w:val="auto"/>
                <w:szCs w:val="21"/>
                <w:lang w:eastAsia="zh-CN"/>
              </w:rPr>
            </w:pPr>
            <w:r>
              <w:rPr>
                <w:rFonts w:hint="eastAsia" w:ascii="宋体" w:hAnsi="宋体"/>
                <w:color w:val="auto"/>
                <w:szCs w:val="21"/>
              </w:rPr>
              <w:t>方阵内升压设备采用箱式</w:t>
            </w:r>
            <w:r>
              <w:rPr>
                <w:rFonts w:hint="eastAsia" w:ascii="宋体" w:hAnsi="宋体"/>
                <w:color w:val="auto"/>
                <w:szCs w:val="21"/>
                <w:lang w:val="en-US" w:eastAsia="zh-CN"/>
              </w:rPr>
              <w:t>变压器</w:t>
            </w:r>
            <w:r>
              <w:rPr>
                <w:rFonts w:hint="eastAsia" w:ascii="宋体" w:hAnsi="宋体"/>
                <w:color w:val="auto"/>
                <w:szCs w:val="21"/>
              </w:rPr>
              <w:t>模式，箱变内配置高压、低压配电设备共</w:t>
            </w:r>
            <w:r>
              <w:rPr>
                <w:rFonts w:hint="eastAsia" w:ascii="宋体" w:hAnsi="宋体"/>
                <w:color w:val="auto"/>
                <w:szCs w:val="21"/>
                <w:lang w:val="en-US" w:eastAsia="zh-CN"/>
              </w:rPr>
              <w:t>41</w:t>
            </w:r>
            <w:r>
              <w:rPr>
                <w:rFonts w:hint="eastAsia" w:ascii="宋体" w:hAnsi="宋体"/>
                <w:color w:val="auto"/>
                <w:szCs w:val="21"/>
              </w:rPr>
              <w:t>台。</w:t>
            </w:r>
          </w:p>
        </w:tc>
        <w:tc>
          <w:tcPr>
            <w:tcW w:w="428" w:type="pct"/>
            <w:noWrap w:val="0"/>
            <w:vAlign w:val="center"/>
          </w:tcPr>
          <w:p w14:paraId="154370C7">
            <w:pPr>
              <w:pageBreakBefore w:val="0"/>
              <w:widowControl w:val="0"/>
              <w:kinsoku/>
              <w:overflowPunct/>
              <w:bidi w:val="0"/>
              <w:spacing w:line="420" w:lineRule="exact"/>
              <w:ind w:firstLine="0" w:firstLineChars="0"/>
              <w:textAlignment w:val="auto"/>
              <w:rPr>
                <w:rFonts w:hint="eastAsia"/>
                <w:color w:val="auto"/>
                <w:szCs w:val="21"/>
              </w:rPr>
            </w:pPr>
            <w:r>
              <w:rPr>
                <w:rFonts w:hint="eastAsia" w:ascii="宋体" w:hAnsi="宋体"/>
                <w:color w:val="auto"/>
                <w:szCs w:val="21"/>
              </w:rPr>
              <w:t>符合</w:t>
            </w:r>
          </w:p>
        </w:tc>
      </w:tr>
      <w:bookmarkEnd w:id="432"/>
      <w:bookmarkEnd w:id="433"/>
      <w:bookmarkEnd w:id="434"/>
      <w:bookmarkEnd w:id="435"/>
    </w:tbl>
    <w:p w14:paraId="708AA741">
      <w:pPr>
        <w:pStyle w:val="10"/>
        <w:keepNext w:val="0"/>
        <w:keepLines w:val="0"/>
        <w:pageBreakBefore w:val="0"/>
        <w:widowControl w:val="0"/>
        <w:kinsoku/>
        <w:wordWrap/>
        <w:overflowPunct/>
        <w:topLinePunct w:val="0"/>
        <w:autoSpaceDE/>
        <w:autoSpaceDN/>
        <w:bidi w:val="0"/>
        <w:adjustRightInd/>
        <w:snapToGrid/>
        <w:spacing w:after="0" w:line="420" w:lineRule="exact"/>
        <w:ind w:right="102" w:firstLine="54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pacing w:val="-5"/>
          <w:sz w:val="28"/>
          <w:szCs w:val="28"/>
          <w14:textFill>
            <w14:solidFill>
              <w14:schemeClr w14:val="tx1"/>
            </w14:solidFill>
          </w14:textFill>
        </w:rPr>
        <w:t>评价分析：针对</w:t>
      </w:r>
      <w:r>
        <w:rPr>
          <w:rFonts w:hint="eastAsia" w:ascii="宋体" w:hAnsi="宋体" w:eastAsia="宋体" w:cs="宋体"/>
          <w:color w:val="000000" w:themeColor="text1"/>
          <w:spacing w:val="-5"/>
          <w:sz w:val="28"/>
          <w:szCs w:val="28"/>
          <w:lang w:val="en-US" w:eastAsia="zh-CN"/>
          <w14:textFill>
            <w14:solidFill>
              <w14:schemeClr w14:val="tx1"/>
            </w14:solidFill>
          </w14:textFill>
        </w:rPr>
        <w:t>光伏发电系统</w:t>
      </w:r>
      <w:r>
        <w:rPr>
          <w:rFonts w:hint="eastAsia" w:ascii="宋体" w:hAnsi="宋体" w:eastAsia="宋体" w:cs="宋体"/>
          <w:color w:val="000000" w:themeColor="text1"/>
          <w:spacing w:val="-5"/>
          <w:sz w:val="28"/>
          <w:szCs w:val="28"/>
          <w14:textFill>
            <w14:solidFill>
              <w14:schemeClr w14:val="tx1"/>
            </w14:solidFill>
          </w14:textFill>
        </w:rPr>
        <w:t>安全检查表内的</w:t>
      </w:r>
      <w:r>
        <w:rPr>
          <w:rFonts w:hint="eastAsia" w:ascii="宋体" w:hAnsi="宋体" w:eastAsia="宋体" w:cs="宋体"/>
          <w:color w:val="000000" w:themeColor="text1"/>
          <w:spacing w:val="-61"/>
          <w:sz w:val="28"/>
          <w:szCs w:val="28"/>
          <w14:textFill>
            <w14:solidFill>
              <w14:schemeClr w14:val="tx1"/>
            </w14:solidFill>
          </w14:textFill>
        </w:rPr>
        <w:t xml:space="preserve"> </w:t>
      </w:r>
      <w:r>
        <w:rPr>
          <w:rFonts w:hint="eastAsia" w:ascii="宋体" w:hAnsi="宋体" w:cs="宋体"/>
          <w:color w:val="000000" w:themeColor="text1"/>
          <w:spacing w:val="-5"/>
          <w:sz w:val="28"/>
          <w:szCs w:val="28"/>
          <w:lang w:val="en-US" w:eastAsia="zh-CN"/>
          <w14:textFill>
            <w14:solidFill>
              <w14:schemeClr w14:val="tx1"/>
            </w14:solidFill>
          </w14:textFill>
        </w:rPr>
        <w:t>20</w:t>
      </w:r>
      <w:r>
        <w:rPr>
          <w:rFonts w:hint="eastAsia" w:ascii="宋体" w:hAnsi="宋体" w:eastAsia="宋体" w:cs="宋体"/>
          <w:color w:val="000000" w:themeColor="text1"/>
          <w:spacing w:val="-5"/>
          <w:sz w:val="28"/>
          <w:szCs w:val="28"/>
          <w14:textFill>
            <w14:solidFill>
              <w14:schemeClr w14:val="tx1"/>
            </w14:solidFill>
          </w14:textFill>
        </w:rPr>
        <w:t>项内容，其中</w:t>
      </w:r>
      <w:r>
        <w:rPr>
          <w:rFonts w:hint="eastAsia" w:ascii="宋体" w:hAnsi="宋体" w:cs="宋体"/>
          <w:color w:val="000000" w:themeColor="text1"/>
          <w:spacing w:val="-57"/>
          <w:sz w:val="28"/>
          <w:szCs w:val="28"/>
          <w:lang w:val="en-US" w:eastAsia="zh-CN"/>
          <w14:textFill>
            <w14:solidFill>
              <w14:schemeClr w14:val="tx1"/>
            </w14:solidFill>
          </w14:textFill>
        </w:rPr>
        <w:t>20</w:t>
      </w:r>
      <w:r>
        <w:rPr>
          <w:rFonts w:hint="eastAsia" w:ascii="宋体" w:hAnsi="宋体" w:eastAsia="宋体" w:cs="宋体"/>
          <w:color w:val="000000" w:themeColor="text1"/>
          <w:spacing w:val="-5"/>
          <w:sz w:val="28"/>
          <w:szCs w:val="28"/>
          <w14:textFill>
            <w14:solidFill>
              <w14:schemeClr w14:val="tx1"/>
            </w14:solidFill>
          </w14:textFill>
        </w:rPr>
        <w:t>项</w:t>
      </w:r>
      <w:r>
        <w:rPr>
          <w:rFonts w:hint="eastAsia" w:ascii="宋体" w:hAnsi="宋体" w:eastAsia="宋体" w:cs="宋体"/>
          <w:color w:val="000000" w:themeColor="text1"/>
          <w:spacing w:val="-6"/>
          <w:sz w:val="28"/>
          <w:szCs w:val="28"/>
          <w14:textFill>
            <w14:solidFill>
              <w14:schemeClr w14:val="tx1"/>
            </w14:solidFill>
          </w14:textFill>
        </w:rPr>
        <w:t>合格，</w:t>
      </w:r>
      <w:r>
        <w:rPr>
          <w:rFonts w:hint="eastAsia" w:ascii="宋体" w:hAnsi="宋体" w:eastAsia="宋体" w:cs="宋体"/>
          <w:color w:val="000000" w:themeColor="text1"/>
          <w:spacing w:val="-6"/>
          <w:sz w:val="28"/>
          <w:szCs w:val="28"/>
          <w:lang w:val="en-US" w:eastAsia="zh-CN"/>
          <w14:textFill>
            <w14:solidFill>
              <w14:schemeClr w14:val="tx1"/>
            </w14:solidFill>
          </w14:textFill>
        </w:rPr>
        <w:t>0</w:t>
      </w:r>
      <w:r>
        <w:rPr>
          <w:rFonts w:hint="eastAsia" w:ascii="宋体" w:hAnsi="宋体" w:eastAsia="宋体" w:cs="宋体"/>
          <w:color w:val="000000" w:themeColor="text1"/>
          <w:spacing w:val="-6"/>
          <w:sz w:val="28"/>
          <w:szCs w:val="28"/>
          <w14:textFill>
            <w14:solidFill>
              <w14:schemeClr w14:val="tx1"/>
            </w14:solidFill>
          </w14:textFill>
        </w:rPr>
        <w:t>项不</w:t>
      </w:r>
      <w:r>
        <w:rPr>
          <w:rFonts w:hint="eastAsia" w:ascii="宋体" w:hAnsi="宋体" w:eastAsia="宋体" w:cs="宋体"/>
          <w:color w:val="000000" w:themeColor="text1"/>
          <w:spacing w:val="-4"/>
          <w:sz w:val="28"/>
          <w:szCs w:val="28"/>
          <w14:textFill>
            <w14:solidFill>
              <w14:schemeClr w14:val="tx1"/>
            </w14:solidFill>
          </w14:textFill>
        </w:rPr>
        <w:t>合格。</w:t>
      </w:r>
    </w:p>
    <w:p w14:paraId="558836A4">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436" w:name="_Toc22887"/>
      <w:r>
        <w:rPr>
          <w:rFonts w:hint="eastAsia" w:ascii="宋体" w:hAnsi="宋体" w:eastAsia="宋体" w:cs="宋体"/>
          <w:b/>
          <w:bCs w:val="0"/>
          <w:color w:val="000000" w:themeColor="text1"/>
          <w:sz w:val="30"/>
          <w:szCs w:val="30"/>
          <w:lang w:val="en-US" w:eastAsia="zh-CN"/>
          <w14:textFill>
            <w14:solidFill>
              <w14:schemeClr w14:val="tx1"/>
            </w14:solidFill>
          </w14:textFill>
        </w:rPr>
        <w:t>5.4.2单元小结</w:t>
      </w:r>
      <w:bookmarkEnd w:id="436"/>
    </w:p>
    <w:p w14:paraId="2D12FC60">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本光伏电站发电系统中光伏组件、光伏阵列、逆变器等具有相应的出厂合格证、安装说明、运行维护说明等技术文件。据相关技术资料及现场检测，其质量符合有关规范及技术标准要求，光伏组件的组装、安装按</w:t>
      </w:r>
      <w:r>
        <w:rPr>
          <w:rFonts w:hint="eastAsia" w:ascii="宋体" w:hAnsi="宋体" w:eastAsia="宋体" w:cs="宋体"/>
          <w:color w:val="000000" w:themeColor="text1"/>
          <w:sz w:val="28"/>
          <w:szCs w:val="28"/>
          <w14:textFill>
            <w14:solidFill>
              <w14:schemeClr w14:val="tx1"/>
            </w14:solidFill>
          </w14:textFill>
        </w:rPr>
        <w:t>设计要求进行；光伏支架采用固定式，倾角2</w:t>
      </w: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14:textFill>
            <w14:solidFill>
              <w14:schemeClr w14:val="tx1"/>
            </w14:solidFill>
          </w14:textFill>
        </w:rPr>
        <w:t>°；逆变器等设备的调试和试运行按厂家及规范要求进行，试运行至今基本正常。</w:t>
      </w:r>
    </w:p>
    <w:p w14:paraId="5869070A">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该电站光伏发电系统充分考虑了太阳辐照度、气候特征、场地面积及运行等综合因素，采用国产575/580Wp的多晶硅光伏组件，光伏发电系统满足《光伏发电站设计规范》（GB50797-2012）要求。</w:t>
      </w:r>
    </w:p>
    <w:p w14:paraId="78B18282">
      <w:pPr>
        <w:pageBreakBefore w:val="0"/>
        <w:widowControl w:val="0"/>
        <w:kinsoku/>
        <w:wordWrap/>
        <w:overflowPunct/>
        <w:topLinePunct w:val="0"/>
        <w:autoSpaceDE/>
        <w:autoSpaceDN/>
        <w:bidi w:val="0"/>
        <w:spacing w:line="420" w:lineRule="exact"/>
        <w:jc w:val="left"/>
        <w:textAlignment w:val="auto"/>
        <w:outlineLvl w:val="1"/>
        <w:rPr>
          <w:rFonts w:hint="eastAsia"/>
          <w:color w:val="000000" w:themeColor="text1"/>
          <w:sz w:val="28"/>
          <w:szCs w:val="28"/>
          <w:lang w:val="en-US" w:eastAsia="zh-CN"/>
          <w14:textFill>
            <w14:solidFill>
              <w14:schemeClr w14:val="tx1"/>
            </w14:solidFill>
          </w14:textFill>
        </w:rPr>
      </w:pPr>
      <w:bookmarkStart w:id="437" w:name="_Toc15363"/>
      <w:r>
        <w:rPr>
          <w:rFonts w:hint="eastAsia" w:ascii="宋体" w:hAnsi="宋体" w:eastAsia="宋体" w:cs="宋体"/>
          <w:b/>
          <w:bCs/>
          <w:color w:val="000000" w:themeColor="text1"/>
          <w:sz w:val="32"/>
          <w:szCs w:val="32"/>
          <w:lang w:val="en-US" w:eastAsia="zh-CN"/>
          <w14:textFill>
            <w14:solidFill>
              <w14:schemeClr w14:val="tx1"/>
            </w14:solidFill>
          </w14:textFill>
        </w:rPr>
        <w:t>5.5安全设施设备验收单元</w:t>
      </w:r>
      <w:bookmarkEnd w:id="437"/>
    </w:p>
    <w:p w14:paraId="3CC2FD93">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default" w:ascii="Times New Roman" w:hAnsi="宋体" w:eastAsia="宋体" w:cs="Times New Roman"/>
          <w:color w:val="000000" w:themeColor="text1"/>
          <w:sz w:val="28"/>
          <w:szCs w:val="28"/>
          <w:lang w:val="en-US" w:eastAsia="zh-CN"/>
          <w14:textFill>
            <w14:solidFill>
              <w14:schemeClr w14:val="tx1"/>
            </w14:solidFill>
          </w14:textFill>
        </w:rPr>
      </w:pPr>
      <w:r>
        <w:rPr>
          <w:rFonts w:hint="default" w:ascii="Times New Roman" w:hAnsi="宋体" w:eastAsia="宋体" w:cs="Times New Roman"/>
          <w:color w:val="000000" w:themeColor="text1"/>
          <w:sz w:val="28"/>
          <w:szCs w:val="28"/>
          <w:lang w:val="en-US" w:eastAsia="zh-CN"/>
          <w14:textFill>
            <w14:solidFill>
              <w14:schemeClr w14:val="tx1"/>
            </w14:solidFill>
          </w14:textFill>
        </w:rPr>
        <w:t>安全设备设施验收单元包括了防火及防爆设施、防雷接地装置、安全工器具及个体防护三个子单元。</w:t>
      </w:r>
    </w:p>
    <w:p w14:paraId="2E9E6A6E">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lang w:val="en-US" w:eastAsia="zh-CN"/>
          <w14:textFill>
            <w14:solidFill>
              <w14:schemeClr w14:val="tx1"/>
            </w14:solidFill>
          </w14:textFill>
        </w:rPr>
      </w:pPr>
      <w:bookmarkStart w:id="438" w:name="_Toc32627"/>
      <w:bookmarkStart w:id="439" w:name="_Toc5081"/>
      <w:r>
        <w:rPr>
          <w:rFonts w:hint="eastAsia" w:ascii="宋体" w:hAnsi="宋体" w:eastAsia="宋体" w:cs="宋体"/>
          <w:b/>
          <w:bCs w:val="0"/>
          <w:color w:val="000000" w:themeColor="text1"/>
          <w:sz w:val="30"/>
          <w:szCs w:val="30"/>
          <w:lang w:val="en-US" w:eastAsia="zh-CN"/>
          <w14:textFill>
            <w14:solidFill>
              <w14:schemeClr w14:val="tx1"/>
            </w14:solidFill>
          </w14:textFill>
        </w:rPr>
        <w:t>5.5.1防火及防爆设施子单元</w:t>
      </w:r>
      <w:bookmarkEnd w:id="438"/>
      <w:bookmarkEnd w:id="439"/>
    </w:p>
    <w:p w14:paraId="26621F98">
      <w:pPr>
        <w:pageBreakBefore w:val="0"/>
        <w:widowControl w:val="0"/>
        <w:kinsoku/>
        <w:wordWrap/>
        <w:overflowPunct/>
        <w:topLinePunct w:val="0"/>
        <w:autoSpaceDE/>
        <w:autoSpaceDN/>
        <w:bidi w:val="0"/>
        <w:spacing w:line="420" w:lineRule="exact"/>
        <w:textAlignment w:val="auto"/>
        <w:outlineLvl w:val="9"/>
        <w:rPr>
          <w:rFonts w:hint="eastAsia" w:ascii="宋体" w:hAnsi="宋体" w:eastAsia="宋体" w:cs="宋体"/>
          <w:b/>
          <w:bCs/>
          <w:snapToGrid/>
          <w:color w:val="000000" w:themeColor="text1"/>
          <w:sz w:val="28"/>
          <w:szCs w:val="28"/>
          <w14:textFill>
            <w14:solidFill>
              <w14:schemeClr w14:val="tx1"/>
            </w14:solidFill>
          </w14:textFill>
        </w:rPr>
      </w:pPr>
      <w:r>
        <w:rPr>
          <w:rFonts w:hint="eastAsia" w:ascii="宋体" w:hAnsi="宋体" w:eastAsia="宋体" w:cs="宋体"/>
          <w:b/>
          <w:color w:val="000000" w:themeColor="text1"/>
          <w:sz w:val="28"/>
          <w:szCs w:val="28"/>
          <w:lang w:val="en-US" w:eastAsia="zh-CN"/>
          <w14:textFill>
            <w14:solidFill>
              <w14:schemeClr w14:val="tx1"/>
            </w14:solidFill>
          </w14:textFill>
        </w:rPr>
        <w:t>5.5.1.1</w:t>
      </w:r>
      <w:r>
        <w:rPr>
          <w:rFonts w:hint="eastAsia" w:ascii="宋体" w:hAnsi="宋体" w:eastAsia="宋体" w:cs="宋体"/>
          <w:b/>
          <w:color w:val="000000" w:themeColor="text1"/>
          <w:sz w:val="28"/>
          <w:szCs w:val="28"/>
          <w14:textFill>
            <w14:solidFill>
              <w14:schemeClr w14:val="tx1"/>
            </w14:solidFill>
          </w14:textFill>
        </w:rPr>
        <w:t>防火及防爆设施子单元安全检查表</w:t>
      </w:r>
    </w:p>
    <w:p w14:paraId="5D0148D5">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电站的防火防爆设施有灭火器、火灾报警系统、设备防雷接地等。</w:t>
      </w:r>
    </w:p>
    <w:p w14:paraId="60286CA8">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根据《中华人民共和国消防法</w:t>
      </w:r>
      <w:r>
        <w:rPr>
          <w:rFonts w:hint="eastAsia" w:ascii="宋体" w:hAnsi="宋体" w:eastAsia="宋体" w:cs="宋体"/>
          <w:color w:val="000000" w:themeColor="text1"/>
          <w:sz w:val="28"/>
          <w:szCs w:val="28"/>
          <w:lang w:eastAsia="zh-CN"/>
          <w14:textFill>
            <w14:solidFill>
              <w14:schemeClr w14:val="tx1"/>
            </w14:solidFill>
          </w14:textFill>
        </w:rPr>
        <w:t>》《35kV～110kV变电站设计规范</w:t>
      </w:r>
      <w:r>
        <w:rPr>
          <w:rFonts w:hint="eastAsia" w:ascii="宋体" w:hAnsi="宋体" w:eastAsia="宋体" w:cs="宋体"/>
          <w:color w:val="000000" w:themeColor="text1"/>
          <w:sz w:val="28"/>
          <w:szCs w:val="28"/>
          <w14:textFill>
            <w14:solidFill>
              <w14:schemeClr w14:val="tx1"/>
            </w14:solidFill>
          </w14:textFill>
        </w:rPr>
        <w:t>》（GB50059-2011）、《3~110kV高压配电装置设计规范》（GB50060-2008）及《</w:t>
      </w:r>
      <w:r>
        <w:rPr>
          <w:rFonts w:hint="eastAsia" w:ascii="宋体" w:hAnsi="宋体" w:eastAsia="宋体" w:cs="宋体"/>
          <w:color w:val="000000" w:themeColor="text1"/>
          <w:sz w:val="28"/>
          <w:szCs w:val="28"/>
          <w:lang w:eastAsia="zh-CN"/>
          <w14:textFill>
            <w14:solidFill>
              <w14:schemeClr w14:val="tx1"/>
            </w14:solidFill>
          </w14:textFill>
        </w:rPr>
        <w:t>电力工程电缆设计标准</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eastAsia="zh-CN"/>
          <w14:textFill>
            <w14:solidFill>
              <w14:schemeClr w14:val="tx1"/>
            </w14:solidFill>
          </w14:textFill>
        </w:rPr>
        <w:t>GB 50217-2018</w:t>
      </w:r>
      <w:r>
        <w:rPr>
          <w:rFonts w:hint="eastAsia" w:ascii="宋体" w:hAnsi="宋体" w:eastAsia="宋体" w:cs="宋体"/>
          <w:color w:val="000000" w:themeColor="text1"/>
          <w:sz w:val="28"/>
          <w:szCs w:val="28"/>
          <w14:textFill>
            <w14:solidFill>
              <w14:schemeClr w14:val="tx1"/>
            </w14:solidFill>
          </w14:textFill>
        </w:rPr>
        <w:t>）等规范编制检查表，对电场工程防火、防爆措施进行对照检查。检查表见表5-</w:t>
      </w:r>
      <w:r>
        <w:rPr>
          <w:rFonts w:hint="eastAsia" w:ascii="宋体" w:hAnsi="宋体" w:eastAsia="宋体" w:cs="宋体"/>
          <w:color w:val="000000" w:themeColor="text1"/>
          <w:sz w:val="28"/>
          <w:szCs w:val="28"/>
          <w:lang w:val="en-US" w:eastAsia="zh-CN"/>
          <w14:textFill>
            <w14:solidFill>
              <w14:schemeClr w14:val="tx1"/>
            </w14:solidFill>
          </w14:textFill>
        </w:rPr>
        <w:t>5</w:t>
      </w:r>
      <w:r>
        <w:rPr>
          <w:rFonts w:hint="eastAsia" w:ascii="宋体" w:hAnsi="宋体" w:eastAsia="宋体" w:cs="宋体"/>
          <w:color w:val="000000" w:themeColor="text1"/>
          <w:sz w:val="28"/>
          <w:szCs w:val="28"/>
          <w14:textFill>
            <w14:solidFill>
              <w14:schemeClr w14:val="tx1"/>
            </w14:solidFill>
          </w14:textFill>
        </w:rPr>
        <w:t>。</w:t>
      </w:r>
    </w:p>
    <w:p w14:paraId="3ADFD959">
      <w:pPr>
        <w:pStyle w:val="8"/>
        <w:keepNext w:val="0"/>
        <w:keepLines w:val="0"/>
        <w:pageBreakBefore w:val="0"/>
        <w:widowControl w:val="0"/>
        <w:numPr>
          <w:ilvl w:val="0"/>
          <w:numId w:val="0"/>
        </w:numPr>
        <w:kinsoku/>
        <w:wordWrap/>
        <w:overflowPunct/>
        <w:topLinePunct w:val="0"/>
        <w:autoSpaceDE/>
        <w:autoSpaceDN/>
        <w:bidi w:val="0"/>
        <w:spacing w:line="420" w:lineRule="exact"/>
        <w:ind w:left="0" w:leftChars="0" w:firstLine="482" w:firstLineChars="200"/>
        <w:jc w:val="center"/>
        <w:textAlignment w:val="auto"/>
        <w:rPr>
          <w:rFonts w:hint="eastAsia" w:ascii="宋体" w:hAnsi="宋体"/>
          <w:color w:val="000000" w:themeColor="text1"/>
          <w:sz w:val="24"/>
          <w:szCs w:val="24"/>
          <w14:textFill>
            <w14:solidFill>
              <w14:schemeClr w14:val="tx1"/>
            </w14:solidFill>
          </w14:textFill>
        </w:rPr>
      </w:pPr>
      <w:r>
        <w:rPr>
          <w:color w:val="000000" w:themeColor="text1"/>
          <w14:textFill>
            <w14:solidFill>
              <w14:schemeClr w14:val="tx1"/>
            </w14:solidFill>
          </w14:textFill>
        </w:rPr>
        <w:t xml:space="preserve">表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5</w:t>
      </w:r>
      <w:r>
        <w:rPr>
          <w:rFonts w:hint="eastAsia" w:ascii="宋体" w:hAnsi="宋体"/>
          <w:color w:val="000000" w:themeColor="text1"/>
          <w:sz w:val="24"/>
          <w:szCs w:val="24"/>
          <w14:textFill>
            <w14:solidFill>
              <w14:schemeClr w14:val="tx1"/>
            </w14:solidFill>
          </w14:textFill>
        </w:rPr>
        <w:t>防火、防爆措施安全检查表</w:t>
      </w:r>
    </w:p>
    <w:tbl>
      <w:tblPr>
        <w:tblStyle w:val="2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57" w:type="dxa"/>
          <w:right w:w="108" w:type="dxa"/>
        </w:tblCellMar>
      </w:tblPr>
      <w:tblGrid>
        <w:gridCol w:w="627"/>
        <w:gridCol w:w="3754"/>
        <w:gridCol w:w="1984"/>
        <w:gridCol w:w="1977"/>
        <w:gridCol w:w="771"/>
      </w:tblGrid>
      <w:tr w14:paraId="6C176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blHeader/>
          <w:jc w:val="center"/>
        </w:trPr>
        <w:tc>
          <w:tcPr>
            <w:tcW w:w="344" w:type="pct"/>
            <w:noWrap w:val="0"/>
            <w:vAlign w:val="center"/>
          </w:tcPr>
          <w:p w14:paraId="4C04C96E">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序号</w:t>
            </w:r>
          </w:p>
        </w:tc>
        <w:tc>
          <w:tcPr>
            <w:tcW w:w="2059" w:type="pct"/>
            <w:noWrap w:val="0"/>
            <w:vAlign w:val="center"/>
          </w:tcPr>
          <w:p w14:paraId="62311AAD">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color w:val="000000" w:themeColor="text1"/>
                <w14:textFill>
                  <w14:solidFill>
                    <w14:schemeClr w14:val="tx1"/>
                  </w14:solidFill>
                </w14:textFill>
              </w:rPr>
              <w:t>检查内容</w:t>
            </w:r>
          </w:p>
        </w:tc>
        <w:tc>
          <w:tcPr>
            <w:tcW w:w="1088" w:type="pct"/>
            <w:noWrap w:val="0"/>
            <w:vAlign w:val="center"/>
          </w:tcPr>
          <w:p w14:paraId="39872146">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color w:val="000000" w:themeColor="text1"/>
                <w14:textFill>
                  <w14:solidFill>
                    <w14:schemeClr w14:val="tx1"/>
                  </w14:solidFill>
                </w14:textFill>
              </w:rPr>
              <w:t>检查依据</w:t>
            </w:r>
          </w:p>
        </w:tc>
        <w:tc>
          <w:tcPr>
            <w:tcW w:w="1084" w:type="pct"/>
            <w:noWrap w:val="0"/>
            <w:vAlign w:val="center"/>
          </w:tcPr>
          <w:p w14:paraId="39584BAE">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color w:val="000000" w:themeColor="text1"/>
                <w14:textFill>
                  <w14:solidFill>
                    <w14:schemeClr w14:val="tx1"/>
                  </w14:solidFill>
                </w14:textFill>
              </w:rPr>
              <w:t>检查情况</w:t>
            </w:r>
          </w:p>
        </w:tc>
        <w:tc>
          <w:tcPr>
            <w:tcW w:w="423" w:type="pct"/>
            <w:noWrap w:val="0"/>
            <w:vAlign w:val="center"/>
          </w:tcPr>
          <w:p w14:paraId="4B915EDA">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检查结果</w:t>
            </w:r>
          </w:p>
        </w:tc>
      </w:tr>
      <w:tr w14:paraId="4569A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344" w:type="pct"/>
            <w:noWrap w:val="0"/>
            <w:vAlign w:val="center"/>
          </w:tcPr>
          <w:p w14:paraId="411B62A6">
            <w:pPr>
              <w:pStyle w:val="30"/>
              <w:keepNext w:val="0"/>
              <w:keepLines w:val="0"/>
              <w:pageBreakBefore w:val="0"/>
              <w:widowControl w:val="0"/>
              <w:numPr>
                <w:ilvl w:val="0"/>
                <w:numId w:val="36"/>
              </w:numPr>
              <w:kinsoku/>
              <w:wordWrap/>
              <w:overflowPunct/>
              <w:topLinePunct w:val="0"/>
              <w:autoSpaceDE/>
              <w:autoSpaceDN/>
              <w:bidi w:val="0"/>
              <w:spacing w:line="480" w:lineRule="exact"/>
              <w:ind w:left="425" w:leftChars="0" w:hanging="425" w:firstLineChars="0"/>
              <w:textAlignment w:val="auto"/>
              <w:rPr>
                <w:color w:val="000000" w:themeColor="text1"/>
                <w14:textFill>
                  <w14:solidFill>
                    <w14:schemeClr w14:val="tx1"/>
                  </w14:solidFill>
                </w14:textFill>
              </w:rPr>
            </w:pPr>
          </w:p>
        </w:tc>
        <w:tc>
          <w:tcPr>
            <w:tcW w:w="2059" w:type="pct"/>
            <w:noWrap w:val="0"/>
            <w:vAlign w:val="center"/>
          </w:tcPr>
          <w:p w14:paraId="11A4C24B">
            <w:pPr>
              <w:pStyle w:val="30"/>
              <w:keepNext w:val="0"/>
              <w:keepLines w:val="0"/>
              <w:pageBreakBefore w:val="0"/>
              <w:widowControl w:val="0"/>
              <w:kinsoku/>
              <w:wordWrap/>
              <w:overflowPunct/>
              <w:topLinePunct w:val="0"/>
              <w:autoSpaceDE/>
              <w:autoSpaceDN/>
              <w:bidi w:val="0"/>
              <w:spacing w:line="480" w:lineRule="exact"/>
              <w:jc w:val="both"/>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按照国家工程建设消防技术标准需要进行消防设计的建设工程竣工，依照下列规定进行消防验收、备案：</w:t>
            </w:r>
          </w:p>
          <w:p w14:paraId="0E26E3B3">
            <w:pPr>
              <w:pStyle w:val="30"/>
              <w:keepNext w:val="0"/>
              <w:keepLines w:val="0"/>
              <w:pageBreakBefore w:val="0"/>
              <w:widowControl w:val="0"/>
              <w:kinsoku/>
              <w:wordWrap/>
              <w:overflowPunct/>
              <w:topLinePunct w:val="0"/>
              <w:autoSpaceDE/>
              <w:autoSpaceDN/>
              <w:bidi w:val="0"/>
              <w:spacing w:line="480" w:lineRule="exact"/>
              <w:jc w:val="both"/>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（一）本法第十一条规定的建设工程，</w:t>
            </w:r>
          </w:p>
          <w:p w14:paraId="452FF9A0">
            <w:pPr>
              <w:pStyle w:val="30"/>
              <w:keepNext w:val="0"/>
              <w:keepLines w:val="0"/>
              <w:pageBreakBefore w:val="0"/>
              <w:widowControl w:val="0"/>
              <w:kinsoku/>
              <w:wordWrap/>
              <w:overflowPunct/>
              <w:topLinePunct w:val="0"/>
              <w:autoSpaceDE/>
              <w:autoSpaceDN/>
              <w:bidi w:val="0"/>
              <w:spacing w:line="480" w:lineRule="exact"/>
              <w:jc w:val="both"/>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建设单位应当向公安机关消防机构申请消防验收；（二）其他建设工程，建设单位在验收后应当报公安机关消防机构备案，公安机关消防机构应当进行抽查。依法应当进行消防验收的建设工程，未经消防验收或者消防验收不合格的，禁止投入使用；其他建设工程经依法抽查不合格的，应当停止使用。</w:t>
            </w:r>
          </w:p>
        </w:tc>
        <w:tc>
          <w:tcPr>
            <w:tcW w:w="1088" w:type="pct"/>
            <w:noWrap w:val="0"/>
            <w:vAlign w:val="center"/>
          </w:tcPr>
          <w:p w14:paraId="513C727A">
            <w:pPr>
              <w:pStyle w:val="30"/>
              <w:keepNext w:val="0"/>
              <w:keepLines w:val="0"/>
              <w:pageBreakBefore w:val="0"/>
              <w:widowControl w:val="0"/>
              <w:kinsoku/>
              <w:wordWrap/>
              <w:overflowPunct/>
              <w:topLinePunct w:val="0"/>
              <w:autoSpaceDE/>
              <w:autoSpaceDN/>
              <w:bidi w:val="0"/>
              <w:spacing w:line="480" w:lineRule="exact"/>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《中华人民共和国</w:t>
            </w:r>
          </w:p>
          <w:p w14:paraId="161A6CF6">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消防法》（中华</w:t>
            </w:r>
            <w:r>
              <w:rPr>
                <w:rFonts w:hint="eastAsia"/>
                <w:color w:val="000000" w:themeColor="text1"/>
                <w:lang w:eastAsia="zh-CN"/>
                <w14:textFill>
                  <w14:solidFill>
                    <w14:schemeClr w14:val="tx1"/>
                  </w14:solidFill>
                </w14:textFill>
              </w:rPr>
              <w:t>人</w:t>
            </w:r>
            <w:r>
              <w:rPr>
                <w:rFonts w:hint="eastAsia"/>
                <w:color w:val="000000" w:themeColor="text1"/>
                <w14:textFill>
                  <w14:solidFill>
                    <w14:schemeClr w14:val="tx1"/>
                  </w14:solidFill>
                </w14:textFill>
              </w:rPr>
              <w:t>民共和国主席令第6号）第13条</w:t>
            </w:r>
          </w:p>
        </w:tc>
        <w:tc>
          <w:tcPr>
            <w:tcW w:w="1084" w:type="pct"/>
            <w:noWrap w:val="0"/>
            <w:vAlign w:val="center"/>
          </w:tcPr>
          <w:p w14:paraId="09DA6F56">
            <w:pPr>
              <w:pStyle w:val="30"/>
              <w:keepNext w:val="0"/>
              <w:keepLines w:val="0"/>
              <w:pageBreakBefore w:val="0"/>
              <w:widowControl w:val="0"/>
              <w:kinsoku/>
              <w:wordWrap/>
              <w:overflowPunct/>
              <w:topLinePunct w:val="0"/>
              <w:autoSpaceDE/>
              <w:autoSpaceDN/>
              <w:bidi w:val="0"/>
              <w:spacing w:line="480" w:lineRule="exact"/>
              <w:textAlignment w:val="auto"/>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云盘</w:t>
            </w:r>
            <w:r>
              <w:rPr>
                <w:rFonts w:hint="eastAsia"/>
                <w:color w:val="000000" w:themeColor="text1"/>
                <w14:textFill>
                  <w14:solidFill>
                    <w14:schemeClr w14:val="tx1"/>
                  </w14:solidFill>
                </w14:textFill>
              </w:rPr>
              <w:t>光伏电站项目由于无房屋建筑、无升压站，按照《建设工程消防设计审查验收管理暂行规定》(建设部令58号)相关规定，无需办理消防备案</w:t>
            </w:r>
            <w:r>
              <w:rPr>
                <w:rFonts w:hint="eastAsia"/>
                <w:color w:val="000000" w:themeColor="text1"/>
                <w:lang w:eastAsia="zh-CN"/>
                <w14:textFill>
                  <w14:solidFill>
                    <w14:schemeClr w14:val="tx1"/>
                  </w14:solidFill>
                </w14:textFill>
              </w:rPr>
              <w:t>。</w:t>
            </w:r>
          </w:p>
        </w:tc>
        <w:tc>
          <w:tcPr>
            <w:tcW w:w="423" w:type="pct"/>
            <w:noWrap w:val="0"/>
            <w:vAlign w:val="center"/>
          </w:tcPr>
          <w:p w14:paraId="70C5FA19">
            <w:pPr>
              <w:pStyle w:val="30"/>
              <w:keepNext w:val="0"/>
              <w:keepLines w:val="0"/>
              <w:pageBreakBefore w:val="0"/>
              <w:widowControl w:val="0"/>
              <w:kinsoku/>
              <w:wordWrap/>
              <w:overflowPunct/>
              <w:topLinePunct w:val="0"/>
              <w:autoSpaceDE/>
              <w:autoSpaceDN/>
              <w:bidi w:val="0"/>
              <w:spacing w:line="480" w:lineRule="exact"/>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不涉及</w:t>
            </w:r>
          </w:p>
        </w:tc>
      </w:tr>
      <w:tr w14:paraId="666A1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92" w:hRule="atLeast"/>
          <w:jc w:val="center"/>
        </w:trPr>
        <w:tc>
          <w:tcPr>
            <w:tcW w:w="344" w:type="pct"/>
            <w:noWrap w:val="0"/>
            <w:vAlign w:val="center"/>
          </w:tcPr>
          <w:p w14:paraId="193BE71D">
            <w:pPr>
              <w:pStyle w:val="30"/>
              <w:keepNext w:val="0"/>
              <w:keepLines w:val="0"/>
              <w:pageBreakBefore w:val="0"/>
              <w:widowControl w:val="0"/>
              <w:numPr>
                <w:ilvl w:val="0"/>
                <w:numId w:val="36"/>
              </w:numPr>
              <w:kinsoku/>
              <w:wordWrap/>
              <w:overflowPunct/>
              <w:topLinePunct w:val="0"/>
              <w:autoSpaceDE/>
              <w:autoSpaceDN/>
              <w:bidi w:val="0"/>
              <w:spacing w:line="480" w:lineRule="exact"/>
              <w:ind w:left="425" w:leftChars="0" w:hanging="425" w:firstLineChars="0"/>
              <w:textAlignment w:val="auto"/>
              <w:rPr>
                <w:color w:val="000000" w:themeColor="text1"/>
                <w14:textFill>
                  <w14:solidFill>
                    <w14:schemeClr w14:val="tx1"/>
                  </w14:solidFill>
                </w14:textFill>
              </w:rPr>
            </w:pPr>
          </w:p>
        </w:tc>
        <w:tc>
          <w:tcPr>
            <w:tcW w:w="2059" w:type="pct"/>
            <w:noWrap w:val="0"/>
            <w:vAlign w:val="center"/>
          </w:tcPr>
          <w:p w14:paraId="41E4B12F">
            <w:pPr>
              <w:pStyle w:val="30"/>
              <w:keepNext w:val="0"/>
              <w:keepLines w:val="0"/>
              <w:pageBreakBefore w:val="0"/>
              <w:widowControl w:val="0"/>
              <w:kinsoku/>
              <w:wordWrap/>
              <w:overflowPunct/>
              <w:topLinePunct w:val="0"/>
              <w:autoSpaceDE/>
              <w:autoSpaceDN/>
              <w:bidi w:val="0"/>
              <w:spacing w:line="480" w:lineRule="exact"/>
              <w:jc w:val="both"/>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消防产品必须符合国家标准；没有国家标准的，必须符合行业标准。禁止生产、销售或者使用不合格的消防产品以及国家明令淘汰的消防产品。</w:t>
            </w:r>
          </w:p>
        </w:tc>
        <w:tc>
          <w:tcPr>
            <w:tcW w:w="1088" w:type="pct"/>
            <w:noWrap w:val="0"/>
            <w:vAlign w:val="center"/>
          </w:tcPr>
          <w:p w14:paraId="5FF5D838">
            <w:pPr>
              <w:pStyle w:val="30"/>
              <w:keepNext w:val="0"/>
              <w:keepLines w:val="0"/>
              <w:pageBreakBefore w:val="0"/>
              <w:widowControl w:val="0"/>
              <w:kinsoku/>
              <w:wordWrap/>
              <w:overflowPunct/>
              <w:topLinePunct w:val="0"/>
              <w:autoSpaceDE/>
              <w:autoSpaceDN/>
              <w:bidi w:val="0"/>
              <w:spacing w:line="480" w:lineRule="exact"/>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《中华人民共和国</w:t>
            </w:r>
          </w:p>
          <w:p w14:paraId="209D1CD2">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消防法》（中华人民共和国主席令第6号）第14条</w:t>
            </w:r>
          </w:p>
        </w:tc>
        <w:tc>
          <w:tcPr>
            <w:tcW w:w="1084" w:type="pct"/>
            <w:noWrap w:val="0"/>
            <w:vAlign w:val="center"/>
          </w:tcPr>
          <w:p w14:paraId="336649C6">
            <w:pPr>
              <w:pStyle w:val="30"/>
              <w:keepNext w:val="0"/>
              <w:keepLines w:val="0"/>
              <w:pageBreakBefore w:val="0"/>
              <w:widowControl w:val="0"/>
              <w:kinsoku/>
              <w:wordWrap/>
              <w:overflowPunct/>
              <w:topLinePunct w:val="0"/>
              <w:autoSpaceDE/>
              <w:autoSpaceDN/>
              <w:bidi w:val="0"/>
              <w:spacing w:line="480" w:lineRule="exact"/>
              <w:jc w:val="both"/>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电站配置的消防产品符合国家和行业标准，未发现使用不合格及淘汰产品。</w:t>
            </w:r>
          </w:p>
        </w:tc>
        <w:tc>
          <w:tcPr>
            <w:tcW w:w="423" w:type="pct"/>
            <w:noWrap w:val="0"/>
            <w:vAlign w:val="center"/>
          </w:tcPr>
          <w:p w14:paraId="74445A32">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48994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92" w:hRule="atLeast"/>
          <w:jc w:val="center"/>
        </w:trPr>
        <w:tc>
          <w:tcPr>
            <w:tcW w:w="344" w:type="pct"/>
            <w:noWrap w:val="0"/>
            <w:vAlign w:val="center"/>
          </w:tcPr>
          <w:p w14:paraId="39C67CC0">
            <w:pPr>
              <w:pStyle w:val="30"/>
              <w:keepNext w:val="0"/>
              <w:keepLines w:val="0"/>
              <w:pageBreakBefore w:val="0"/>
              <w:widowControl w:val="0"/>
              <w:numPr>
                <w:ilvl w:val="0"/>
                <w:numId w:val="36"/>
              </w:numPr>
              <w:kinsoku/>
              <w:wordWrap/>
              <w:overflowPunct/>
              <w:topLinePunct w:val="0"/>
              <w:autoSpaceDE/>
              <w:autoSpaceDN/>
              <w:bidi w:val="0"/>
              <w:spacing w:line="480" w:lineRule="exact"/>
              <w:ind w:left="425" w:leftChars="0" w:hanging="425" w:firstLineChars="0"/>
              <w:textAlignment w:val="auto"/>
              <w:rPr>
                <w:color w:val="000000" w:themeColor="text1"/>
                <w14:textFill>
                  <w14:solidFill>
                    <w14:schemeClr w14:val="tx1"/>
                  </w14:solidFill>
                </w14:textFill>
              </w:rPr>
            </w:pPr>
          </w:p>
        </w:tc>
        <w:tc>
          <w:tcPr>
            <w:tcW w:w="2059" w:type="pct"/>
            <w:noWrap w:val="0"/>
            <w:vAlign w:val="center"/>
          </w:tcPr>
          <w:p w14:paraId="2E6568EA">
            <w:pPr>
              <w:pStyle w:val="30"/>
              <w:keepNext w:val="0"/>
              <w:keepLines w:val="0"/>
              <w:pageBreakBefore w:val="0"/>
              <w:widowControl w:val="0"/>
              <w:kinsoku/>
              <w:wordWrap/>
              <w:overflowPunct/>
              <w:topLinePunct w:val="0"/>
              <w:autoSpaceDE/>
              <w:autoSpaceDN/>
              <w:bidi w:val="0"/>
              <w:spacing w:line="480" w:lineRule="exact"/>
              <w:jc w:val="both"/>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变电站应对主变压器等各种带油电气设备及建筑物，配备适当数量的移动式灭火器。对主控制室等设有精密仪器、仪表设备的房间，应在房间内或附近走廊内配置灭火后不会引起污损的灭火器。</w:t>
            </w:r>
          </w:p>
        </w:tc>
        <w:tc>
          <w:tcPr>
            <w:tcW w:w="1088" w:type="pct"/>
            <w:noWrap w:val="0"/>
            <w:vAlign w:val="center"/>
          </w:tcPr>
          <w:p w14:paraId="7E5E2863">
            <w:pPr>
              <w:pStyle w:val="30"/>
              <w:keepNext w:val="0"/>
              <w:keepLines w:val="0"/>
              <w:pageBreakBefore w:val="0"/>
              <w:widowControl w:val="0"/>
              <w:kinsoku/>
              <w:wordWrap/>
              <w:overflowPunct/>
              <w:topLinePunct w:val="0"/>
              <w:autoSpaceDE/>
              <w:autoSpaceDN/>
              <w:bidi w:val="0"/>
              <w:spacing w:line="480" w:lineRule="exact"/>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35kV～110kV变电站设计规范</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GB 50059-2011</w:t>
            </w:r>
            <w:r>
              <w:rPr>
                <w:rFonts w:hint="eastAsia"/>
                <w:color w:val="000000" w:themeColor="text1"/>
                <w14:textFill>
                  <w14:solidFill>
                    <w14:schemeClr w14:val="tx1"/>
                  </w14:solidFill>
                </w14:textFill>
              </w:rPr>
              <w:t>第5.0.3条</w:t>
            </w:r>
          </w:p>
        </w:tc>
        <w:tc>
          <w:tcPr>
            <w:tcW w:w="1084" w:type="pct"/>
            <w:noWrap w:val="0"/>
            <w:vAlign w:val="center"/>
          </w:tcPr>
          <w:p w14:paraId="216F109C">
            <w:pPr>
              <w:pStyle w:val="30"/>
              <w:keepNext w:val="0"/>
              <w:keepLines w:val="0"/>
              <w:pageBreakBefore w:val="0"/>
              <w:widowControl w:val="0"/>
              <w:kinsoku/>
              <w:wordWrap/>
              <w:overflowPunct/>
              <w:topLinePunct w:val="0"/>
              <w:autoSpaceDE/>
              <w:autoSpaceDN/>
              <w:bidi w:val="0"/>
              <w:spacing w:line="480" w:lineRule="exact"/>
              <w:jc w:val="both"/>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每个箱变采用了干粉灭火器2具</w:t>
            </w:r>
          </w:p>
        </w:tc>
        <w:tc>
          <w:tcPr>
            <w:tcW w:w="423" w:type="pct"/>
            <w:noWrap w:val="0"/>
            <w:vAlign w:val="center"/>
          </w:tcPr>
          <w:p w14:paraId="60CBD404">
            <w:pPr>
              <w:pStyle w:val="30"/>
              <w:keepNext w:val="0"/>
              <w:keepLines w:val="0"/>
              <w:pageBreakBefore w:val="0"/>
              <w:widowControl w:val="0"/>
              <w:kinsoku/>
              <w:wordWrap/>
              <w:overflowPunct/>
              <w:topLinePunct w:val="0"/>
              <w:autoSpaceDE/>
              <w:autoSpaceDN/>
              <w:bidi w:val="0"/>
              <w:spacing w:line="480" w:lineRule="exact"/>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bl>
    <w:p w14:paraId="3EF90E66">
      <w:pPr>
        <w:pStyle w:val="10"/>
        <w:keepNext w:val="0"/>
        <w:keepLines w:val="0"/>
        <w:pageBreakBefore w:val="0"/>
        <w:widowControl w:val="0"/>
        <w:kinsoku/>
        <w:wordWrap/>
        <w:overflowPunct/>
        <w:topLinePunct w:val="0"/>
        <w:autoSpaceDE/>
        <w:autoSpaceDN/>
        <w:bidi w:val="0"/>
        <w:adjustRightInd/>
        <w:snapToGrid/>
        <w:spacing w:after="0" w:line="420" w:lineRule="exact"/>
        <w:ind w:left="130" w:right="102" w:firstLine="559"/>
        <w:textAlignment w:val="auto"/>
        <w:rPr>
          <w:rFonts w:hint="eastAsia"/>
          <w:color w:val="000000" w:themeColor="text1"/>
          <w:sz w:val="28"/>
          <w:szCs w:val="28"/>
          <w14:textFill>
            <w14:solidFill>
              <w14:schemeClr w14:val="tx1"/>
            </w14:solidFill>
          </w14:textFill>
        </w:rPr>
      </w:pPr>
      <w:r>
        <w:rPr>
          <w:rFonts w:hint="eastAsia" w:ascii="宋体" w:hAnsi="宋体" w:eastAsia="宋体" w:cs="宋体"/>
          <w:color w:val="000000" w:themeColor="text1"/>
          <w:spacing w:val="-5"/>
          <w:sz w:val="28"/>
          <w:szCs w:val="28"/>
          <w14:textFill>
            <w14:solidFill>
              <w14:schemeClr w14:val="tx1"/>
            </w14:solidFill>
          </w14:textFill>
        </w:rPr>
        <w:t>评价分析：针对</w:t>
      </w:r>
      <w:r>
        <w:rPr>
          <w:rFonts w:hint="eastAsia" w:ascii="宋体" w:hAnsi="宋体" w:eastAsia="宋体" w:cs="宋体"/>
          <w:color w:val="000000" w:themeColor="text1"/>
          <w:spacing w:val="-5"/>
          <w:sz w:val="28"/>
          <w:szCs w:val="28"/>
          <w:lang w:val="en-US" w:eastAsia="zh-CN"/>
          <w14:textFill>
            <w14:solidFill>
              <w14:schemeClr w14:val="tx1"/>
            </w14:solidFill>
          </w14:textFill>
        </w:rPr>
        <w:t>防火、防爆设施子单元</w:t>
      </w:r>
      <w:r>
        <w:rPr>
          <w:rFonts w:hint="eastAsia" w:ascii="宋体" w:hAnsi="宋体" w:eastAsia="宋体" w:cs="宋体"/>
          <w:color w:val="000000" w:themeColor="text1"/>
          <w:spacing w:val="-5"/>
          <w:sz w:val="28"/>
          <w:szCs w:val="28"/>
          <w14:textFill>
            <w14:solidFill>
              <w14:schemeClr w14:val="tx1"/>
            </w14:solidFill>
          </w14:textFill>
        </w:rPr>
        <w:t>安全检查表内的</w:t>
      </w:r>
      <w:r>
        <w:rPr>
          <w:rFonts w:hint="eastAsia" w:ascii="宋体" w:hAnsi="宋体" w:eastAsia="宋体" w:cs="宋体"/>
          <w:color w:val="000000" w:themeColor="text1"/>
          <w:spacing w:val="-61"/>
          <w:sz w:val="28"/>
          <w:szCs w:val="28"/>
          <w14:textFill>
            <w14:solidFill>
              <w14:schemeClr w14:val="tx1"/>
            </w14:solidFill>
          </w14:textFill>
        </w:rPr>
        <w:t xml:space="preserve"> </w:t>
      </w:r>
      <w:r>
        <w:rPr>
          <w:rFonts w:hint="eastAsia" w:ascii="宋体" w:hAnsi="宋体" w:eastAsia="宋体" w:cs="宋体"/>
          <w:color w:val="000000" w:themeColor="text1"/>
          <w:spacing w:val="-5"/>
          <w:sz w:val="28"/>
          <w:szCs w:val="28"/>
          <w:lang w:val="en-US" w:eastAsia="zh-CN"/>
          <w14:textFill>
            <w14:solidFill>
              <w14:schemeClr w14:val="tx1"/>
            </w14:solidFill>
          </w14:textFill>
        </w:rPr>
        <w:t>3</w:t>
      </w:r>
      <w:r>
        <w:rPr>
          <w:rFonts w:hint="eastAsia" w:ascii="宋体" w:hAnsi="宋体" w:eastAsia="宋体" w:cs="宋体"/>
          <w:color w:val="000000" w:themeColor="text1"/>
          <w:spacing w:val="-5"/>
          <w:sz w:val="28"/>
          <w:szCs w:val="28"/>
          <w14:textFill>
            <w14:solidFill>
              <w14:schemeClr w14:val="tx1"/>
            </w14:solidFill>
          </w14:textFill>
        </w:rPr>
        <w:t>项内容，其中</w:t>
      </w:r>
      <w:r>
        <w:rPr>
          <w:rFonts w:hint="eastAsia" w:ascii="宋体" w:hAnsi="宋体" w:eastAsia="宋体" w:cs="宋体"/>
          <w:color w:val="000000" w:themeColor="text1"/>
          <w:spacing w:val="-57"/>
          <w:sz w:val="28"/>
          <w:szCs w:val="28"/>
          <w:lang w:val="en-US" w:eastAsia="zh-CN"/>
          <w14:textFill>
            <w14:solidFill>
              <w14:schemeClr w14:val="tx1"/>
            </w14:solidFill>
          </w14:textFill>
        </w:rPr>
        <w:t>3</w:t>
      </w:r>
      <w:r>
        <w:rPr>
          <w:rFonts w:hint="eastAsia" w:ascii="宋体" w:hAnsi="宋体" w:eastAsia="宋体" w:cs="宋体"/>
          <w:color w:val="000000" w:themeColor="text1"/>
          <w:spacing w:val="-5"/>
          <w:sz w:val="28"/>
          <w:szCs w:val="28"/>
          <w14:textFill>
            <w14:solidFill>
              <w14:schemeClr w14:val="tx1"/>
            </w14:solidFill>
          </w14:textFill>
        </w:rPr>
        <w:t>项</w:t>
      </w:r>
      <w:r>
        <w:rPr>
          <w:rFonts w:hint="eastAsia" w:ascii="宋体" w:hAnsi="宋体" w:eastAsia="宋体" w:cs="宋体"/>
          <w:color w:val="000000" w:themeColor="text1"/>
          <w:spacing w:val="-6"/>
          <w:sz w:val="28"/>
          <w:szCs w:val="28"/>
          <w14:textFill>
            <w14:solidFill>
              <w14:schemeClr w14:val="tx1"/>
            </w14:solidFill>
          </w14:textFill>
        </w:rPr>
        <w:t>合格，</w:t>
      </w:r>
      <w:r>
        <w:rPr>
          <w:rFonts w:hint="eastAsia" w:ascii="宋体" w:hAnsi="宋体" w:eastAsia="宋体" w:cs="宋体"/>
          <w:color w:val="000000" w:themeColor="text1"/>
          <w:spacing w:val="-6"/>
          <w:sz w:val="28"/>
          <w:szCs w:val="28"/>
          <w:lang w:val="en-US" w:eastAsia="zh-CN"/>
          <w14:textFill>
            <w14:solidFill>
              <w14:schemeClr w14:val="tx1"/>
            </w14:solidFill>
          </w14:textFill>
        </w:rPr>
        <w:t>0</w:t>
      </w:r>
      <w:r>
        <w:rPr>
          <w:rFonts w:hint="eastAsia" w:ascii="宋体" w:hAnsi="宋体" w:eastAsia="宋体" w:cs="宋体"/>
          <w:color w:val="000000" w:themeColor="text1"/>
          <w:spacing w:val="-6"/>
          <w:sz w:val="28"/>
          <w:szCs w:val="28"/>
          <w14:textFill>
            <w14:solidFill>
              <w14:schemeClr w14:val="tx1"/>
            </w14:solidFill>
          </w14:textFill>
        </w:rPr>
        <w:t>项不</w:t>
      </w:r>
      <w:r>
        <w:rPr>
          <w:rFonts w:hint="eastAsia" w:ascii="宋体" w:hAnsi="宋体" w:eastAsia="宋体" w:cs="宋体"/>
          <w:color w:val="000000" w:themeColor="text1"/>
          <w:spacing w:val="-4"/>
          <w:sz w:val="28"/>
          <w:szCs w:val="28"/>
          <w14:textFill>
            <w14:solidFill>
              <w14:schemeClr w14:val="tx1"/>
            </w14:solidFill>
          </w14:textFill>
        </w:rPr>
        <w:t>合格。</w:t>
      </w:r>
    </w:p>
    <w:p w14:paraId="57BC3350">
      <w:pPr>
        <w:pageBreakBefore w:val="0"/>
        <w:widowControl w:val="0"/>
        <w:numPr>
          <w:ilvl w:val="3"/>
          <w:numId w:val="0"/>
        </w:numPr>
        <w:tabs>
          <w:tab w:val="left" w:pos="420"/>
        </w:tabs>
        <w:kinsoku/>
        <w:wordWrap/>
        <w:overflowPunct/>
        <w:topLinePunct w:val="0"/>
        <w:autoSpaceDE/>
        <w:autoSpaceDN/>
        <w:bidi w:val="0"/>
        <w:adjustRightInd/>
        <w:snapToGrid/>
        <w:spacing w:line="420" w:lineRule="exact"/>
        <w:ind w:left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bCs/>
          <w:snapToGrid/>
          <w:color w:val="000000" w:themeColor="text1"/>
          <w:sz w:val="28"/>
          <w:szCs w:val="28"/>
          <w:lang w:val="en-US" w:eastAsia="zh-CN"/>
          <w14:textFill>
            <w14:solidFill>
              <w14:schemeClr w14:val="tx1"/>
            </w14:solidFill>
          </w14:textFill>
        </w:rPr>
        <w:t>5.5.1.2</w:t>
      </w:r>
      <w:r>
        <w:rPr>
          <w:rFonts w:hint="eastAsia" w:ascii="宋体" w:hAnsi="宋体" w:eastAsia="宋体" w:cs="宋体"/>
          <w:b/>
          <w:bCs/>
          <w:snapToGrid/>
          <w:color w:val="000000" w:themeColor="text1"/>
          <w:sz w:val="28"/>
          <w:szCs w:val="28"/>
          <w14:textFill>
            <w14:solidFill>
              <w14:schemeClr w14:val="tx1"/>
            </w14:solidFill>
          </w14:textFill>
        </w:rPr>
        <w:t>防火及防爆设施子单元小结</w:t>
      </w:r>
    </w:p>
    <w:p w14:paraId="04E60C7D">
      <w:pPr>
        <w:pStyle w:val="30"/>
        <w:keepNext w:val="0"/>
        <w:keepLines w:val="0"/>
        <w:pageBreakBefore w:val="0"/>
        <w:widowControl w:val="0"/>
        <w:kinsoku/>
        <w:wordWrap/>
        <w:overflowPunct/>
        <w:topLinePunct w:val="0"/>
        <w:autoSpaceDE/>
        <w:autoSpaceDN/>
        <w:bidi w:val="0"/>
        <w:adjustRightInd/>
        <w:snapToGrid/>
        <w:spacing w:line="420" w:lineRule="exact"/>
        <w:ind w:firstLine="280" w:firstLineChars="100"/>
        <w:jc w:val="both"/>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防火、防爆设施子单元符合《中华人民共和国消防法》、35kV～110kV变电站设计规范》的要求。</w:t>
      </w:r>
    </w:p>
    <w:p w14:paraId="3E619987">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440" w:name="_Toc22957"/>
      <w:bookmarkStart w:id="441" w:name="_Toc29061"/>
      <w:bookmarkStart w:id="442" w:name="_Toc25227"/>
      <w:r>
        <w:rPr>
          <w:rFonts w:hint="eastAsia" w:ascii="宋体" w:hAnsi="宋体" w:eastAsia="宋体" w:cs="宋体"/>
          <w:b/>
          <w:bCs w:val="0"/>
          <w:color w:val="000000" w:themeColor="text1"/>
          <w:sz w:val="30"/>
          <w:szCs w:val="30"/>
          <w:lang w:val="en-US" w:eastAsia="zh-CN"/>
          <w14:textFill>
            <w14:solidFill>
              <w14:schemeClr w14:val="tx1"/>
            </w14:solidFill>
          </w14:textFill>
        </w:rPr>
        <w:t>5.5.2</w:t>
      </w:r>
      <w:r>
        <w:rPr>
          <w:rFonts w:hint="eastAsia" w:ascii="宋体" w:hAnsi="宋体" w:eastAsia="宋体" w:cs="宋体"/>
          <w:b/>
          <w:bCs w:val="0"/>
          <w:color w:val="000000" w:themeColor="text1"/>
          <w:sz w:val="30"/>
          <w:szCs w:val="30"/>
          <w14:textFill>
            <w14:solidFill>
              <w14:schemeClr w14:val="tx1"/>
            </w14:solidFill>
          </w14:textFill>
        </w:rPr>
        <w:t>防雷、接地装置子单元</w:t>
      </w:r>
      <w:bookmarkEnd w:id="440"/>
      <w:bookmarkEnd w:id="441"/>
      <w:bookmarkEnd w:id="442"/>
    </w:p>
    <w:p w14:paraId="79DB349C">
      <w:pPr>
        <w:pageBreakBefore w:val="0"/>
        <w:widowControl w:val="0"/>
        <w:numPr>
          <w:ilvl w:val="3"/>
          <w:numId w:val="0"/>
        </w:numPr>
        <w:tabs>
          <w:tab w:val="left" w:pos="420"/>
        </w:tabs>
        <w:kinsoku/>
        <w:wordWrap/>
        <w:overflowPunct/>
        <w:topLinePunct w:val="0"/>
        <w:autoSpaceDE/>
        <w:autoSpaceDN/>
        <w:bidi w:val="0"/>
        <w:spacing w:line="420" w:lineRule="exact"/>
        <w:ind w:leftChars="0"/>
        <w:textAlignment w:val="auto"/>
        <w:outlineLvl w:val="9"/>
        <w:rPr>
          <w:b/>
          <w:bCs/>
          <w:color w:val="000000" w:themeColor="text1"/>
          <w:sz w:val="28"/>
          <w:szCs w:val="28"/>
          <w14:textFill>
            <w14:solidFill>
              <w14:schemeClr w14:val="tx1"/>
            </w14:solidFill>
          </w14:textFill>
        </w:rPr>
      </w:pPr>
      <w:r>
        <w:rPr>
          <w:rFonts w:hint="eastAsia"/>
          <w:b/>
          <w:bCs/>
          <w:color w:val="000000" w:themeColor="text1"/>
          <w:sz w:val="28"/>
          <w:szCs w:val="28"/>
          <w:lang w:val="en-US" w:eastAsia="zh-CN"/>
          <w14:textFill>
            <w14:solidFill>
              <w14:schemeClr w14:val="tx1"/>
            </w14:solidFill>
          </w14:textFill>
        </w:rPr>
        <w:t>5.5.2.1防雷、接地装置子</w:t>
      </w:r>
      <w:r>
        <w:rPr>
          <w:b/>
          <w:bCs/>
          <w:color w:val="000000" w:themeColor="text1"/>
          <w:sz w:val="28"/>
          <w:szCs w:val="28"/>
          <w14:textFill>
            <w14:solidFill>
              <w14:schemeClr w14:val="tx1"/>
            </w14:solidFill>
          </w14:textFill>
        </w:rPr>
        <w:t>单元安全检查表</w:t>
      </w:r>
    </w:p>
    <w:p w14:paraId="020467E2">
      <w:pPr>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依据《建筑物防雷设计规范》（GB500057-2010））、《交流电气装置的接地设计规范》（GB/T50065-2011）、《电气装置安装工程接地装置施工及验收规范》（</w:t>
      </w:r>
      <w:r>
        <w:rPr>
          <w:rFonts w:hint="eastAsia" w:ascii="宋体" w:hAnsi="宋体" w:eastAsia="宋体" w:cs="宋体"/>
          <w:color w:val="000000" w:themeColor="text1"/>
          <w:sz w:val="28"/>
          <w:szCs w:val="28"/>
          <w:lang w:eastAsia="zh-CN"/>
          <w14:textFill>
            <w14:solidFill>
              <w14:schemeClr w14:val="tx1"/>
            </w14:solidFill>
          </w14:textFill>
        </w:rPr>
        <w:t>GB 50169-2016</w:t>
      </w:r>
      <w:r>
        <w:rPr>
          <w:rFonts w:hint="eastAsia" w:ascii="宋体" w:hAnsi="宋体" w:eastAsia="宋体" w:cs="宋体"/>
          <w:color w:val="000000" w:themeColor="text1"/>
          <w:sz w:val="28"/>
          <w:szCs w:val="28"/>
          <w14:textFill>
            <w14:solidFill>
              <w14:schemeClr w14:val="tx1"/>
            </w14:solidFill>
          </w14:textFill>
        </w:rPr>
        <w:t>）及《防雷减灾管理办法》等规范，对本光伏电站防雷设施进行对照检查。</w:t>
      </w:r>
    </w:p>
    <w:p w14:paraId="18FB8ADE">
      <w:pPr>
        <w:pStyle w:val="8"/>
        <w:keepNext w:val="0"/>
        <w:keepLines w:val="0"/>
        <w:pageBreakBefore w:val="0"/>
        <w:widowControl w:val="0"/>
        <w:numPr>
          <w:ilvl w:val="0"/>
          <w:numId w:val="0"/>
        </w:numPr>
        <w:kinsoku/>
        <w:wordWrap/>
        <w:overflowPunct/>
        <w:topLinePunct w:val="0"/>
        <w:autoSpaceDE/>
        <w:autoSpaceDN/>
        <w:bidi w:val="0"/>
        <w:spacing w:line="420" w:lineRule="exact"/>
        <w:ind w:left="0" w:leftChars="0" w:firstLine="482" w:firstLineChars="200"/>
        <w:jc w:val="center"/>
        <w:textAlignment w:val="auto"/>
        <w:rPr>
          <w:rFonts w:hint="eastAsia" w:ascii="宋体" w:hAnsi="宋体"/>
          <w:color w:val="000000" w:themeColor="text1"/>
          <w:sz w:val="24"/>
          <w:szCs w:val="24"/>
          <w14:textFill>
            <w14:solidFill>
              <w14:schemeClr w14:val="tx1"/>
            </w14:solidFill>
          </w14:textFill>
        </w:rPr>
      </w:pPr>
      <w:r>
        <w:rPr>
          <w:color w:val="000000" w:themeColor="text1"/>
          <w14:textFill>
            <w14:solidFill>
              <w14:schemeClr w14:val="tx1"/>
            </w14:solidFill>
          </w14:textFill>
        </w:rPr>
        <w:t xml:space="preserve">表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5.1</w:t>
      </w:r>
      <w:r>
        <w:rPr>
          <w:rFonts w:hint="eastAsia" w:ascii="宋体" w:hAnsi="宋体"/>
          <w:color w:val="000000" w:themeColor="text1"/>
          <w:sz w:val="24"/>
          <w:szCs w:val="24"/>
          <w14:textFill>
            <w14:solidFill>
              <w14:schemeClr w14:val="tx1"/>
            </w14:solidFill>
          </w14:textFill>
        </w:rPr>
        <w:t>防雷、接地装置安全检查表</w:t>
      </w:r>
    </w:p>
    <w:tbl>
      <w:tblPr>
        <w:tblStyle w:val="2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503"/>
        <w:gridCol w:w="3642"/>
        <w:gridCol w:w="2321"/>
        <w:gridCol w:w="1776"/>
        <w:gridCol w:w="871"/>
      </w:tblGrid>
      <w:tr w14:paraId="57C53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blHeader/>
          <w:jc w:val="center"/>
        </w:trPr>
        <w:tc>
          <w:tcPr>
            <w:tcW w:w="275" w:type="pct"/>
            <w:noWrap w:val="0"/>
            <w:vAlign w:val="center"/>
          </w:tcPr>
          <w:p w14:paraId="72336C1B">
            <w:pPr>
              <w:pStyle w:val="30"/>
              <w:keepNext w:val="0"/>
              <w:keepLines w:val="0"/>
              <w:pageBreakBefore w:val="0"/>
              <w:widowControl w:val="0"/>
              <w:kinsoku/>
              <w:bidi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序号</w:t>
            </w:r>
          </w:p>
        </w:tc>
        <w:tc>
          <w:tcPr>
            <w:tcW w:w="1997" w:type="pct"/>
            <w:noWrap w:val="0"/>
            <w:vAlign w:val="center"/>
          </w:tcPr>
          <w:p w14:paraId="25F6962C">
            <w:pPr>
              <w:pStyle w:val="30"/>
              <w:keepNext w:val="0"/>
              <w:keepLines w:val="0"/>
              <w:pageBreakBefore w:val="0"/>
              <w:widowControl w:val="0"/>
              <w:kinsoku/>
              <w:bidi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检查内容</w:t>
            </w:r>
          </w:p>
        </w:tc>
        <w:tc>
          <w:tcPr>
            <w:tcW w:w="1273" w:type="pct"/>
            <w:noWrap w:val="0"/>
            <w:vAlign w:val="center"/>
          </w:tcPr>
          <w:p w14:paraId="6FE6523C">
            <w:pPr>
              <w:pStyle w:val="30"/>
              <w:keepNext w:val="0"/>
              <w:keepLines w:val="0"/>
              <w:pageBreakBefore w:val="0"/>
              <w:widowControl w:val="0"/>
              <w:kinsoku/>
              <w:bidi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检查依据</w:t>
            </w:r>
          </w:p>
        </w:tc>
        <w:tc>
          <w:tcPr>
            <w:tcW w:w="974" w:type="pct"/>
            <w:noWrap w:val="0"/>
            <w:vAlign w:val="center"/>
          </w:tcPr>
          <w:p w14:paraId="56C5683B">
            <w:pPr>
              <w:pStyle w:val="30"/>
              <w:keepNext w:val="0"/>
              <w:keepLines w:val="0"/>
              <w:pageBreakBefore w:val="0"/>
              <w:widowControl w:val="0"/>
              <w:kinsoku/>
              <w:bidi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检查情况</w:t>
            </w:r>
          </w:p>
        </w:tc>
        <w:tc>
          <w:tcPr>
            <w:tcW w:w="478" w:type="pct"/>
            <w:noWrap w:val="0"/>
            <w:vAlign w:val="center"/>
          </w:tcPr>
          <w:p w14:paraId="38BA2A0E">
            <w:pPr>
              <w:pStyle w:val="30"/>
              <w:keepNext w:val="0"/>
              <w:keepLines w:val="0"/>
              <w:pageBreakBefore w:val="0"/>
              <w:widowControl w:val="0"/>
              <w:kinsoku/>
              <w:bidi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检查</w:t>
            </w:r>
          </w:p>
          <w:p w14:paraId="21C2F565">
            <w:pPr>
              <w:pStyle w:val="30"/>
              <w:keepNext w:val="0"/>
              <w:keepLines w:val="0"/>
              <w:pageBreakBefore w:val="0"/>
              <w:widowControl w:val="0"/>
              <w:kinsoku/>
              <w:bidi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结果</w:t>
            </w:r>
          </w:p>
        </w:tc>
      </w:tr>
      <w:tr w14:paraId="0B1AF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275" w:type="pct"/>
            <w:noWrap w:val="0"/>
            <w:vAlign w:val="center"/>
          </w:tcPr>
          <w:p w14:paraId="0A0E9EEA">
            <w:pPr>
              <w:pStyle w:val="30"/>
              <w:keepNext w:val="0"/>
              <w:keepLines w:val="0"/>
              <w:pageBreakBefore w:val="0"/>
              <w:widowControl w:val="0"/>
              <w:numPr>
                <w:ilvl w:val="0"/>
                <w:numId w:val="37"/>
              </w:numPr>
              <w:kinsoku/>
              <w:bidi w:val="0"/>
              <w:ind w:left="425" w:leftChars="0" w:hanging="425" w:firstLineChars="0"/>
              <w:rPr>
                <w:rFonts w:hint="eastAsia" w:ascii="宋体" w:hAnsi="宋体" w:eastAsia="宋体" w:cs="宋体"/>
                <w:color w:val="000000" w:themeColor="text1"/>
                <w:sz w:val="21"/>
                <w:szCs w:val="21"/>
                <w14:textFill>
                  <w14:solidFill>
                    <w14:schemeClr w14:val="tx1"/>
                  </w14:solidFill>
                </w14:textFill>
              </w:rPr>
            </w:pPr>
          </w:p>
        </w:tc>
        <w:tc>
          <w:tcPr>
            <w:tcW w:w="1997" w:type="pct"/>
            <w:shd w:val="clear" w:color="auto" w:fill="auto"/>
            <w:noWrap w:val="0"/>
            <w:vAlign w:val="top"/>
          </w:tcPr>
          <w:p w14:paraId="3AAA92CF">
            <w:pPr>
              <w:pStyle w:val="26"/>
              <w:spacing w:before="35" w:line="241" w:lineRule="auto"/>
              <w:ind w:left="101" w:leftChars="0" w:right="105" w:rightChars="0" w:firstLine="0" w:firstLineChars="0"/>
              <w:jc w:val="both"/>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接地网的接地电阻不应大于</w:t>
            </w:r>
            <w:r>
              <w:rPr>
                <w:rFonts w:hint="eastAsia" w:ascii="宋体" w:hAnsi="宋体" w:eastAsia="宋体" w:cs="宋体"/>
                <w:color w:val="000000" w:themeColor="text1"/>
                <w:spacing w:val="-19"/>
                <w:sz w:val="21"/>
                <w:szCs w:val="21"/>
                <w14:textFill>
                  <w14:solidFill>
                    <w14:schemeClr w14:val="tx1"/>
                  </w14:solidFill>
                </w14:textFill>
              </w:rPr>
              <w:t xml:space="preserve"> </w:t>
            </w:r>
            <w:r>
              <w:rPr>
                <w:rFonts w:hint="eastAsia" w:ascii="宋体" w:hAnsi="宋体" w:eastAsia="宋体" w:cs="宋体"/>
                <w:color w:val="000000" w:themeColor="text1"/>
                <w:spacing w:val="4"/>
                <w:sz w:val="21"/>
                <w:szCs w:val="21"/>
                <w14:textFill>
                  <w14:solidFill>
                    <w14:schemeClr w14:val="tx1"/>
                  </w14:solidFill>
                </w14:textFill>
              </w:rPr>
              <w:t>4</w:t>
            </w:r>
            <w:r>
              <w:rPr>
                <w:rFonts w:hint="eastAsia" w:ascii="宋体" w:hAnsi="宋体" w:eastAsia="宋体" w:cs="宋体"/>
                <w:color w:val="000000" w:themeColor="text1"/>
                <w:spacing w:val="-44"/>
                <w:sz w:val="21"/>
                <w:szCs w:val="21"/>
                <w14:textFill>
                  <w14:solidFill>
                    <w14:schemeClr w14:val="tx1"/>
                  </w14:solidFill>
                </w14:textFill>
              </w:rPr>
              <w:t xml:space="preserve"> </w:t>
            </w:r>
            <w:r>
              <w:rPr>
                <w:rFonts w:hint="eastAsia" w:ascii="宋体" w:hAnsi="宋体" w:eastAsia="宋体" w:cs="宋体"/>
                <w:color w:val="000000" w:themeColor="text1"/>
                <w:spacing w:val="4"/>
                <w:sz w:val="21"/>
                <w:szCs w:val="21"/>
                <w14:textFill>
                  <w14:solidFill>
                    <w14:schemeClr w14:val="tx1"/>
                  </w14:solidFill>
                </w14:textFill>
              </w:rPr>
              <w:t>Ω</w:t>
            </w:r>
            <w:r>
              <w:rPr>
                <w:rFonts w:hint="eastAsia" w:ascii="宋体" w:hAnsi="宋体" w:eastAsia="宋体" w:cs="宋体"/>
                <w:color w:val="000000" w:themeColor="text1"/>
                <w:spacing w:val="-70"/>
                <w:sz w:val="21"/>
                <w:szCs w:val="21"/>
                <w14:textFill>
                  <w14:solidFill>
                    <w14:schemeClr w14:val="tx1"/>
                  </w14:solidFill>
                </w14:textFill>
              </w:rPr>
              <w:t xml:space="preserve"> </w:t>
            </w:r>
            <w:r>
              <w:rPr>
                <w:rFonts w:hint="eastAsia" w:ascii="宋体" w:hAnsi="宋体" w:eastAsia="宋体" w:cs="宋体"/>
                <w:color w:val="000000" w:themeColor="text1"/>
                <w:spacing w:val="4"/>
                <w:sz w:val="21"/>
                <w:szCs w:val="21"/>
                <w14:textFill>
                  <w14:solidFill>
                    <w14:schemeClr w14:val="tx1"/>
                  </w14:solidFill>
                </w14:textFill>
              </w:rPr>
              <w:t>,</w:t>
            </w:r>
            <w:r>
              <w:rPr>
                <w:rFonts w:hint="eastAsia" w:ascii="宋体" w:hAnsi="宋体" w:eastAsia="宋体" w:cs="宋体"/>
                <w:color w:val="000000" w:themeColor="text1"/>
                <w:spacing w:val="64"/>
                <w:sz w:val="21"/>
                <w:szCs w:val="21"/>
                <w14:textFill>
                  <w14:solidFill>
                    <w14:schemeClr w14:val="tx1"/>
                  </w14:solidFill>
                </w14:textFill>
              </w:rPr>
              <w:t xml:space="preserve"> </w:t>
            </w:r>
            <w:r>
              <w:rPr>
                <w:rFonts w:hint="eastAsia" w:ascii="宋体" w:hAnsi="宋体" w:eastAsia="宋体" w:cs="宋体"/>
                <w:color w:val="000000" w:themeColor="text1"/>
                <w:spacing w:val="4"/>
                <w:sz w:val="21"/>
                <w:szCs w:val="21"/>
                <w14:textFill>
                  <w14:solidFill>
                    <w14:schemeClr w14:val="tx1"/>
                  </w14:solidFill>
                </w14:textFill>
              </w:rPr>
              <w:t>且保护接</w:t>
            </w:r>
            <w:r>
              <w:rPr>
                <w:rFonts w:hint="eastAsia" w:ascii="宋体" w:hAnsi="宋体" w:eastAsia="宋体" w:cs="宋体"/>
                <w:color w:val="000000" w:themeColor="text1"/>
                <w:sz w:val="21"/>
                <w:szCs w:val="21"/>
                <w14:textFill>
                  <w14:solidFill>
                    <w14:schemeClr w14:val="tx1"/>
                  </w14:solidFill>
                </w14:textFill>
              </w:rPr>
              <w:t xml:space="preserve"> </w:t>
            </w:r>
            <w:r>
              <w:rPr>
                <w:rFonts w:hint="eastAsia" w:ascii="宋体" w:hAnsi="宋体" w:eastAsia="宋体" w:cs="宋体"/>
                <w:color w:val="000000" w:themeColor="text1"/>
                <w:spacing w:val="11"/>
                <w:sz w:val="21"/>
                <w:szCs w:val="21"/>
                <w14:textFill>
                  <w14:solidFill>
                    <w14:schemeClr w14:val="tx1"/>
                  </w14:solidFill>
                </w14:textFill>
              </w:rPr>
              <w:t>地接至变电站接地网的站用变压器的低压侧电气装置，应采用（含建筑物钢筋的）保护</w:t>
            </w:r>
            <w:r>
              <w:rPr>
                <w:rFonts w:hint="eastAsia" w:ascii="宋体" w:hAnsi="宋体" w:eastAsia="宋体" w:cs="宋体"/>
                <w:color w:val="000000" w:themeColor="text1"/>
                <w:sz w:val="21"/>
                <w:szCs w:val="21"/>
                <w14:textFill>
                  <w14:solidFill>
                    <w14:schemeClr w14:val="tx1"/>
                  </w14:solidFill>
                </w14:textFill>
              </w:rPr>
              <w:t xml:space="preserve"> </w:t>
            </w:r>
            <w:r>
              <w:rPr>
                <w:rFonts w:hint="eastAsia" w:ascii="宋体" w:hAnsi="宋体" w:eastAsia="宋体" w:cs="宋体"/>
                <w:color w:val="000000" w:themeColor="text1"/>
                <w:spacing w:val="7"/>
                <w:sz w:val="21"/>
                <w:szCs w:val="21"/>
                <w14:textFill>
                  <w14:solidFill>
                    <w14:schemeClr w14:val="tx1"/>
                  </w14:solidFill>
                </w14:textFill>
              </w:rPr>
              <w:t>总等电位联结系统。</w:t>
            </w:r>
          </w:p>
        </w:tc>
        <w:tc>
          <w:tcPr>
            <w:tcW w:w="1273" w:type="pct"/>
            <w:shd w:val="clear" w:color="auto" w:fill="auto"/>
            <w:noWrap w:val="0"/>
            <w:vAlign w:val="top"/>
          </w:tcPr>
          <w:p w14:paraId="5EB2DDBA">
            <w:pPr>
              <w:pStyle w:val="26"/>
              <w:spacing w:before="35" w:line="241" w:lineRule="auto"/>
              <w:ind w:left="115" w:leftChars="0" w:right="99" w:rightChars="0" w:firstLine="5" w:firstLineChars="0"/>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《交流电气装置的接</w:t>
            </w:r>
            <w:r>
              <w:rPr>
                <w:rFonts w:hint="eastAsia" w:ascii="宋体" w:hAnsi="宋体" w:eastAsia="宋体" w:cs="宋体"/>
                <w:color w:val="000000" w:themeColor="text1"/>
                <w:spacing w:val="-3"/>
                <w:sz w:val="21"/>
                <w:szCs w:val="21"/>
                <w14:textFill>
                  <w14:solidFill>
                    <w14:schemeClr w14:val="tx1"/>
                  </w14:solidFill>
                </w14:textFill>
              </w:rPr>
              <w:t>地设计》</w:t>
            </w:r>
            <w:r>
              <w:rPr>
                <w:rFonts w:hint="eastAsia" w:ascii="宋体" w:hAnsi="宋体" w:eastAsia="宋体" w:cs="宋体"/>
                <w:color w:val="000000" w:themeColor="text1"/>
                <w:sz w:val="21"/>
                <w:szCs w:val="21"/>
                <w14:textFill>
                  <w14:solidFill>
                    <w14:schemeClr w14:val="tx1"/>
                  </w14:solidFill>
                </w14:textFill>
              </w:rPr>
              <w:t xml:space="preserve"> </w:t>
            </w:r>
            <w:r>
              <w:rPr>
                <w:rFonts w:hint="eastAsia" w:ascii="宋体" w:hAnsi="宋体" w:eastAsia="宋体" w:cs="宋体"/>
                <w:color w:val="000000" w:themeColor="text1"/>
                <w:spacing w:val="4"/>
                <w:sz w:val="21"/>
                <w:szCs w:val="21"/>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GB</w:t>
            </w:r>
            <w:r>
              <w:rPr>
                <w:rFonts w:hint="eastAsia" w:ascii="宋体" w:hAnsi="宋体" w:eastAsia="宋体" w:cs="宋体"/>
                <w:color w:val="000000" w:themeColor="text1"/>
                <w:spacing w:val="4"/>
                <w:sz w:val="21"/>
                <w:szCs w:val="21"/>
                <w14:textFill>
                  <w14:solidFill>
                    <w14:schemeClr w14:val="tx1"/>
                  </w14:solidFill>
                </w14:textFill>
              </w:rPr>
              <w:t>/T50065-2011</w:t>
            </w:r>
            <w:r>
              <w:rPr>
                <w:rFonts w:hint="eastAsia" w:ascii="宋体" w:hAnsi="宋体" w:eastAsia="宋体" w:cs="宋体"/>
                <w:color w:val="000000" w:themeColor="text1"/>
                <w:spacing w:val="-41"/>
                <w:sz w:val="21"/>
                <w:szCs w:val="21"/>
                <w14:textFill>
                  <w14:solidFill>
                    <w14:schemeClr w14:val="tx1"/>
                  </w14:solidFill>
                </w14:textFill>
              </w:rPr>
              <w:t xml:space="preserve"> </w:t>
            </w:r>
            <w:r>
              <w:rPr>
                <w:rFonts w:hint="eastAsia" w:ascii="宋体" w:hAnsi="宋体" w:eastAsia="宋体" w:cs="宋体"/>
                <w:color w:val="000000" w:themeColor="text1"/>
                <w:spacing w:val="4"/>
                <w:sz w:val="21"/>
                <w:szCs w:val="21"/>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 xml:space="preserve"> </w:t>
            </w:r>
            <w:r>
              <w:rPr>
                <w:rFonts w:hint="eastAsia" w:ascii="宋体" w:hAnsi="宋体" w:eastAsia="宋体" w:cs="宋体"/>
                <w:color w:val="000000" w:themeColor="text1"/>
                <w:spacing w:val="2"/>
                <w:sz w:val="21"/>
                <w:szCs w:val="21"/>
                <w14:textFill>
                  <w14:solidFill>
                    <w14:schemeClr w14:val="tx1"/>
                  </w14:solidFill>
                </w14:textFill>
              </w:rPr>
              <w:t>第</w:t>
            </w:r>
            <w:r>
              <w:rPr>
                <w:rFonts w:hint="eastAsia" w:ascii="宋体" w:hAnsi="宋体" w:eastAsia="宋体" w:cs="宋体"/>
                <w:color w:val="000000" w:themeColor="text1"/>
                <w:spacing w:val="-38"/>
                <w:sz w:val="21"/>
                <w:szCs w:val="21"/>
                <w14:textFill>
                  <w14:solidFill>
                    <w14:schemeClr w14:val="tx1"/>
                  </w14:solidFill>
                </w14:textFill>
              </w:rPr>
              <w:t xml:space="preserve"> </w:t>
            </w:r>
            <w:r>
              <w:rPr>
                <w:rFonts w:hint="eastAsia" w:ascii="宋体" w:hAnsi="宋体" w:eastAsia="宋体" w:cs="宋体"/>
                <w:color w:val="000000" w:themeColor="text1"/>
                <w:spacing w:val="2"/>
                <w:sz w:val="21"/>
                <w:szCs w:val="21"/>
                <w14:textFill>
                  <w14:solidFill>
                    <w14:schemeClr w14:val="tx1"/>
                  </w14:solidFill>
                </w14:textFill>
              </w:rPr>
              <w:t>4.2.1</w:t>
            </w:r>
            <w:r>
              <w:rPr>
                <w:rFonts w:hint="eastAsia" w:ascii="宋体" w:hAnsi="宋体" w:eastAsia="宋体" w:cs="宋体"/>
                <w:color w:val="000000" w:themeColor="text1"/>
                <w:spacing w:val="-36"/>
                <w:sz w:val="21"/>
                <w:szCs w:val="21"/>
                <w14:textFill>
                  <w14:solidFill>
                    <w14:schemeClr w14:val="tx1"/>
                  </w14:solidFill>
                </w14:textFill>
              </w:rPr>
              <w:t xml:space="preserve"> </w:t>
            </w:r>
            <w:r>
              <w:rPr>
                <w:rFonts w:hint="eastAsia" w:ascii="宋体" w:hAnsi="宋体" w:eastAsia="宋体" w:cs="宋体"/>
                <w:color w:val="000000" w:themeColor="text1"/>
                <w:spacing w:val="2"/>
                <w:sz w:val="21"/>
                <w:szCs w:val="21"/>
                <w14:textFill>
                  <w14:solidFill>
                    <w14:schemeClr w14:val="tx1"/>
                  </w14:solidFill>
                </w14:textFill>
              </w:rPr>
              <w:t>条</w:t>
            </w:r>
          </w:p>
        </w:tc>
        <w:tc>
          <w:tcPr>
            <w:tcW w:w="974" w:type="pct"/>
            <w:shd w:val="clear" w:color="auto" w:fill="auto"/>
            <w:noWrap w:val="0"/>
            <w:vAlign w:val="top"/>
          </w:tcPr>
          <w:p w14:paraId="6236B0DF">
            <w:pPr>
              <w:pStyle w:val="26"/>
              <w:spacing w:before="305"/>
              <w:ind w:left="121" w:leftChars="0" w:right="70" w:rightChars="0" w:firstLine="1" w:firstLineChars="0"/>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符合设计</w:t>
            </w:r>
            <w:r>
              <w:rPr>
                <w:rFonts w:hint="eastAsia" w:ascii="宋体" w:hAnsi="宋体" w:eastAsia="宋体" w:cs="宋体"/>
                <w:color w:val="000000" w:themeColor="text1"/>
                <w:spacing w:val="3"/>
                <w:sz w:val="21"/>
                <w:szCs w:val="21"/>
                <w:lang w:val="en-US" w:eastAsia="zh-CN"/>
                <w14:textFill>
                  <w14:solidFill>
                    <w14:schemeClr w14:val="tx1"/>
                  </w14:solidFill>
                </w14:textFill>
              </w:rPr>
              <w:t>规范要求</w:t>
            </w:r>
          </w:p>
        </w:tc>
        <w:tc>
          <w:tcPr>
            <w:tcW w:w="478" w:type="pct"/>
            <w:noWrap w:val="0"/>
            <w:vAlign w:val="center"/>
          </w:tcPr>
          <w:p w14:paraId="588B889C">
            <w:pPr>
              <w:pStyle w:val="30"/>
              <w:keepNext w:val="0"/>
              <w:keepLines w:val="0"/>
              <w:pageBreakBefore w:val="0"/>
              <w:widowControl w:val="0"/>
              <w:kinsoku/>
              <w:bidi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符合</w:t>
            </w:r>
          </w:p>
        </w:tc>
      </w:tr>
      <w:tr w14:paraId="652EC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275" w:type="pct"/>
            <w:noWrap w:val="0"/>
            <w:vAlign w:val="center"/>
          </w:tcPr>
          <w:p w14:paraId="6F9CE15D">
            <w:pPr>
              <w:pStyle w:val="30"/>
              <w:keepNext w:val="0"/>
              <w:keepLines w:val="0"/>
              <w:pageBreakBefore w:val="0"/>
              <w:widowControl w:val="0"/>
              <w:numPr>
                <w:ilvl w:val="0"/>
                <w:numId w:val="37"/>
              </w:numPr>
              <w:kinsoku/>
              <w:bidi w:val="0"/>
              <w:ind w:left="425" w:leftChars="0" w:hanging="425" w:firstLineChars="0"/>
              <w:rPr>
                <w:rFonts w:hint="eastAsia" w:ascii="宋体" w:hAnsi="宋体" w:eastAsia="宋体" w:cs="宋体"/>
                <w:color w:val="000000" w:themeColor="text1"/>
                <w:sz w:val="21"/>
                <w:szCs w:val="21"/>
                <w14:textFill>
                  <w14:solidFill>
                    <w14:schemeClr w14:val="tx1"/>
                  </w14:solidFill>
                </w14:textFill>
              </w:rPr>
            </w:pPr>
          </w:p>
        </w:tc>
        <w:tc>
          <w:tcPr>
            <w:tcW w:w="1997" w:type="pct"/>
            <w:shd w:val="clear" w:color="auto" w:fill="auto"/>
            <w:noWrap w:val="0"/>
            <w:vAlign w:val="top"/>
          </w:tcPr>
          <w:p w14:paraId="3287630F">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lang w:val="en-US" w:eastAsia="en-US"/>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遇下列情况之一时，应划为第三类防雷 建筑物：1）预计雷击次数大于或等于 0.05 次/a，且小于或等于 0.25 次/a 的住 宅、办公楼等一般性民用建筑物或一般 性工业建筑物。2）在平均雷暴日大于 15d/a 的地区，高度在 15m 及以上的烟 囱、水塔等孤立的高耸建筑物；在平均 雷暴日小于或等于 15d/a 的地区，高度 在 20m 及以上的烟囱、水塔等孤立的 高耸建筑物。</w:t>
            </w:r>
          </w:p>
        </w:tc>
        <w:tc>
          <w:tcPr>
            <w:tcW w:w="1273" w:type="pct"/>
            <w:shd w:val="clear" w:color="auto" w:fill="auto"/>
            <w:noWrap w:val="0"/>
            <w:vAlign w:val="top"/>
          </w:tcPr>
          <w:p w14:paraId="211999B1">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1099EE08">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18DDBE28">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147CABA4">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0C3E391D">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《建筑物防雷设计规范》（GB500057-2010））</w:t>
            </w:r>
          </w:p>
          <w:p w14:paraId="629C57CA">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lang w:val="en-US" w:eastAsia="en-US"/>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第 3.0.4 条</w:t>
            </w:r>
          </w:p>
        </w:tc>
        <w:tc>
          <w:tcPr>
            <w:tcW w:w="974" w:type="pct"/>
            <w:shd w:val="clear" w:color="auto" w:fill="auto"/>
            <w:noWrap w:val="0"/>
            <w:vAlign w:val="top"/>
          </w:tcPr>
          <w:p w14:paraId="4D50B01A">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791D1EB2">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5E47CE70">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lang w:val="en-US" w:eastAsia="en-US"/>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本光伏项目区域雷暴日平数多，属多雷区。光伏项目为 第三类防雷建筑物。</w:t>
            </w:r>
          </w:p>
        </w:tc>
        <w:tc>
          <w:tcPr>
            <w:tcW w:w="478" w:type="pct"/>
            <w:noWrap w:val="0"/>
            <w:vAlign w:val="center"/>
          </w:tcPr>
          <w:p w14:paraId="54628082">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符合</w:t>
            </w:r>
          </w:p>
        </w:tc>
      </w:tr>
      <w:tr w14:paraId="2AD28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275" w:type="pct"/>
            <w:noWrap w:val="0"/>
            <w:vAlign w:val="center"/>
          </w:tcPr>
          <w:p w14:paraId="01215EB8">
            <w:pPr>
              <w:pStyle w:val="30"/>
              <w:keepNext w:val="0"/>
              <w:keepLines w:val="0"/>
              <w:pageBreakBefore w:val="0"/>
              <w:widowControl w:val="0"/>
              <w:numPr>
                <w:ilvl w:val="0"/>
                <w:numId w:val="37"/>
              </w:numPr>
              <w:kinsoku/>
              <w:bidi w:val="0"/>
              <w:ind w:left="425" w:leftChars="0" w:hanging="425" w:firstLineChars="0"/>
              <w:rPr>
                <w:rFonts w:hint="eastAsia" w:ascii="宋体" w:hAnsi="宋体" w:eastAsia="宋体" w:cs="宋体"/>
                <w:color w:val="000000" w:themeColor="text1"/>
                <w:sz w:val="21"/>
                <w:szCs w:val="21"/>
                <w14:textFill>
                  <w14:solidFill>
                    <w14:schemeClr w14:val="tx1"/>
                  </w14:solidFill>
                </w14:textFill>
              </w:rPr>
            </w:pPr>
          </w:p>
        </w:tc>
        <w:tc>
          <w:tcPr>
            <w:tcW w:w="1997" w:type="pct"/>
            <w:shd w:val="clear" w:color="auto" w:fill="auto"/>
            <w:noWrap w:val="0"/>
            <w:vAlign w:val="top"/>
          </w:tcPr>
          <w:p w14:paraId="6BC8C45D">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发电厂和变压所的雷电近电压来自雷 电对配电装置的直接雷击、反击和架空 进线上出现的雷电侵入波。1 、应采用 避雷针或避雷线对高压配电装置进行 直击雷保护并采取措施防止反击。2 、 应该采取措施防止或减少发电厂和变 电所近区线路的雷击闪络并在厂、所内 适当配置阀式避雷器以减少雷电侵入 波过电压的危</w:t>
            </w:r>
          </w:p>
          <w:p w14:paraId="30C2F54C">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lang w:val="en-US" w:eastAsia="en-US"/>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害。3 、按本标准要求对采用的雷电侵 入波过电压保护方案校验时，校验条件 为保护接线一般应该保证 2km 外线路 导线上出现的雷电侵入波过电压时，不 引起发电厂和变电所电气设备绝缘损 坏。</w:t>
            </w:r>
          </w:p>
        </w:tc>
        <w:tc>
          <w:tcPr>
            <w:tcW w:w="1273" w:type="pct"/>
            <w:shd w:val="clear" w:color="auto" w:fill="auto"/>
            <w:noWrap w:val="0"/>
            <w:vAlign w:val="top"/>
          </w:tcPr>
          <w:p w14:paraId="27D53796">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5AEF3D2B">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65E072C7">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510CBBBD">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22A658B2">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2378AA3C">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《交流电气装置的过电压保护和绝缘配合设计规范》</w:t>
            </w:r>
          </w:p>
          <w:p w14:paraId="4C0F0D57">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（GB/T50064-2014）</w:t>
            </w:r>
          </w:p>
          <w:p w14:paraId="0B9E17FE">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lang w:val="en-US" w:eastAsia="en-US"/>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5. 1.3</w:t>
            </w:r>
          </w:p>
        </w:tc>
        <w:tc>
          <w:tcPr>
            <w:tcW w:w="974" w:type="pct"/>
            <w:shd w:val="clear" w:color="auto" w:fill="auto"/>
            <w:noWrap w:val="0"/>
            <w:vAlign w:val="top"/>
          </w:tcPr>
          <w:p w14:paraId="6C7EEF18">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1CA35EF0">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12CB05BD">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6BA4BE5D">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7B18311D">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64F9F4A2">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1FF2D842">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光伏方阵，将防雷接地、保护接地、 工作接地统一为一</w:t>
            </w:r>
          </w:p>
          <w:p w14:paraId="40C6E2D3">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lang w:val="en-US" w:eastAsia="en-US"/>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个共用接地装置。</w:t>
            </w:r>
          </w:p>
        </w:tc>
        <w:tc>
          <w:tcPr>
            <w:tcW w:w="478" w:type="pct"/>
            <w:noWrap w:val="0"/>
            <w:vAlign w:val="center"/>
          </w:tcPr>
          <w:p w14:paraId="3EC655B2">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符合</w:t>
            </w:r>
          </w:p>
        </w:tc>
      </w:tr>
      <w:tr w14:paraId="19540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275" w:type="pct"/>
            <w:noWrap w:val="0"/>
            <w:vAlign w:val="center"/>
          </w:tcPr>
          <w:p w14:paraId="332B77FB">
            <w:pPr>
              <w:pStyle w:val="30"/>
              <w:keepNext w:val="0"/>
              <w:keepLines w:val="0"/>
              <w:pageBreakBefore w:val="0"/>
              <w:widowControl w:val="0"/>
              <w:numPr>
                <w:ilvl w:val="0"/>
                <w:numId w:val="37"/>
              </w:numPr>
              <w:kinsoku/>
              <w:bidi w:val="0"/>
              <w:ind w:left="425" w:leftChars="0" w:hanging="425" w:firstLineChars="0"/>
              <w:rPr>
                <w:rFonts w:hint="eastAsia" w:ascii="宋体" w:hAnsi="宋体" w:eastAsia="宋体" w:cs="宋体"/>
                <w:color w:val="000000" w:themeColor="text1"/>
                <w:sz w:val="21"/>
                <w:szCs w:val="21"/>
                <w14:textFill>
                  <w14:solidFill>
                    <w14:schemeClr w14:val="tx1"/>
                  </w14:solidFill>
                </w14:textFill>
              </w:rPr>
            </w:pPr>
          </w:p>
        </w:tc>
        <w:tc>
          <w:tcPr>
            <w:tcW w:w="1997" w:type="pct"/>
            <w:shd w:val="clear" w:color="auto" w:fill="auto"/>
            <w:noWrap w:val="0"/>
            <w:vAlign w:val="top"/>
          </w:tcPr>
          <w:p w14:paraId="446FB6FF">
            <w:pPr>
              <w:pStyle w:val="26"/>
              <w:spacing w:before="85" w:line="247" w:lineRule="auto"/>
              <w:ind w:left="110" w:leftChars="0" w:right="41" w:rightChars="0" w:firstLine="25" w:firstLineChars="0"/>
              <w:jc w:val="both"/>
              <w:rPr>
                <w:rFonts w:hint="eastAsia" w:ascii="宋体" w:hAnsi="宋体" w:eastAsia="宋体" w:cs="宋体"/>
                <w:color w:val="000000" w:themeColor="text1"/>
                <w:spacing w:val="10"/>
                <w:sz w:val="21"/>
                <w:szCs w:val="21"/>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电力系统、装置或设备应按规定接地。</w:t>
            </w:r>
            <w:r>
              <w:rPr>
                <w:rFonts w:hint="eastAsia" w:ascii="宋体" w:hAnsi="宋体" w:eastAsia="宋体" w:cs="宋体"/>
                <w:color w:val="000000" w:themeColor="text1"/>
                <w:spacing w:val="15"/>
                <w:sz w:val="21"/>
                <w:szCs w:val="21"/>
                <w14:textFill>
                  <w14:solidFill>
                    <w14:schemeClr w14:val="tx1"/>
                  </w14:solidFill>
                </w14:textFill>
              </w:rPr>
              <w:t xml:space="preserve"> </w:t>
            </w:r>
            <w:r>
              <w:rPr>
                <w:rFonts w:hint="eastAsia" w:ascii="宋体" w:hAnsi="宋体" w:eastAsia="宋体" w:cs="宋体"/>
                <w:color w:val="000000" w:themeColor="text1"/>
                <w:spacing w:val="16"/>
                <w:sz w:val="21"/>
                <w:szCs w:val="21"/>
                <w14:textFill>
                  <w14:solidFill>
                    <w14:schemeClr w14:val="tx1"/>
                  </w14:solidFill>
                </w14:textFill>
              </w:rPr>
              <w:t>接地装置应充分利用自然接地地极接</w:t>
            </w:r>
            <w:r>
              <w:rPr>
                <w:rFonts w:hint="eastAsia" w:ascii="宋体" w:hAnsi="宋体" w:eastAsia="宋体" w:cs="宋体"/>
                <w:color w:val="000000" w:themeColor="text1"/>
                <w:spacing w:val="3"/>
                <w:sz w:val="21"/>
                <w:szCs w:val="21"/>
                <w14:textFill>
                  <w14:solidFill>
                    <w14:schemeClr w14:val="tx1"/>
                  </w14:solidFill>
                </w14:textFill>
              </w:rPr>
              <w:t xml:space="preserve"> </w:t>
            </w:r>
            <w:r>
              <w:rPr>
                <w:rFonts w:hint="eastAsia" w:ascii="宋体" w:hAnsi="宋体" w:eastAsia="宋体" w:cs="宋体"/>
                <w:color w:val="000000" w:themeColor="text1"/>
                <w:spacing w:val="7"/>
                <w:sz w:val="21"/>
                <w:szCs w:val="21"/>
                <w14:textFill>
                  <w14:solidFill>
                    <w14:schemeClr w14:val="tx1"/>
                  </w14:solidFill>
                </w14:textFill>
              </w:rPr>
              <w:t>地，但应校验自然接地极的热稳定性。</w:t>
            </w:r>
            <w:r>
              <w:rPr>
                <w:rFonts w:hint="eastAsia" w:ascii="宋体" w:hAnsi="宋体" w:eastAsia="宋体" w:cs="宋体"/>
                <w:color w:val="000000" w:themeColor="text1"/>
                <w:spacing w:val="6"/>
                <w:sz w:val="21"/>
                <w:szCs w:val="21"/>
                <w14:textFill>
                  <w14:solidFill>
                    <w14:schemeClr w14:val="tx1"/>
                  </w14:solidFill>
                </w14:textFill>
              </w:rPr>
              <w:t xml:space="preserve"> </w:t>
            </w:r>
            <w:r>
              <w:rPr>
                <w:rFonts w:hint="eastAsia" w:ascii="宋体" w:hAnsi="宋体" w:eastAsia="宋体" w:cs="宋体"/>
                <w:color w:val="000000" w:themeColor="text1"/>
                <w:spacing w:val="16"/>
                <w:sz w:val="21"/>
                <w:szCs w:val="21"/>
                <w14:textFill>
                  <w14:solidFill>
                    <w14:schemeClr w14:val="tx1"/>
                  </w14:solidFill>
                </w14:textFill>
              </w:rPr>
              <w:t>按用途接地可分为系统接地、保护接</w:t>
            </w:r>
            <w:r>
              <w:rPr>
                <w:rFonts w:hint="eastAsia" w:ascii="宋体" w:hAnsi="宋体" w:eastAsia="宋体" w:cs="宋体"/>
                <w:color w:val="000000" w:themeColor="text1"/>
                <w:spacing w:val="3"/>
                <w:sz w:val="21"/>
                <w:szCs w:val="21"/>
                <w14:textFill>
                  <w14:solidFill>
                    <w14:schemeClr w14:val="tx1"/>
                  </w14:solidFill>
                </w14:textFill>
              </w:rPr>
              <w:t xml:space="preserve"> </w:t>
            </w:r>
            <w:r>
              <w:rPr>
                <w:rFonts w:hint="eastAsia" w:ascii="宋体" w:hAnsi="宋体" w:eastAsia="宋体" w:cs="宋体"/>
                <w:color w:val="000000" w:themeColor="text1"/>
                <w:spacing w:val="8"/>
                <w:sz w:val="21"/>
                <w:szCs w:val="21"/>
                <w14:textFill>
                  <w14:solidFill>
                    <w14:schemeClr w14:val="tx1"/>
                  </w14:solidFill>
                </w14:textFill>
              </w:rPr>
              <w:t>地、雷电保护接地和防静电接地。</w:t>
            </w:r>
          </w:p>
        </w:tc>
        <w:tc>
          <w:tcPr>
            <w:tcW w:w="1273" w:type="pct"/>
            <w:shd w:val="clear" w:color="auto" w:fill="auto"/>
            <w:noWrap w:val="0"/>
            <w:vAlign w:val="top"/>
          </w:tcPr>
          <w:p w14:paraId="44F85FC5">
            <w:pPr>
              <w:pStyle w:val="26"/>
              <w:spacing w:before="222" w:line="241" w:lineRule="auto"/>
              <w:ind w:left="505" w:right="182" w:hanging="311"/>
              <w:rPr>
                <w:rFonts w:hint="eastAsia" w:ascii="宋体" w:hAnsi="宋体" w:eastAsia="宋体" w:cs="宋体"/>
                <w:color w:val="000000" w:themeColor="text1"/>
                <w:spacing w:val="8"/>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《交流电气装置</w:t>
            </w:r>
          </w:p>
          <w:p w14:paraId="7E611622">
            <w:pPr>
              <w:pStyle w:val="26"/>
              <w:spacing w:before="222" w:line="241" w:lineRule="auto"/>
              <w:ind w:right="182"/>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的接</w:t>
            </w:r>
            <w:r>
              <w:rPr>
                <w:rFonts w:hint="eastAsia" w:ascii="宋体" w:hAnsi="宋体" w:eastAsia="宋体" w:cs="宋体"/>
                <w:color w:val="000000" w:themeColor="text1"/>
                <w:spacing w:val="2"/>
                <w:sz w:val="21"/>
                <w:szCs w:val="21"/>
                <w14:textFill>
                  <w14:solidFill>
                    <w14:schemeClr w14:val="tx1"/>
                  </w14:solidFill>
                </w14:textFill>
              </w:rPr>
              <w:t xml:space="preserve"> </w:t>
            </w:r>
            <w:r>
              <w:rPr>
                <w:rFonts w:hint="eastAsia" w:ascii="宋体" w:hAnsi="宋体" w:eastAsia="宋体" w:cs="宋体"/>
                <w:color w:val="000000" w:themeColor="text1"/>
                <w:spacing w:val="6"/>
                <w:sz w:val="21"/>
                <w:szCs w:val="21"/>
                <w14:textFill>
                  <w14:solidFill>
                    <w14:schemeClr w14:val="tx1"/>
                  </w14:solidFill>
                </w14:textFill>
              </w:rPr>
              <w:t>地设计规范》</w:t>
            </w:r>
          </w:p>
          <w:p w14:paraId="54CF388B">
            <w:pPr>
              <w:pStyle w:val="26"/>
              <w:spacing w:before="22" w:line="228" w:lineRule="auto"/>
              <w:ind w:left="259"/>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w:t>
            </w:r>
            <w:r>
              <w:rPr>
                <w:rFonts w:hint="eastAsia" w:ascii="宋体" w:hAnsi="宋体" w:eastAsia="宋体" w:cs="宋体"/>
                <w:color w:val="000000" w:themeColor="text1"/>
                <w:spacing w:val="4"/>
                <w:sz w:val="21"/>
                <w:szCs w:val="21"/>
                <w14:textFill>
                  <w14:solidFill>
                    <w14:schemeClr w14:val="tx1"/>
                  </w14:solidFill>
                </w14:textFill>
              </w:rPr>
              <w:t>/T50065-2011 第</w:t>
            </w:r>
            <w:r>
              <w:rPr>
                <w:rFonts w:hint="eastAsia" w:ascii="宋体" w:hAnsi="宋体" w:eastAsia="宋体" w:cs="宋体"/>
                <w:color w:val="000000" w:themeColor="text1"/>
                <w:spacing w:val="-3"/>
                <w:sz w:val="21"/>
                <w:szCs w:val="21"/>
                <w14:textFill>
                  <w14:solidFill>
                    <w14:schemeClr w14:val="tx1"/>
                  </w14:solidFill>
                </w14:textFill>
              </w:rPr>
              <w:t>3.</w:t>
            </w:r>
            <w:r>
              <w:rPr>
                <w:rFonts w:hint="eastAsia" w:ascii="宋体" w:hAnsi="宋体" w:eastAsia="宋体" w:cs="宋体"/>
                <w:color w:val="000000" w:themeColor="text1"/>
                <w:spacing w:val="-23"/>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1.1</w:t>
            </w:r>
            <w:r>
              <w:rPr>
                <w:rFonts w:hint="eastAsia" w:ascii="宋体" w:hAnsi="宋体" w:eastAsia="宋体" w:cs="宋体"/>
                <w:color w:val="000000" w:themeColor="text1"/>
                <w:spacing w:val="11"/>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条</w:t>
            </w:r>
          </w:p>
        </w:tc>
        <w:tc>
          <w:tcPr>
            <w:tcW w:w="974" w:type="pct"/>
            <w:shd w:val="clear" w:color="auto" w:fill="auto"/>
            <w:noWrap w:val="0"/>
            <w:vAlign w:val="top"/>
          </w:tcPr>
          <w:p w14:paraId="2E1885FC">
            <w:pPr>
              <w:spacing w:line="291" w:lineRule="auto"/>
              <w:rPr>
                <w:rFonts w:hint="eastAsia" w:ascii="宋体" w:hAnsi="宋体" w:eastAsia="宋体" w:cs="宋体"/>
                <w:color w:val="000000" w:themeColor="text1"/>
                <w:sz w:val="21"/>
                <w:szCs w:val="21"/>
                <w14:textFill>
                  <w14:solidFill>
                    <w14:schemeClr w14:val="tx1"/>
                  </w14:solidFill>
                </w14:textFill>
              </w:rPr>
            </w:pPr>
          </w:p>
          <w:p w14:paraId="3FB0990A">
            <w:pPr>
              <w:pStyle w:val="26"/>
              <w:spacing w:before="65" w:line="244" w:lineRule="auto"/>
              <w:ind w:left="117" w:leftChars="0" w:right="102" w:rightChars="0" w:hanging="1" w:firstLineChars="0"/>
              <w:jc w:val="both"/>
              <w:rPr>
                <w:rFonts w:hint="eastAsia" w:ascii="宋体" w:hAnsi="宋体" w:eastAsia="宋体" w:cs="宋体"/>
                <w:color w:val="000000" w:themeColor="text1"/>
                <w:spacing w:val="3"/>
                <w:sz w:val="21"/>
                <w:szCs w:val="21"/>
                <w14:textFill>
                  <w14:solidFill>
                    <w14:schemeClr w14:val="tx1"/>
                  </w14:solidFill>
                </w14:textFill>
              </w:rPr>
            </w:pPr>
            <w:r>
              <w:rPr>
                <w:rFonts w:hint="eastAsia" w:ascii="宋体" w:hAnsi="宋体" w:eastAsia="宋体" w:cs="宋体"/>
                <w:color w:val="000000" w:themeColor="text1"/>
                <w:spacing w:val="13"/>
                <w:sz w:val="21"/>
                <w:szCs w:val="21"/>
                <w14:textFill>
                  <w14:solidFill>
                    <w14:schemeClr w14:val="tx1"/>
                  </w14:solidFill>
                </w14:textFill>
              </w:rPr>
              <w:t>本光伏项目的接地充分利用建构筑物</w:t>
            </w:r>
            <w:r>
              <w:rPr>
                <w:rFonts w:hint="eastAsia" w:ascii="宋体" w:hAnsi="宋体" w:eastAsia="宋体" w:cs="宋体"/>
                <w:color w:val="000000" w:themeColor="text1"/>
                <w:spacing w:val="6"/>
                <w:sz w:val="21"/>
                <w:szCs w:val="21"/>
                <w14:textFill>
                  <w14:solidFill>
                    <w14:schemeClr w14:val="tx1"/>
                  </w14:solidFill>
                </w14:textFill>
              </w:rPr>
              <w:t>自然接地体。</w:t>
            </w:r>
          </w:p>
        </w:tc>
        <w:tc>
          <w:tcPr>
            <w:tcW w:w="478" w:type="pct"/>
            <w:shd w:val="clear" w:color="auto" w:fill="auto"/>
            <w:noWrap w:val="0"/>
            <w:vAlign w:val="top"/>
          </w:tcPr>
          <w:p w14:paraId="7145BE63">
            <w:pPr>
              <w:spacing w:line="282" w:lineRule="auto"/>
              <w:rPr>
                <w:rFonts w:hint="eastAsia" w:ascii="宋体" w:hAnsi="宋体" w:eastAsia="宋体" w:cs="宋体"/>
                <w:color w:val="000000" w:themeColor="text1"/>
                <w:sz w:val="21"/>
                <w:szCs w:val="21"/>
                <w14:textFill>
                  <w14:solidFill>
                    <w14:schemeClr w14:val="tx1"/>
                  </w14:solidFill>
                </w14:textFill>
              </w:rPr>
            </w:pPr>
          </w:p>
          <w:p w14:paraId="0672B5D0">
            <w:pPr>
              <w:spacing w:line="282" w:lineRule="auto"/>
              <w:rPr>
                <w:rFonts w:hint="eastAsia" w:ascii="宋体" w:hAnsi="宋体" w:eastAsia="宋体" w:cs="宋体"/>
                <w:color w:val="000000" w:themeColor="text1"/>
                <w:sz w:val="21"/>
                <w:szCs w:val="21"/>
                <w14:textFill>
                  <w14:solidFill>
                    <w14:schemeClr w14:val="tx1"/>
                  </w14:solidFill>
                </w14:textFill>
              </w:rPr>
            </w:pPr>
          </w:p>
          <w:p w14:paraId="1DF9F45D">
            <w:pPr>
              <w:pStyle w:val="26"/>
              <w:spacing w:before="65" w:line="228" w:lineRule="auto"/>
              <w:ind w:left="137" w:leftChars="0"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符合</w:t>
            </w:r>
          </w:p>
        </w:tc>
      </w:tr>
      <w:tr w14:paraId="1CA72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275" w:type="pct"/>
            <w:noWrap w:val="0"/>
            <w:vAlign w:val="center"/>
          </w:tcPr>
          <w:p w14:paraId="2DC116D7">
            <w:pPr>
              <w:pStyle w:val="30"/>
              <w:keepNext w:val="0"/>
              <w:keepLines w:val="0"/>
              <w:pageBreakBefore w:val="0"/>
              <w:widowControl w:val="0"/>
              <w:numPr>
                <w:ilvl w:val="0"/>
                <w:numId w:val="37"/>
              </w:numPr>
              <w:kinsoku/>
              <w:bidi w:val="0"/>
              <w:ind w:left="425" w:leftChars="0" w:hanging="425" w:firstLineChars="0"/>
              <w:rPr>
                <w:rFonts w:hint="eastAsia" w:ascii="宋体" w:hAnsi="宋体" w:eastAsia="宋体" w:cs="宋体"/>
                <w:color w:val="000000" w:themeColor="text1"/>
                <w:sz w:val="21"/>
                <w:szCs w:val="21"/>
                <w14:textFill>
                  <w14:solidFill>
                    <w14:schemeClr w14:val="tx1"/>
                  </w14:solidFill>
                </w14:textFill>
              </w:rPr>
            </w:pPr>
          </w:p>
        </w:tc>
        <w:tc>
          <w:tcPr>
            <w:tcW w:w="1997" w:type="pct"/>
            <w:shd w:val="clear" w:color="auto" w:fill="auto"/>
            <w:noWrap w:val="0"/>
            <w:vAlign w:val="top"/>
          </w:tcPr>
          <w:p w14:paraId="0C9D8FD8">
            <w:pPr>
              <w:pStyle w:val="26"/>
              <w:spacing w:before="84" w:line="250" w:lineRule="auto"/>
              <w:ind w:left="110" w:leftChars="0" w:right="36" w:rightChars="0" w:firstLine="25" w:firstLineChars="0"/>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电气装置的下列金属部分，均应接地或 接零：1 、 电机、变压器、携带式或移 动式用电器具等的金属底座和外壳；2、 配电、控制、保护用的（柜、箱）及操 作台等的金属框架底座；3 、交流、直 流电力电缆的接头盒、终端头和膨胀器 的金属外壳和可触及的电缆金属保护 层和穿线的钢管。穿线的钢管之间或钢 管和电器设备之间有金属软管的过渡 的，应保证金属软管段接地畅通。4 、 电缆桥架、支架和井架；5 、装有避雷 线的电力线路杆塔；装在配电线路杆上 的电力设备；承载电力设备的构架和金 属外壳。</w:t>
            </w:r>
          </w:p>
        </w:tc>
        <w:tc>
          <w:tcPr>
            <w:tcW w:w="1273" w:type="pct"/>
            <w:shd w:val="clear" w:color="auto" w:fill="auto"/>
            <w:noWrap w:val="0"/>
            <w:vAlign w:val="top"/>
          </w:tcPr>
          <w:p w14:paraId="155BEF90">
            <w:pPr>
              <w:spacing w:line="249" w:lineRule="auto"/>
              <w:ind w:left="0" w:leftChars="0" w:firstLine="0" w:firstLineChars="0"/>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19ABA17F">
            <w:pPr>
              <w:pStyle w:val="26"/>
              <w:spacing w:before="65" w:line="243" w:lineRule="auto"/>
              <w:ind w:left="115" w:right="18" w:firstLine="78"/>
              <w:jc w:val="both"/>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《电气装置安装工程  接地装置施工及验收  规范》（GB50169-2016）</w:t>
            </w:r>
          </w:p>
          <w:p w14:paraId="24FA4CAF">
            <w:pPr>
              <w:pStyle w:val="26"/>
              <w:spacing w:before="24" w:line="239" w:lineRule="auto"/>
              <w:ind w:right="783" w:rightChars="0"/>
              <w:rPr>
                <w:rFonts w:hint="default"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第3.1.1条</w:t>
            </w:r>
          </w:p>
          <w:p w14:paraId="779B7DC3">
            <w:pPr>
              <w:pStyle w:val="26"/>
              <w:spacing w:before="24" w:line="239" w:lineRule="auto"/>
              <w:ind w:right="783" w:rightChars="0"/>
              <w:rPr>
                <w:rFonts w:hint="eastAsia" w:ascii="宋体" w:hAnsi="宋体" w:eastAsia="宋体" w:cs="宋体"/>
                <w:color w:val="000000" w:themeColor="text1"/>
                <w:kern w:val="2"/>
                <w:sz w:val="21"/>
                <w:szCs w:val="21"/>
                <w:lang w:val="en-US" w:eastAsia="en-US" w:bidi="ar-SA"/>
                <w14:textFill>
                  <w14:solidFill>
                    <w14:schemeClr w14:val="tx1"/>
                  </w14:solidFill>
                </w14:textFill>
              </w:rPr>
            </w:pPr>
          </w:p>
        </w:tc>
        <w:tc>
          <w:tcPr>
            <w:tcW w:w="974" w:type="pct"/>
            <w:shd w:val="clear" w:color="auto" w:fill="auto"/>
            <w:noWrap w:val="0"/>
            <w:vAlign w:val="top"/>
          </w:tcPr>
          <w:p w14:paraId="437A1CBC">
            <w:pPr>
              <w:spacing w:line="274"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7630D4A3">
            <w:pPr>
              <w:spacing w:line="275"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4D395E89">
            <w:pPr>
              <w:spacing w:line="275"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16DFD57C">
            <w:pPr>
              <w:spacing w:line="275"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079C48B7">
            <w:pPr>
              <w:spacing w:line="275"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591AB8B1">
            <w:pPr>
              <w:spacing w:line="275"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61FFB585">
            <w:pPr>
              <w:pStyle w:val="26"/>
              <w:spacing w:before="65" w:line="239" w:lineRule="auto"/>
              <w:ind w:left="116" w:leftChars="0" w:right="102" w:rightChars="0" w:firstLine="2" w:firstLineChars="0"/>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项目建设现场符合 标准要求。</w:t>
            </w:r>
          </w:p>
        </w:tc>
        <w:tc>
          <w:tcPr>
            <w:tcW w:w="478" w:type="pct"/>
            <w:shd w:val="clear" w:color="auto" w:fill="auto"/>
            <w:noWrap w:val="0"/>
            <w:vAlign w:val="top"/>
          </w:tcPr>
          <w:p w14:paraId="4F1D18C8">
            <w:pPr>
              <w:spacing w:line="254"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3F4855F4">
            <w:pPr>
              <w:spacing w:line="254"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2D29FE36">
            <w:pPr>
              <w:spacing w:line="254"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00BBC5F2">
            <w:pPr>
              <w:spacing w:line="255"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77D2AAA5">
            <w:pPr>
              <w:spacing w:line="255"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1B37D93A">
            <w:pPr>
              <w:spacing w:line="255"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47584840">
            <w:pPr>
              <w:spacing w:line="255"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02C2A197">
            <w:pPr>
              <w:pStyle w:val="26"/>
              <w:spacing w:before="65" w:line="228" w:lineRule="auto"/>
              <w:ind w:left="137" w:leftChars="0" w:firstLine="0" w:firstLineChars="0"/>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符合</w:t>
            </w:r>
          </w:p>
        </w:tc>
      </w:tr>
      <w:tr w14:paraId="463EC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275" w:type="pct"/>
            <w:noWrap w:val="0"/>
            <w:vAlign w:val="center"/>
          </w:tcPr>
          <w:p w14:paraId="50EDE3CC">
            <w:pPr>
              <w:pStyle w:val="30"/>
              <w:keepNext w:val="0"/>
              <w:keepLines w:val="0"/>
              <w:pageBreakBefore w:val="0"/>
              <w:widowControl w:val="0"/>
              <w:kinsoku/>
              <w:bidi w:val="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w:t>
            </w:r>
          </w:p>
        </w:tc>
        <w:tc>
          <w:tcPr>
            <w:tcW w:w="1997" w:type="pct"/>
            <w:shd w:val="clear" w:color="auto" w:fill="auto"/>
            <w:noWrap w:val="0"/>
            <w:vAlign w:val="top"/>
          </w:tcPr>
          <w:p w14:paraId="7FF724C3">
            <w:pPr>
              <w:pStyle w:val="30"/>
              <w:keepNext w:val="0"/>
              <w:keepLines w:val="0"/>
              <w:pageBreakBefore w:val="0"/>
              <w:widowControl w:val="0"/>
              <w:kinsoku/>
              <w:bidi w:val="0"/>
              <w:jc w:val="both"/>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接地装置应用热镀锌钢材。水平敷设的 可采用圆钢和扁钢。垂直敷设的可采用 角钢和钢管。腐蚀比较严重地区的接地 装置，应适当加大截面，或采用阴极保 护等措施。</w:t>
            </w:r>
          </w:p>
        </w:tc>
        <w:tc>
          <w:tcPr>
            <w:tcW w:w="1273" w:type="pct"/>
            <w:shd w:val="clear" w:color="auto" w:fill="auto"/>
            <w:noWrap w:val="0"/>
            <w:vAlign w:val="top"/>
          </w:tcPr>
          <w:p w14:paraId="1AEC5B24">
            <w:pPr>
              <w:pStyle w:val="30"/>
              <w:keepNext w:val="0"/>
              <w:keepLines w:val="0"/>
              <w:pageBreakBefore w:val="0"/>
              <w:widowControl w:val="0"/>
              <w:kinsoku/>
              <w:bidi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《电气装置安装工程</w:t>
            </w:r>
          </w:p>
          <w:p w14:paraId="3FC663F3">
            <w:pPr>
              <w:pStyle w:val="30"/>
              <w:keepNext w:val="0"/>
              <w:keepLines w:val="0"/>
              <w:pageBreakBefore w:val="0"/>
              <w:widowControl w:val="0"/>
              <w:kinsoku/>
              <w:bidi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接地装置施工及验收</w:t>
            </w:r>
          </w:p>
          <w:p w14:paraId="45D15C6D">
            <w:pPr>
              <w:pStyle w:val="30"/>
              <w:keepNext w:val="0"/>
              <w:keepLines w:val="0"/>
              <w:pageBreakBefore w:val="0"/>
              <w:widowControl w:val="0"/>
              <w:kinsoku/>
              <w:bidi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规范》（GB</w:t>
            </w:r>
          </w:p>
          <w:p w14:paraId="42B97D39">
            <w:pPr>
              <w:pStyle w:val="30"/>
              <w:keepNext w:val="0"/>
              <w:keepLines w:val="0"/>
              <w:pageBreakBefore w:val="0"/>
              <w:widowControl w:val="0"/>
              <w:kinsoku/>
              <w:bidi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50169-2006）第 3.2.5</w:t>
            </w:r>
          </w:p>
          <w:p w14:paraId="45CAD630">
            <w:pPr>
              <w:pStyle w:val="30"/>
              <w:keepNext w:val="0"/>
              <w:keepLines w:val="0"/>
              <w:pageBreakBefore w:val="0"/>
              <w:widowControl w:val="0"/>
              <w:kinsoku/>
              <w:bidi w:val="0"/>
              <w:jc w:val="both"/>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条</w:t>
            </w:r>
          </w:p>
        </w:tc>
        <w:tc>
          <w:tcPr>
            <w:tcW w:w="974" w:type="pct"/>
            <w:shd w:val="clear" w:color="auto" w:fill="auto"/>
            <w:noWrap w:val="0"/>
            <w:vAlign w:val="top"/>
          </w:tcPr>
          <w:p w14:paraId="1E9EBFF9">
            <w:pPr>
              <w:pStyle w:val="30"/>
              <w:keepNext w:val="0"/>
              <w:keepLines w:val="0"/>
              <w:pageBreakBefore w:val="0"/>
              <w:widowControl w:val="0"/>
              <w:kinsoku/>
              <w:bidi w:val="0"/>
              <w:jc w:val="both"/>
              <w:rPr>
                <w:rFonts w:hint="eastAsia" w:ascii="宋体" w:hAnsi="宋体" w:eastAsia="宋体" w:cs="宋体"/>
                <w:color w:val="000000" w:themeColor="text1"/>
                <w:sz w:val="21"/>
                <w:szCs w:val="21"/>
                <w14:textFill>
                  <w14:solidFill>
                    <w14:schemeClr w14:val="tx1"/>
                  </w14:solidFill>
                </w14:textFill>
              </w:rPr>
            </w:pPr>
          </w:p>
          <w:p w14:paraId="2CF9E299">
            <w:pPr>
              <w:pStyle w:val="30"/>
              <w:keepNext w:val="0"/>
              <w:keepLines w:val="0"/>
              <w:pageBreakBefore w:val="0"/>
              <w:widowControl w:val="0"/>
              <w:kinsoku/>
              <w:bidi w:val="0"/>
              <w:jc w:val="both"/>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接地装置采用热镀 锌钢材。</w:t>
            </w:r>
          </w:p>
        </w:tc>
        <w:tc>
          <w:tcPr>
            <w:tcW w:w="478" w:type="pct"/>
            <w:shd w:val="clear" w:color="auto" w:fill="auto"/>
            <w:noWrap w:val="0"/>
            <w:vAlign w:val="top"/>
          </w:tcPr>
          <w:p w14:paraId="17CC8173">
            <w:pPr>
              <w:pStyle w:val="30"/>
              <w:keepNext w:val="0"/>
              <w:keepLines w:val="0"/>
              <w:pageBreakBefore w:val="0"/>
              <w:widowControl w:val="0"/>
              <w:kinsoku/>
              <w:bidi w:val="0"/>
              <w:jc w:val="both"/>
              <w:rPr>
                <w:rFonts w:hint="eastAsia" w:ascii="宋体" w:hAnsi="宋体" w:eastAsia="宋体" w:cs="宋体"/>
                <w:color w:val="000000" w:themeColor="text1"/>
                <w:sz w:val="21"/>
                <w:szCs w:val="21"/>
                <w14:textFill>
                  <w14:solidFill>
                    <w14:schemeClr w14:val="tx1"/>
                  </w14:solidFill>
                </w14:textFill>
              </w:rPr>
            </w:pPr>
          </w:p>
          <w:p w14:paraId="71CFA522">
            <w:pPr>
              <w:pStyle w:val="30"/>
              <w:keepNext w:val="0"/>
              <w:keepLines w:val="0"/>
              <w:pageBreakBefore w:val="0"/>
              <w:widowControl w:val="0"/>
              <w:kinsoku/>
              <w:bidi w:val="0"/>
              <w:jc w:val="both"/>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符合 </w:t>
            </w:r>
          </w:p>
        </w:tc>
      </w:tr>
      <w:tr w14:paraId="62A8E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275" w:type="pct"/>
            <w:noWrap w:val="0"/>
            <w:vAlign w:val="center"/>
          </w:tcPr>
          <w:p w14:paraId="31EE26A0">
            <w:pPr>
              <w:pStyle w:val="30"/>
              <w:keepNext w:val="0"/>
              <w:keepLines w:val="0"/>
              <w:pageBreakBefore w:val="0"/>
              <w:widowControl w:val="0"/>
              <w:numPr>
                <w:ilvl w:val="0"/>
                <w:numId w:val="0"/>
              </w:numPr>
              <w:tabs>
                <w:tab w:val="left" w:pos="0"/>
              </w:tabs>
              <w:kinsoku/>
              <w:bidi w:val="0"/>
              <w:ind w:left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7</w:t>
            </w:r>
          </w:p>
        </w:tc>
        <w:tc>
          <w:tcPr>
            <w:tcW w:w="1997" w:type="pct"/>
            <w:noWrap w:val="0"/>
            <w:vAlign w:val="center"/>
          </w:tcPr>
          <w:p w14:paraId="75CB01D2">
            <w:pPr>
              <w:pStyle w:val="30"/>
              <w:keepNext w:val="0"/>
              <w:keepLines w:val="0"/>
              <w:pageBreakBefore w:val="0"/>
              <w:widowControl w:val="0"/>
              <w:kinsoku/>
              <w:bidi w:val="0"/>
              <w:jc w:val="both"/>
              <w:rPr>
                <w:rFonts w:hint="eastAsia" w:ascii="宋体" w:hAnsi="宋体" w:eastAsia="宋体" w:cs="宋体"/>
                <w:color w:val="000000" w:themeColor="text1"/>
                <w:sz w:val="21"/>
                <w:szCs w:val="21"/>
                <w:lang w:val="en-US" w:eastAsia="en-US"/>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投入使用后的防雷装置实行定期检测制度。防雷装置应当每年检测一次，对爆炸和火灾危险环境场所的防雷装置应当每半年检测一次。</w:t>
            </w:r>
          </w:p>
        </w:tc>
        <w:tc>
          <w:tcPr>
            <w:tcW w:w="1273" w:type="pct"/>
            <w:noWrap w:val="0"/>
            <w:vAlign w:val="center"/>
          </w:tcPr>
          <w:p w14:paraId="24FC6AC1">
            <w:pPr>
              <w:pStyle w:val="30"/>
              <w:keepNext w:val="0"/>
              <w:keepLines w:val="0"/>
              <w:pageBreakBefore w:val="0"/>
              <w:widowControl w:val="0"/>
              <w:kinsoku/>
              <w:bidi w:val="0"/>
              <w:jc w:val="both"/>
              <w:rPr>
                <w:rFonts w:hint="eastAsia" w:ascii="宋体" w:hAnsi="宋体" w:eastAsia="宋体" w:cs="宋体"/>
                <w:color w:val="000000" w:themeColor="text1"/>
                <w:sz w:val="21"/>
                <w:szCs w:val="21"/>
                <w:lang w:val="en-US" w:eastAsia="en-US"/>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《防雷减灾管理办法》（中国气象局24号令）第19条</w:t>
            </w:r>
          </w:p>
        </w:tc>
        <w:tc>
          <w:tcPr>
            <w:tcW w:w="974" w:type="pct"/>
            <w:noWrap w:val="0"/>
            <w:vAlign w:val="center"/>
          </w:tcPr>
          <w:p w14:paraId="3A9780DB">
            <w:pPr>
              <w:pStyle w:val="30"/>
              <w:keepNext w:val="0"/>
              <w:keepLines w:val="0"/>
              <w:pageBreakBefore w:val="0"/>
              <w:widowControl w:val="0"/>
              <w:kinsoku/>
              <w:bidi w:val="0"/>
              <w:jc w:val="both"/>
              <w:rPr>
                <w:rFonts w:hint="eastAsia" w:ascii="宋体" w:hAnsi="宋体" w:eastAsia="宋体" w:cs="宋体"/>
                <w:color w:val="000000" w:themeColor="text1"/>
                <w:sz w:val="21"/>
                <w:szCs w:val="21"/>
                <w:lang w:val="en-US" w:eastAsia="en-US"/>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电站防雷装置委托有相应资质的防雷检测单位进行检测，结论为检测合格，并出具</w:t>
            </w:r>
            <w:r>
              <w:rPr>
                <w:rFonts w:hint="eastAsia" w:ascii="宋体" w:hAnsi="宋体" w:eastAsia="宋体" w:cs="宋体"/>
                <w:color w:val="000000" w:themeColor="text1"/>
                <w:sz w:val="21"/>
                <w:szCs w:val="21"/>
                <w:lang w:eastAsia="zh-CN"/>
                <w14:textFill>
                  <w14:solidFill>
                    <w14:schemeClr w14:val="tx1"/>
                  </w14:solidFill>
                </w14:textFill>
              </w:rPr>
              <w:t>了</w:t>
            </w:r>
            <w:r>
              <w:rPr>
                <w:rFonts w:hint="eastAsia" w:ascii="宋体" w:hAnsi="宋体" w:eastAsia="宋体" w:cs="宋体"/>
                <w:color w:val="000000" w:themeColor="text1"/>
                <w:sz w:val="21"/>
                <w:szCs w:val="21"/>
                <w14:textFill>
                  <w14:solidFill>
                    <w14:schemeClr w14:val="tx1"/>
                  </w14:solidFill>
                </w14:textFill>
              </w:rPr>
              <w:t>防雷检测报告。</w:t>
            </w:r>
            <w:r>
              <w:rPr>
                <w:rFonts w:hint="eastAsia" w:ascii="宋体" w:hAnsi="宋体" w:eastAsia="宋体" w:cs="宋体"/>
                <w:color w:val="000000" w:themeColor="text1"/>
                <w:sz w:val="21"/>
                <w:szCs w:val="21"/>
                <w:lang w:val="en-US" w:eastAsia="zh-CN"/>
                <w14:textFill>
                  <w14:solidFill>
                    <w14:schemeClr w14:val="tx1"/>
                  </w14:solidFill>
                </w14:textFill>
              </w:rPr>
              <w:t>(见附件23）</w:t>
            </w:r>
          </w:p>
        </w:tc>
        <w:tc>
          <w:tcPr>
            <w:tcW w:w="478" w:type="pct"/>
            <w:noWrap w:val="0"/>
            <w:vAlign w:val="center"/>
          </w:tcPr>
          <w:p w14:paraId="02B1816D">
            <w:pPr>
              <w:pStyle w:val="30"/>
              <w:keepNext w:val="0"/>
              <w:keepLines w:val="0"/>
              <w:pageBreakBefore w:val="0"/>
              <w:widowControl w:val="0"/>
              <w:kinsoku/>
              <w:bidi w:val="0"/>
              <w:jc w:val="both"/>
              <w:rPr>
                <w:rFonts w:hint="eastAsia" w:ascii="宋体" w:hAnsi="宋体" w:eastAsia="宋体" w:cs="宋体"/>
                <w:color w:val="000000" w:themeColor="text1"/>
                <w:sz w:val="21"/>
                <w:szCs w:val="21"/>
                <w:lang w:val="en-US" w:eastAsia="en-US"/>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bl>
    <w:p w14:paraId="261944C7">
      <w:pPr>
        <w:pStyle w:val="10"/>
        <w:keepNext w:val="0"/>
        <w:keepLines w:val="0"/>
        <w:pageBreakBefore w:val="0"/>
        <w:widowControl w:val="0"/>
        <w:kinsoku/>
        <w:wordWrap/>
        <w:overflowPunct/>
        <w:topLinePunct w:val="0"/>
        <w:autoSpaceDE/>
        <w:autoSpaceDN/>
        <w:bidi w:val="0"/>
        <w:adjustRightInd/>
        <w:snapToGrid/>
        <w:spacing w:after="0" w:line="420" w:lineRule="exact"/>
        <w:ind w:left="130" w:right="102" w:firstLine="559"/>
        <w:textAlignment w:val="auto"/>
        <w:rPr>
          <w:rFonts w:hint="eastAsia"/>
          <w:color w:val="000000" w:themeColor="text1"/>
          <w:sz w:val="28"/>
          <w:szCs w:val="28"/>
          <w14:textFill>
            <w14:solidFill>
              <w14:schemeClr w14:val="tx1"/>
            </w14:solidFill>
          </w14:textFill>
        </w:rPr>
      </w:pPr>
      <w:r>
        <w:rPr>
          <w:rFonts w:hint="eastAsia" w:ascii="宋体" w:hAnsi="宋体" w:eastAsia="宋体" w:cs="宋体"/>
          <w:color w:val="000000" w:themeColor="text1"/>
          <w:spacing w:val="-5"/>
          <w:sz w:val="28"/>
          <w:szCs w:val="28"/>
          <w14:textFill>
            <w14:solidFill>
              <w14:schemeClr w14:val="tx1"/>
            </w14:solidFill>
          </w14:textFill>
        </w:rPr>
        <w:t>评价分析：针对</w:t>
      </w:r>
      <w:r>
        <w:rPr>
          <w:rFonts w:hint="eastAsia" w:ascii="宋体" w:hAnsi="宋体" w:eastAsia="宋体" w:cs="宋体"/>
          <w:color w:val="000000" w:themeColor="text1"/>
          <w:spacing w:val="-5"/>
          <w:sz w:val="28"/>
          <w:szCs w:val="28"/>
          <w:lang w:val="en-US" w:eastAsia="zh-CN"/>
          <w14:textFill>
            <w14:solidFill>
              <w14:schemeClr w14:val="tx1"/>
            </w14:solidFill>
          </w14:textFill>
        </w:rPr>
        <w:t>防雷、接地子单元</w:t>
      </w:r>
      <w:r>
        <w:rPr>
          <w:rFonts w:hint="eastAsia" w:ascii="宋体" w:hAnsi="宋体" w:eastAsia="宋体" w:cs="宋体"/>
          <w:color w:val="000000" w:themeColor="text1"/>
          <w:spacing w:val="-5"/>
          <w:sz w:val="28"/>
          <w:szCs w:val="28"/>
          <w14:textFill>
            <w14:solidFill>
              <w14:schemeClr w14:val="tx1"/>
            </w14:solidFill>
          </w14:textFill>
        </w:rPr>
        <w:t>安全检查表内的</w:t>
      </w:r>
      <w:r>
        <w:rPr>
          <w:rFonts w:hint="eastAsia" w:ascii="宋体" w:hAnsi="宋体" w:eastAsia="宋体" w:cs="宋体"/>
          <w:color w:val="000000" w:themeColor="text1"/>
          <w:spacing w:val="-61"/>
          <w:sz w:val="28"/>
          <w:szCs w:val="28"/>
          <w14:textFill>
            <w14:solidFill>
              <w14:schemeClr w14:val="tx1"/>
            </w14:solidFill>
          </w14:textFill>
        </w:rPr>
        <w:t xml:space="preserve"> </w:t>
      </w:r>
      <w:r>
        <w:rPr>
          <w:rFonts w:hint="eastAsia" w:ascii="宋体" w:hAnsi="宋体" w:cs="宋体"/>
          <w:color w:val="000000" w:themeColor="text1"/>
          <w:spacing w:val="-5"/>
          <w:sz w:val="28"/>
          <w:szCs w:val="28"/>
          <w:lang w:val="en-US" w:eastAsia="zh-CN"/>
          <w14:textFill>
            <w14:solidFill>
              <w14:schemeClr w14:val="tx1"/>
            </w14:solidFill>
          </w14:textFill>
        </w:rPr>
        <w:t>7</w:t>
      </w:r>
      <w:r>
        <w:rPr>
          <w:rFonts w:hint="eastAsia" w:ascii="宋体" w:hAnsi="宋体" w:eastAsia="宋体" w:cs="宋体"/>
          <w:color w:val="000000" w:themeColor="text1"/>
          <w:spacing w:val="-5"/>
          <w:sz w:val="28"/>
          <w:szCs w:val="28"/>
          <w14:textFill>
            <w14:solidFill>
              <w14:schemeClr w14:val="tx1"/>
            </w14:solidFill>
          </w14:textFill>
        </w:rPr>
        <w:t>项内容，其中</w:t>
      </w:r>
      <w:r>
        <w:rPr>
          <w:rFonts w:hint="eastAsia" w:ascii="宋体" w:hAnsi="宋体" w:cs="宋体"/>
          <w:color w:val="000000" w:themeColor="text1"/>
          <w:spacing w:val="-57"/>
          <w:sz w:val="28"/>
          <w:szCs w:val="28"/>
          <w:lang w:val="en-US" w:eastAsia="zh-CN"/>
          <w14:textFill>
            <w14:solidFill>
              <w14:schemeClr w14:val="tx1"/>
            </w14:solidFill>
          </w14:textFill>
        </w:rPr>
        <w:t>7</w:t>
      </w:r>
      <w:r>
        <w:rPr>
          <w:rFonts w:hint="eastAsia" w:ascii="宋体" w:hAnsi="宋体" w:eastAsia="宋体" w:cs="宋体"/>
          <w:color w:val="000000" w:themeColor="text1"/>
          <w:spacing w:val="-5"/>
          <w:sz w:val="28"/>
          <w:szCs w:val="28"/>
          <w14:textFill>
            <w14:solidFill>
              <w14:schemeClr w14:val="tx1"/>
            </w14:solidFill>
          </w14:textFill>
        </w:rPr>
        <w:t>项</w:t>
      </w:r>
      <w:r>
        <w:rPr>
          <w:rFonts w:hint="eastAsia" w:ascii="宋体" w:hAnsi="宋体" w:eastAsia="宋体" w:cs="宋体"/>
          <w:color w:val="000000" w:themeColor="text1"/>
          <w:spacing w:val="-6"/>
          <w:sz w:val="28"/>
          <w:szCs w:val="28"/>
          <w14:textFill>
            <w14:solidFill>
              <w14:schemeClr w14:val="tx1"/>
            </w14:solidFill>
          </w14:textFill>
        </w:rPr>
        <w:t>合格，</w:t>
      </w:r>
      <w:r>
        <w:rPr>
          <w:rFonts w:hint="eastAsia" w:ascii="宋体" w:hAnsi="宋体" w:eastAsia="宋体" w:cs="宋体"/>
          <w:color w:val="000000" w:themeColor="text1"/>
          <w:spacing w:val="-6"/>
          <w:sz w:val="28"/>
          <w:szCs w:val="28"/>
          <w:lang w:val="en-US" w:eastAsia="zh-CN"/>
          <w14:textFill>
            <w14:solidFill>
              <w14:schemeClr w14:val="tx1"/>
            </w14:solidFill>
          </w14:textFill>
        </w:rPr>
        <w:t>0</w:t>
      </w:r>
      <w:r>
        <w:rPr>
          <w:rFonts w:hint="eastAsia" w:ascii="宋体" w:hAnsi="宋体" w:eastAsia="宋体" w:cs="宋体"/>
          <w:color w:val="000000" w:themeColor="text1"/>
          <w:spacing w:val="-6"/>
          <w:sz w:val="28"/>
          <w:szCs w:val="28"/>
          <w14:textFill>
            <w14:solidFill>
              <w14:schemeClr w14:val="tx1"/>
            </w14:solidFill>
          </w14:textFill>
        </w:rPr>
        <w:t>项不</w:t>
      </w:r>
      <w:r>
        <w:rPr>
          <w:rFonts w:hint="eastAsia" w:ascii="宋体" w:hAnsi="宋体" w:eastAsia="宋体" w:cs="宋体"/>
          <w:color w:val="000000" w:themeColor="text1"/>
          <w:spacing w:val="-4"/>
          <w:sz w:val="28"/>
          <w:szCs w:val="28"/>
          <w14:textFill>
            <w14:solidFill>
              <w14:schemeClr w14:val="tx1"/>
            </w14:solidFill>
          </w14:textFill>
        </w:rPr>
        <w:t>合格。</w:t>
      </w:r>
    </w:p>
    <w:p w14:paraId="7FD5D7E5">
      <w:pPr>
        <w:pageBreakBefore w:val="0"/>
        <w:widowControl w:val="0"/>
        <w:numPr>
          <w:ilvl w:val="3"/>
          <w:numId w:val="0"/>
        </w:numPr>
        <w:tabs>
          <w:tab w:val="left" w:pos="420"/>
        </w:tabs>
        <w:kinsoku/>
        <w:wordWrap/>
        <w:overflowPunct/>
        <w:topLinePunct w:val="0"/>
        <w:autoSpaceDE/>
        <w:autoSpaceDN/>
        <w:bidi w:val="0"/>
        <w:spacing w:line="420" w:lineRule="exact"/>
        <w:ind w:leftChars="0"/>
        <w:textAlignment w:val="auto"/>
        <w:outlineLvl w:val="9"/>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5.5.2.2</w:t>
      </w:r>
      <w:r>
        <w:rPr>
          <w:rFonts w:hint="eastAsia" w:ascii="宋体" w:hAnsi="宋体" w:eastAsia="宋体" w:cs="宋体"/>
          <w:b/>
          <w:bCs/>
          <w:color w:val="000000" w:themeColor="text1"/>
          <w:sz w:val="28"/>
          <w:szCs w:val="28"/>
          <w14:textFill>
            <w14:solidFill>
              <w14:schemeClr w14:val="tx1"/>
            </w14:solidFill>
          </w14:textFill>
        </w:rPr>
        <w:t>防雷、接地装置子单元小结</w:t>
      </w:r>
    </w:p>
    <w:p w14:paraId="563209F7">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该光伏电站防雷设计符合《建筑物防雷设计规范》（GB500057-2010）及《交流电气装置的接地设计规范》（</w:t>
      </w:r>
      <w:r>
        <w:rPr>
          <w:rFonts w:hint="eastAsia" w:ascii="宋体" w:hAnsi="宋体" w:eastAsia="宋体" w:cs="宋体"/>
          <w:color w:val="000000" w:themeColor="text1"/>
          <w:sz w:val="28"/>
          <w:szCs w:val="28"/>
          <w:lang w:eastAsia="zh-CN"/>
          <w14:textFill>
            <w14:solidFill>
              <w14:schemeClr w14:val="tx1"/>
            </w14:solidFill>
          </w14:textFill>
        </w:rPr>
        <w:t>GB/T 50065-2011</w:t>
      </w:r>
      <w:r>
        <w:rPr>
          <w:rFonts w:hint="eastAsia" w:ascii="宋体" w:hAnsi="宋体" w:eastAsia="宋体" w:cs="宋体"/>
          <w:color w:val="000000" w:themeColor="text1"/>
          <w:sz w:val="28"/>
          <w:szCs w:val="28"/>
          <w:lang w:val="en-US" w:eastAsia="zh-CN"/>
          <w14:textFill>
            <w14:solidFill>
              <w14:schemeClr w14:val="tx1"/>
            </w14:solidFill>
          </w14:textFill>
        </w:rPr>
        <w:t>）等要求。</w:t>
      </w:r>
    </w:p>
    <w:p w14:paraId="4B319FCC">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443" w:name="_Toc13764"/>
      <w:bookmarkStart w:id="444" w:name="_Toc21939"/>
      <w:bookmarkStart w:id="445" w:name="_Toc13231"/>
      <w:r>
        <w:rPr>
          <w:rFonts w:hint="eastAsia" w:ascii="宋体" w:hAnsi="宋体" w:eastAsia="宋体" w:cs="宋体"/>
          <w:b/>
          <w:bCs w:val="0"/>
          <w:color w:val="000000" w:themeColor="text1"/>
          <w:sz w:val="30"/>
          <w:szCs w:val="30"/>
          <w:lang w:val="en-US" w:eastAsia="zh-CN"/>
          <w14:textFill>
            <w14:solidFill>
              <w14:schemeClr w14:val="tx1"/>
            </w14:solidFill>
          </w14:textFill>
        </w:rPr>
        <w:t>5.5.3</w:t>
      </w:r>
      <w:r>
        <w:rPr>
          <w:rFonts w:hint="eastAsia" w:ascii="宋体" w:hAnsi="宋体" w:eastAsia="宋体" w:cs="宋体"/>
          <w:b/>
          <w:bCs w:val="0"/>
          <w:color w:val="000000" w:themeColor="text1"/>
          <w:sz w:val="30"/>
          <w:szCs w:val="30"/>
          <w14:textFill>
            <w14:solidFill>
              <w14:schemeClr w14:val="tx1"/>
            </w14:solidFill>
          </w14:textFill>
        </w:rPr>
        <w:t>安全工器具及个体防护子单元</w:t>
      </w:r>
      <w:bookmarkEnd w:id="443"/>
      <w:bookmarkEnd w:id="444"/>
      <w:bookmarkEnd w:id="445"/>
    </w:p>
    <w:p w14:paraId="60F0E236">
      <w:pPr>
        <w:pageBreakBefore w:val="0"/>
        <w:widowControl w:val="0"/>
        <w:numPr>
          <w:ilvl w:val="3"/>
          <w:numId w:val="0"/>
        </w:numPr>
        <w:tabs>
          <w:tab w:val="left" w:pos="420"/>
        </w:tabs>
        <w:kinsoku/>
        <w:wordWrap/>
        <w:overflowPunct/>
        <w:topLinePunct w:val="0"/>
        <w:autoSpaceDE/>
        <w:autoSpaceDN/>
        <w:bidi w:val="0"/>
        <w:spacing w:line="420" w:lineRule="exact"/>
        <w:ind w:leftChars="0"/>
        <w:textAlignment w:val="auto"/>
        <w:outlineLvl w:val="9"/>
        <w:rPr>
          <w:b/>
          <w:bCs/>
          <w:color w:val="000000" w:themeColor="text1"/>
          <w:sz w:val="28"/>
          <w:szCs w:val="28"/>
          <w14:textFill>
            <w14:solidFill>
              <w14:schemeClr w14:val="tx1"/>
            </w14:solidFill>
          </w14:textFill>
        </w:rPr>
      </w:pPr>
      <w:r>
        <w:rPr>
          <w:rFonts w:hint="eastAsia"/>
          <w:b/>
          <w:bCs/>
          <w:color w:val="000000" w:themeColor="text1"/>
          <w:sz w:val="28"/>
          <w:szCs w:val="28"/>
          <w:lang w:val="en-US" w:eastAsia="zh-CN"/>
          <w14:textFill>
            <w14:solidFill>
              <w14:schemeClr w14:val="tx1"/>
            </w14:solidFill>
          </w14:textFill>
        </w:rPr>
        <w:t>5.5.3.1</w:t>
      </w:r>
      <w:r>
        <w:rPr>
          <w:rFonts w:hint="eastAsia"/>
          <w:b/>
          <w:bCs/>
          <w:color w:val="000000" w:themeColor="text1"/>
          <w:sz w:val="28"/>
          <w:szCs w:val="28"/>
          <w14:textFill>
            <w14:solidFill>
              <w14:schemeClr w14:val="tx1"/>
            </w14:solidFill>
          </w14:textFill>
        </w:rPr>
        <w:t>安全工器具及个体防护</w:t>
      </w:r>
      <w:r>
        <w:rPr>
          <w:b/>
          <w:bCs/>
          <w:color w:val="000000" w:themeColor="text1"/>
          <w:sz w:val="28"/>
          <w:szCs w:val="28"/>
          <w14:textFill>
            <w14:solidFill>
              <w14:schemeClr w14:val="tx1"/>
            </w14:solidFill>
          </w14:textFill>
        </w:rPr>
        <w:t>子单元安全检查表</w:t>
      </w:r>
    </w:p>
    <w:p w14:paraId="62D1B02F">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该电站配置的安全工器具有接地线、令克棒、操作杆、各电压等级验电器等</w:t>
      </w:r>
      <w:r>
        <w:rPr>
          <w:rFonts w:hint="eastAsia" w:ascii="宋体" w:hAnsi="宋体" w:cs="宋体"/>
          <w:color w:val="000000" w:themeColor="text1"/>
          <w:sz w:val="28"/>
          <w:szCs w:val="28"/>
          <w:lang w:val="en-US" w:eastAsia="zh-CN"/>
          <w14:textFill>
            <w14:solidFill>
              <w14:schemeClr w14:val="tx1"/>
            </w14:solidFill>
          </w14:textFill>
        </w:rPr>
        <w:t>放置在升压站</w:t>
      </w:r>
      <w:r>
        <w:rPr>
          <w:rFonts w:hint="eastAsia" w:ascii="宋体" w:hAnsi="宋体" w:eastAsia="宋体" w:cs="宋体"/>
          <w:color w:val="000000" w:themeColor="text1"/>
          <w:sz w:val="28"/>
          <w:szCs w:val="28"/>
          <w14:textFill>
            <w14:solidFill>
              <w14:schemeClr w14:val="tx1"/>
            </w14:solidFill>
          </w14:textFill>
        </w:rPr>
        <w:t>。个体防护用品有工作服、绝缘靴、绝缘手套、安全帽、安全绳等</w:t>
      </w:r>
      <w:r>
        <w:rPr>
          <w:rFonts w:hint="eastAsia" w:ascii="宋体" w:hAnsi="宋体" w:cs="宋体"/>
          <w:color w:val="000000" w:themeColor="text1"/>
          <w:sz w:val="28"/>
          <w:szCs w:val="28"/>
          <w:lang w:val="en-US" w:eastAsia="zh-CN"/>
          <w14:textFill>
            <w14:solidFill>
              <w14:schemeClr w14:val="tx1"/>
            </w14:solidFill>
          </w14:textFill>
        </w:rPr>
        <w:t>放置在驻点</w:t>
      </w:r>
      <w:r>
        <w:rPr>
          <w:rFonts w:hint="eastAsia" w:ascii="宋体" w:hAnsi="宋体" w:eastAsia="宋体" w:cs="宋体"/>
          <w:color w:val="000000" w:themeColor="text1"/>
          <w:sz w:val="28"/>
          <w:szCs w:val="28"/>
          <w14:textFill>
            <w14:solidFill>
              <w14:schemeClr w14:val="tx1"/>
            </w14:solidFill>
          </w14:textFill>
        </w:rPr>
        <w:t>。依据《电力安全工作规程发电厂和变电站电气部分》（GB26860-2011）</w:t>
      </w:r>
      <w:r>
        <w:rPr>
          <w:rFonts w:hint="eastAsia" w:ascii="宋体" w:hAnsi="宋体" w:eastAsia="宋体" w:cs="宋体"/>
          <w:color w:val="000000" w:themeColor="text1"/>
          <w:sz w:val="28"/>
          <w:szCs w:val="28"/>
          <w:lang w:eastAsia="zh-CN"/>
          <w14:textFill>
            <w14:solidFill>
              <w14:schemeClr w14:val="tx1"/>
            </w14:solidFill>
          </w14:textFill>
        </w:rPr>
        <w:t>及</w:t>
      </w:r>
      <w:r>
        <w:rPr>
          <w:rFonts w:hint="eastAsia" w:ascii="宋体" w:hAnsi="宋体" w:eastAsia="宋体" w:cs="宋体"/>
          <w:color w:val="000000" w:themeColor="text1"/>
          <w:sz w:val="28"/>
          <w:szCs w:val="28"/>
          <w14:textFill>
            <w14:solidFill>
              <w14:schemeClr w14:val="tx1"/>
            </w14:solidFill>
          </w14:textFill>
        </w:rPr>
        <w:t>《个体防护装备配备规范第1部分：总则》（GB 39800.1-2020）等的规定及相关行业的安全规定编制安全检查表，对本电站安全工器具进行对照检查，结果如表5-</w:t>
      </w:r>
      <w:r>
        <w:rPr>
          <w:rFonts w:hint="eastAsia" w:ascii="宋体" w:hAnsi="宋体" w:eastAsia="宋体" w:cs="宋体"/>
          <w:color w:val="000000" w:themeColor="text1"/>
          <w:sz w:val="28"/>
          <w:szCs w:val="28"/>
          <w:lang w:val="en-US" w:eastAsia="zh-CN"/>
          <w14:textFill>
            <w14:solidFill>
              <w14:schemeClr w14:val="tx1"/>
            </w14:solidFill>
          </w14:textFill>
        </w:rPr>
        <w:t>5.2</w:t>
      </w:r>
      <w:r>
        <w:rPr>
          <w:rFonts w:hint="eastAsia" w:ascii="宋体" w:hAnsi="宋体" w:eastAsia="宋体" w:cs="宋体"/>
          <w:color w:val="000000" w:themeColor="text1"/>
          <w:sz w:val="28"/>
          <w:szCs w:val="28"/>
          <w14:textFill>
            <w14:solidFill>
              <w14:schemeClr w14:val="tx1"/>
            </w14:solidFill>
          </w14:textFill>
        </w:rPr>
        <w:t>。</w:t>
      </w:r>
    </w:p>
    <w:p w14:paraId="6854800B">
      <w:pPr>
        <w:pStyle w:val="8"/>
        <w:keepNext w:val="0"/>
        <w:keepLines w:val="0"/>
        <w:pageBreakBefore w:val="0"/>
        <w:widowControl w:val="0"/>
        <w:numPr>
          <w:ilvl w:val="0"/>
          <w:numId w:val="0"/>
        </w:numPr>
        <w:kinsoku/>
        <w:wordWrap/>
        <w:overflowPunct/>
        <w:topLinePunct w:val="0"/>
        <w:autoSpaceDE/>
        <w:autoSpaceDN/>
        <w:bidi w:val="0"/>
        <w:spacing w:line="420" w:lineRule="exact"/>
        <w:ind w:left="0" w:leftChars="0" w:firstLine="482" w:firstLineChars="200"/>
        <w:jc w:val="center"/>
        <w:textAlignment w:val="auto"/>
        <w:rPr>
          <w:rFonts w:hint="eastAsia" w:ascii="宋体" w:hAnsi="宋体"/>
          <w:color w:val="000000" w:themeColor="text1"/>
          <w:sz w:val="24"/>
          <w:szCs w:val="24"/>
          <w14:textFill>
            <w14:solidFill>
              <w14:schemeClr w14:val="tx1"/>
            </w14:solidFill>
          </w14:textFill>
        </w:rPr>
      </w:pPr>
      <w:r>
        <w:rPr>
          <w:color w:val="000000" w:themeColor="text1"/>
          <w14:textFill>
            <w14:solidFill>
              <w14:schemeClr w14:val="tx1"/>
            </w14:solidFill>
          </w14:textFill>
        </w:rPr>
        <w:t xml:space="preserve">表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5.2</w:t>
      </w:r>
      <w:r>
        <w:rPr>
          <w:rFonts w:hint="eastAsia" w:ascii="宋体" w:hAnsi="宋体"/>
          <w:color w:val="000000" w:themeColor="text1"/>
          <w:sz w:val="24"/>
          <w:szCs w:val="24"/>
          <w14:textFill>
            <w14:solidFill>
              <w14:schemeClr w14:val="tx1"/>
            </w14:solidFill>
          </w14:textFill>
        </w:rPr>
        <w:t>安全工器具及个体防护安全检查表</w:t>
      </w:r>
    </w:p>
    <w:tbl>
      <w:tblPr>
        <w:tblStyle w:val="2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57" w:type="dxa"/>
          <w:right w:w="108" w:type="dxa"/>
        </w:tblCellMar>
      </w:tblPr>
      <w:tblGrid>
        <w:gridCol w:w="608"/>
        <w:gridCol w:w="3526"/>
        <w:gridCol w:w="2276"/>
        <w:gridCol w:w="1924"/>
        <w:gridCol w:w="779"/>
      </w:tblGrid>
      <w:tr w14:paraId="6A435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tblHeader/>
          <w:jc w:val="center"/>
        </w:trPr>
        <w:tc>
          <w:tcPr>
            <w:tcW w:w="334" w:type="pct"/>
            <w:noWrap w:val="0"/>
            <w:vAlign w:val="center"/>
          </w:tcPr>
          <w:p w14:paraId="277CF78D">
            <w:pPr>
              <w:pStyle w:val="30"/>
              <w:keepNext w:val="0"/>
              <w:keepLines w:val="0"/>
              <w:pageBreakBefore w:val="0"/>
              <w:widowControl w:val="0"/>
              <w:kinsoku/>
              <w:bidi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序号</w:t>
            </w:r>
          </w:p>
        </w:tc>
        <w:tc>
          <w:tcPr>
            <w:tcW w:w="1934" w:type="pct"/>
            <w:noWrap w:val="0"/>
            <w:vAlign w:val="center"/>
          </w:tcPr>
          <w:p w14:paraId="444FB698">
            <w:pPr>
              <w:pStyle w:val="30"/>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检查内容</w:t>
            </w:r>
          </w:p>
        </w:tc>
        <w:tc>
          <w:tcPr>
            <w:tcW w:w="1248" w:type="pct"/>
            <w:noWrap w:val="0"/>
            <w:vAlign w:val="center"/>
          </w:tcPr>
          <w:p w14:paraId="1487EBBD">
            <w:pPr>
              <w:pStyle w:val="30"/>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检查依据</w:t>
            </w:r>
          </w:p>
        </w:tc>
        <w:tc>
          <w:tcPr>
            <w:tcW w:w="1055" w:type="pct"/>
            <w:noWrap w:val="0"/>
            <w:vAlign w:val="center"/>
          </w:tcPr>
          <w:p w14:paraId="3F8B1E76">
            <w:pPr>
              <w:pStyle w:val="30"/>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检查情况</w:t>
            </w:r>
          </w:p>
        </w:tc>
        <w:tc>
          <w:tcPr>
            <w:tcW w:w="427" w:type="pct"/>
            <w:noWrap w:val="0"/>
            <w:vAlign w:val="center"/>
          </w:tcPr>
          <w:p w14:paraId="20C3D4E5">
            <w:pPr>
              <w:pStyle w:val="30"/>
              <w:keepNext w:val="0"/>
              <w:keepLines w:val="0"/>
              <w:pageBreakBefore w:val="0"/>
              <w:widowControl w:val="0"/>
              <w:kinsoku/>
              <w:bidi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检查结果</w:t>
            </w:r>
          </w:p>
        </w:tc>
      </w:tr>
      <w:tr w14:paraId="3AF05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334" w:type="pct"/>
            <w:noWrap w:val="0"/>
            <w:vAlign w:val="center"/>
          </w:tcPr>
          <w:p w14:paraId="37ACD953">
            <w:pPr>
              <w:pStyle w:val="30"/>
              <w:keepNext w:val="0"/>
              <w:keepLines w:val="0"/>
              <w:pageBreakBefore w:val="0"/>
              <w:widowControl w:val="0"/>
              <w:numPr>
                <w:ilvl w:val="0"/>
                <w:numId w:val="38"/>
              </w:numPr>
              <w:kinsoku/>
              <w:bidi w:val="0"/>
              <w:ind w:left="425" w:leftChars="0" w:hanging="425" w:firstLineChars="0"/>
              <w:rPr>
                <w:rFonts w:ascii="Times New Roman" w:hAnsi="Times New Roman" w:eastAsia="宋体" w:cs="Times New Roman"/>
                <w:color w:val="000000" w:themeColor="text1"/>
                <w14:textFill>
                  <w14:solidFill>
                    <w14:schemeClr w14:val="tx1"/>
                  </w14:solidFill>
                </w14:textFill>
              </w:rPr>
            </w:pPr>
          </w:p>
        </w:tc>
        <w:tc>
          <w:tcPr>
            <w:tcW w:w="1934" w:type="pct"/>
            <w:noWrap w:val="0"/>
            <w:vAlign w:val="center"/>
          </w:tcPr>
          <w:p w14:paraId="596B02E5">
            <w:pPr>
              <w:pStyle w:val="30"/>
              <w:keepNext w:val="0"/>
              <w:keepLines w:val="0"/>
              <w:pageBreakBefore w:val="0"/>
              <w:widowControl w:val="0"/>
              <w:kinsoku/>
              <w:bidi w:val="0"/>
              <w:jc w:val="both"/>
              <w:rPr>
                <w:rFonts w:hint="eastAsia"/>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遇高压验电应戴绝缘手套，人体与被验电设备的距离应符合安全距离的要求。验电作业人员按要求佩戴劳动防护用品。</w:t>
            </w:r>
          </w:p>
        </w:tc>
        <w:tc>
          <w:tcPr>
            <w:tcW w:w="1248" w:type="pct"/>
            <w:noWrap w:val="0"/>
            <w:vAlign w:val="center"/>
          </w:tcPr>
          <w:p w14:paraId="7C809EFA">
            <w:pPr>
              <w:pStyle w:val="30"/>
              <w:keepNext w:val="0"/>
              <w:keepLines w:val="0"/>
              <w:pageBreakBefore w:val="0"/>
              <w:widowControl w:val="0"/>
              <w:kinsoku/>
              <w:bidi w:val="0"/>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《电力安全工作规程</w:t>
            </w:r>
            <w:r>
              <w:rPr>
                <w:rFonts w:hint="eastAsia"/>
                <w:color w:val="000000" w:themeColor="text1"/>
                <w:lang w:val="en-US" w:eastAsia="zh-CN"/>
                <w14:textFill>
                  <w14:solidFill>
                    <w14:schemeClr w14:val="tx1"/>
                  </w14:solidFill>
                </w14:textFill>
              </w:rPr>
              <w:t xml:space="preserve"> </w:t>
            </w:r>
            <w:r>
              <w:rPr>
                <w:rFonts w:hint="eastAsia"/>
                <w:color w:val="000000" w:themeColor="text1"/>
                <w14:textFill>
                  <w14:solidFill>
                    <w14:schemeClr w14:val="tx1"/>
                  </w14:solidFill>
                </w14:textFill>
              </w:rPr>
              <w:t>发电厂和变电站电气部分》</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GB26860-2011</w:t>
            </w:r>
            <w:r>
              <w:rPr>
                <w:rFonts w:hint="eastAsia"/>
                <w:color w:val="000000" w:themeColor="text1"/>
                <w:lang w:eastAsia="zh-CN"/>
                <w14:textFill>
                  <w14:solidFill>
                    <w14:schemeClr w14:val="tx1"/>
                  </w14:solidFill>
                </w14:textFill>
              </w:rPr>
              <w:t>）</w:t>
            </w:r>
          </w:p>
          <w:p w14:paraId="77F87D7D">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第6.3.2条</w:t>
            </w:r>
          </w:p>
        </w:tc>
        <w:tc>
          <w:tcPr>
            <w:tcW w:w="1055" w:type="pct"/>
            <w:noWrap w:val="0"/>
            <w:vAlign w:val="center"/>
          </w:tcPr>
          <w:p w14:paraId="4CF69FB4">
            <w:pPr>
              <w:pStyle w:val="30"/>
              <w:keepNext w:val="0"/>
              <w:keepLines w:val="0"/>
              <w:pageBreakBefore w:val="0"/>
              <w:widowControl w:val="0"/>
              <w:kinsoku/>
              <w:bidi w:val="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验电作业人员按要求佩戴劳动防护用品。</w:t>
            </w:r>
          </w:p>
        </w:tc>
        <w:tc>
          <w:tcPr>
            <w:tcW w:w="427" w:type="pct"/>
            <w:noWrap w:val="0"/>
            <w:vAlign w:val="center"/>
          </w:tcPr>
          <w:p w14:paraId="3D5B9876">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0B783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334" w:type="pct"/>
            <w:noWrap w:val="0"/>
            <w:vAlign w:val="center"/>
          </w:tcPr>
          <w:p w14:paraId="39263E51">
            <w:pPr>
              <w:pStyle w:val="30"/>
              <w:keepNext w:val="0"/>
              <w:keepLines w:val="0"/>
              <w:pageBreakBefore w:val="0"/>
              <w:widowControl w:val="0"/>
              <w:numPr>
                <w:ilvl w:val="0"/>
                <w:numId w:val="38"/>
              </w:numPr>
              <w:kinsoku/>
              <w:bidi w:val="0"/>
              <w:ind w:left="425" w:leftChars="0" w:hanging="425" w:firstLineChars="0"/>
              <w:rPr>
                <w:rFonts w:ascii="Times New Roman" w:hAnsi="Times New Roman" w:eastAsia="宋体" w:cs="Times New Roman"/>
                <w:color w:val="000000" w:themeColor="text1"/>
                <w14:textFill>
                  <w14:solidFill>
                    <w14:schemeClr w14:val="tx1"/>
                  </w14:solidFill>
                </w14:textFill>
              </w:rPr>
            </w:pPr>
          </w:p>
        </w:tc>
        <w:tc>
          <w:tcPr>
            <w:tcW w:w="1934" w:type="pct"/>
            <w:noWrap w:val="0"/>
            <w:vAlign w:val="center"/>
          </w:tcPr>
          <w:p w14:paraId="3E3F96C2">
            <w:pPr>
              <w:pStyle w:val="30"/>
              <w:keepNext w:val="0"/>
              <w:keepLines w:val="0"/>
              <w:pageBreakBefore w:val="0"/>
              <w:widowControl w:val="0"/>
              <w:kinsoku/>
              <w:bidi w:val="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雷雨天气巡视室外高压设备时，应穿绝靴，不应使用伞具，不应靠近避雷器和雷针。</w:t>
            </w:r>
          </w:p>
        </w:tc>
        <w:tc>
          <w:tcPr>
            <w:tcW w:w="1248" w:type="pct"/>
            <w:noWrap w:val="0"/>
            <w:vAlign w:val="center"/>
          </w:tcPr>
          <w:p w14:paraId="6AD9C8F3">
            <w:pPr>
              <w:pStyle w:val="30"/>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电力安全工作规程</w:t>
            </w:r>
            <w:r>
              <w:rPr>
                <w:rFonts w:hint="eastAsia"/>
                <w:color w:val="000000" w:themeColor="text1"/>
                <w:lang w:val="en-US" w:eastAsia="zh-CN"/>
                <w14:textFill>
                  <w14:solidFill>
                    <w14:schemeClr w14:val="tx1"/>
                  </w14:solidFill>
                </w14:textFill>
              </w:rPr>
              <w:t xml:space="preserve"> </w:t>
            </w:r>
            <w:r>
              <w:rPr>
                <w:rFonts w:hint="eastAsia"/>
                <w:color w:val="000000" w:themeColor="text1"/>
                <w14:textFill>
                  <w14:solidFill>
                    <w14:schemeClr w14:val="tx1"/>
                  </w14:solidFill>
                </w14:textFill>
              </w:rPr>
              <w:t>发电厂和变电站电气部分</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GB26860-2011</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第7.2.2条</w:t>
            </w:r>
          </w:p>
        </w:tc>
        <w:tc>
          <w:tcPr>
            <w:tcW w:w="1055" w:type="pct"/>
            <w:noWrap w:val="0"/>
            <w:vAlign w:val="center"/>
          </w:tcPr>
          <w:p w14:paraId="52F9CD24">
            <w:pPr>
              <w:pStyle w:val="30"/>
              <w:keepNext w:val="0"/>
              <w:keepLines w:val="0"/>
              <w:pageBreakBefore w:val="0"/>
              <w:widowControl w:val="0"/>
              <w:kinsoku/>
              <w:bidi w:val="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电站有此规定，电站运行人员按规定执行。</w:t>
            </w:r>
          </w:p>
        </w:tc>
        <w:tc>
          <w:tcPr>
            <w:tcW w:w="427" w:type="pct"/>
            <w:noWrap w:val="0"/>
            <w:vAlign w:val="center"/>
          </w:tcPr>
          <w:p w14:paraId="7F9128E3">
            <w:pPr>
              <w:pStyle w:val="30"/>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16E31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334" w:type="pct"/>
            <w:noWrap w:val="0"/>
            <w:vAlign w:val="center"/>
          </w:tcPr>
          <w:p w14:paraId="416542C1">
            <w:pPr>
              <w:pStyle w:val="30"/>
              <w:keepNext w:val="0"/>
              <w:keepLines w:val="0"/>
              <w:pageBreakBefore w:val="0"/>
              <w:widowControl w:val="0"/>
              <w:numPr>
                <w:ilvl w:val="0"/>
                <w:numId w:val="38"/>
              </w:numPr>
              <w:kinsoku/>
              <w:bidi w:val="0"/>
              <w:ind w:left="425" w:leftChars="0" w:hanging="425" w:firstLineChars="0"/>
              <w:rPr>
                <w:rFonts w:ascii="Times New Roman" w:hAnsi="Times New Roman" w:eastAsia="宋体" w:cs="Times New Roman"/>
                <w:color w:val="000000" w:themeColor="text1"/>
                <w14:textFill>
                  <w14:solidFill>
                    <w14:schemeClr w14:val="tx1"/>
                  </w14:solidFill>
                </w14:textFill>
              </w:rPr>
            </w:pPr>
          </w:p>
        </w:tc>
        <w:tc>
          <w:tcPr>
            <w:tcW w:w="1934" w:type="pct"/>
            <w:noWrap w:val="0"/>
            <w:vAlign w:val="center"/>
          </w:tcPr>
          <w:p w14:paraId="11CEE167">
            <w:pPr>
              <w:pStyle w:val="30"/>
              <w:keepNext w:val="0"/>
              <w:keepLines w:val="0"/>
              <w:pageBreakBefore w:val="0"/>
              <w:widowControl w:val="0"/>
              <w:kinsoku/>
              <w:bidi w:val="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低压不停电工作，应站在干燥的绝缘物上，使用有绝缘柄的工具，穿绝缘鞋和棉长袖工作服，戴手套和护目眼镜。</w:t>
            </w:r>
          </w:p>
        </w:tc>
        <w:tc>
          <w:tcPr>
            <w:tcW w:w="1248" w:type="pct"/>
            <w:noWrap w:val="0"/>
            <w:vAlign w:val="center"/>
          </w:tcPr>
          <w:p w14:paraId="01539840">
            <w:pPr>
              <w:pStyle w:val="30"/>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电力安全工作规程</w:t>
            </w:r>
            <w:r>
              <w:rPr>
                <w:rFonts w:hint="eastAsia"/>
                <w:color w:val="000000" w:themeColor="text1"/>
                <w:lang w:val="en-US" w:eastAsia="zh-CN"/>
                <w14:textFill>
                  <w14:solidFill>
                    <w14:schemeClr w14:val="tx1"/>
                  </w14:solidFill>
                </w14:textFill>
              </w:rPr>
              <w:t xml:space="preserve"> </w:t>
            </w:r>
            <w:r>
              <w:rPr>
                <w:rFonts w:hint="eastAsia"/>
                <w:color w:val="000000" w:themeColor="text1"/>
                <w14:textFill>
                  <w14:solidFill>
                    <w14:schemeClr w14:val="tx1"/>
                  </w14:solidFill>
                </w14:textFill>
              </w:rPr>
              <w:t>发电厂和变电站电气部分</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GB26860-2011</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第6.3.2条</w:t>
            </w:r>
          </w:p>
        </w:tc>
        <w:tc>
          <w:tcPr>
            <w:tcW w:w="1055" w:type="pct"/>
            <w:noWrap w:val="0"/>
            <w:vAlign w:val="center"/>
          </w:tcPr>
          <w:p w14:paraId="2DB90AB1">
            <w:pPr>
              <w:pStyle w:val="30"/>
              <w:keepNext w:val="0"/>
              <w:keepLines w:val="0"/>
              <w:pageBreakBefore w:val="0"/>
              <w:widowControl w:val="0"/>
              <w:kinsoku/>
              <w:bidi w:val="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电站有此规定，电站运行人员按规定执行。</w:t>
            </w:r>
          </w:p>
        </w:tc>
        <w:tc>
          <w:tcPr>
            <w:tcW w:w="427" w:type="pct"/>
            <w:noWrap w:val="0"/>
            <w:vAlign w:val="center"/>
          </w:tcPr>
          <w:p w14:paraId="193F85F0">
            <w:pPr>
              <w:pStyle w:val="30"/>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bl>
    <w:p w14:paraId="7782CB79">
      <w:pPr>
        <w:pStyle w:val="10"/>
        <w:keepNext w:val="0"/>
        <w:keepLines w:val="0"/>
        <w:pageBreakBefore w:val="0"/>
        <w:widowControl w:val="0"/>
        <w:kinsoku/>
        <w:wordWrap/>
        <w:overflowPunct/>
        <w:topLinePunct w:val="0"/>
        <w:autoSpaceDE/>
        <w:autoSpaceDN/>
        <w:bidi w:val="0"/>
        <w:adjustRightInd/>
        <w:snapToGrid/>
        <w:spacing w:after="0" w:line="420" w:lineRule="exact"/>
        <w:ind w:left="130" w:right="102" w:firstLine="559"/>
        <w:textAlignment w:val="auto"/>
        <w:rPr>
          <w:rFonts w:hint="eastAsia"/>
          <w:color w:val="000000" w:themeColor="text1"/>
          <w:sz w:val="28"/>
          <w:szCs w:val="28"/>
          <w14:textFill>
            <w14:solidFill>
              <w14:schemeClr w14:val="tx1"/>
            </w14:solidFill>
          </w14:textFill>
        </w:rPr>
      </w:pPr>
      <w:r>
        <w:rPr>
          <w:rFonts w:hint="eastAsia" w:ascii="宋体" w:hAnsi="宋体" w:eastAsia="宋体" w:cs="宋体"/>
          <w:color w:val="000000" w:themeColor="text1"/>
          <w:spacing w:val="-5"/>
          <w:sz w:val="28"/>
          <w:szCs w:val="28"/>
          <w14:textFill>
            <w14:solidFill>
              <w14:schemeClr w14:val="tx1"/>
            </w14:solidFill>
          </w14:textFill>
        </w:rPr>
        <w:t>评价分析：针对</w:t>
      </w:r>
      <w:r>
        <w:rPr>
          <w:rFonts w:hint="eastAsia" w:ascii="宋体" w:hAnsi="宋体" w:eastAsia="宋体" w:cs="宋体"/>
          <w:color w:val="000000" w:themeColor="text1"/>
          <w:spacing w:val="-5"/>
          <w:sz w:val="28"/>
          <w:szCs w:val="28"/>
          <w:lang w:val="en-US" w:eastAsia="zh-CN"/>
          <w14:textFill>
            <w14:solidFill>
              <w14:schemeClr w14:val="tx1"/>
            </w14:solidFill>
          </w14:textFill>
        </w:rPr>
        <w:t>安全工器具及个人防护子单元</w:t>
      </w:r>
      <w:r>
        <w:rPr>
          <w:rFonts w:hint="eastAsia" w:ascii="宋体" w:hAnsi="宋体" w:eastAsia="宋体" w:cs="宋体"/>
          <w:color w:val="000000" w:themeColor="text1"/>
          <w:spacing w:val="-5"/>
          <w:sz w:val="28"/>
          <w:szCs w:val="28"/>
          <w14:textFill>
            <w14:solidFill>
              <w14:schemeClr w14:val="tx1"/>
            </w14:solidFill>
          </w14:textFill>
        </w:rPr>
        <w:t>安全检查表内的</w:t>
      </w:r>
      <w:r>
        <w:rPr>
          <w:rFonts w:hint="eastAsia" w:ascii="宋体" w:hAnsi="宋体" w:eastAsia="宋体" w:cs="宋体"/>
          <w:color w:val="000000" w:themeColor="text1"/>
          <w:spacing w:val="-61"/>
          <w:sz w:val="28"/>
          <w:szCs w:val="28"/>
          <w14:textFill>
            <w14:solidFill>
              <w14:schemeClr w14:val="tx1"/>
            </w14:solidFill>
          </w14:textFill>
        </w:rPr>
        <w:t xml:space="preserve"> </w:t>
      </w:r>
      <w:r>
        <w:rPr>
          <w:rFonts w:hint="eastAsia" w:ascii="宋体" w:hAnsi="宋体" w:eastAsia="宋体" w:cs="宋体"/>
          <w:color w:val="000000" w:themeColor="text1"/>
          <w:spacing w:val="-5"/>
          <w:sz w:val="28"/>
          <w:szCs w:val="28"/>
          <w:lang w:val="en-US" w:eastAsia="zh-CN"/>
          <w14:textFill>
            <w14:solidFill>
              <w14:schemeClr w14:val="tx1"/>
            </w14:solidFill>
          </w14:textFill>
        </w:rPr>
        <w:t>3</w:t>
      </w:r>
      <w:r>
        <w:rPr>
          <w:rFonts w:hint="eastAsia" w:ascii="宋体" w:hAnsi="宋体" w:eastAsia="宋体" w:cs="宋体"/>
          <w:color w:val="000000" w:themeColor="text1"/>
          <w:spacing w:val="-5"/>
          <w:sz w:val="28"/>
          <w:szCs w:val="28"/>
          <w14:textFill>
            <w14:solidFill>
              <w14:schemeClr w14:val="tx1"/>
            </w14:solidFill>
          </w14:textFill>
        </w:rPr>
        <w:t>项内容，其中</w:t>
      </w:r>
      <w:r>
        <w:rPr>
          <w:rFonts w:hint="eastAsia" w:ascii="宋体" w:hAnsi="宋体" w:eastAsia="宋体" w:cs="宋体"/>
          <w:color w:val="000000" w:themeColor="text1"/>
          <w:spacing w:val="-57"/>
          <w:sz w:val="28"/>
          <w:szCs w:val="28"/>
          <w:lang w:val="en-US" w:eastAsia="zh-CN"/>
          <w14:textFill>
            <w14:solidFill>
              <w14:schemeClr w14:val="tx1"/>
            </w14:solidFill>
          </w14:textFill>
        </w:rPr>
        <w:t>3</w:t>
      </w:r>
      <w:r>
        <w:rPr>
          <w:rFonts w:hint="eastAsia" w:ascii="宋体" w:hAnsi="宋体" w:eastAsia="宋体" w:cs="宋体"/>
          <w:color w:val="000000" w:themeColor="text1"/>
          <w:spacing w:val="-5"/>
          <w:sz w:val="28"/>
          <w:szCs w:val="28"/>
          <w14:textFill>
            <w14:solidFill>
              <w14:schemeClr w14:val="tx1"/>
            </w14:solidFill>
          </w14:textFill>
        </w:rPr>
        <w:t>项</w:t>
      </w:r>
      <w:r>
        <w:rPr>
          <w:rFonts w:hint="eastAsia" w:ascii="宋体" w:hAnsi="宋体" w:eastAsia="宋体" w:cs="宋体"/>
          <w:color w:val="000000" w:themeColor="text1"/>
          <w:spacing w:val="-6"/>
          <w:sz w:val="28"/>
          <w:szCs w:val="28"/>
          <w14:textFill>
            <w14:solidFill>
              <w14:schemeClr w14:val="tx1"/>
            </w14:solidFill>
          </w14:textFill>
        </w:rPr>
        <w:t>合格，</w:t>
      </w:r>
      <w:r>
        <w:rPr>
          <w:rFonts w:hint="eastAsia" w:ascii="宋体" w:hAnsi="宋体" w:eastAsia="宋体" w:cs="宋体"/>
          <w:color w:val="000000" w:themeColor="text1"/>
          <w:spacing w:val="-6"/>
          <w:sz w:val="28"/>
          <w:szCs w:val="28"/>
          <w:lang w:val="en-US" w:eastAsia="zh-CN"/>
          <w14:textFill>
            <w14:solidFill>
              <w14:schemeClr w14:val="tx1"/>
            </w14:solidFill>
          </w14:textFill>
        </w:rPr>
        <w:t>0</w:t>
      </w:r>
      <w:r>
        <w:rPr>
          <w:rFonts w:hint="eastAsia" w:ascii="宋体" w:hAnsi="宋体" w:eastAsia="宋体" w:cs="宋体"/>
          <w:color w:val="000000" w:themeColor="text1"/>
          <w:spacing w:val="-6"/>
          <w:sz w:val="28"/>
          <w:szCs w:val="28"/>
          <w14:textFill>
            <w14:solidFill>
              <w14:schemeClr w14:val="tx1"/>
            </w14:solidFill>
          </w14:textFill>
        </w:rPr>
        <w:t>项不</w:t>
      </w:r>
      <w:r>
        <w:rPr>
          <w:rFonts w:hint="eastAsia" w:ascii="宋体" w:hAnsi="宋体" w:eastAsia="宋体" w:cs="宋体"/>
          <w:color w:val="000000" w:themeColor="text1"/>
          <w:spacing w:val="-4"/>
          <w:sz w:val="28"/>
          <w:szCs w:val="28"/>
          <w14:textFill>
            <w14:solidFill>
              <w14:schemeClr w14:val="tx1"/>
            </w14:solidFill>
          </w14:textFill>
        </w:rPr>
        <w:t>合格。</w:t>
      </w:r>
    </w:p>
    <w:p w14:paraId="59FFD609">
      <w:pPr>
        <w:pageBreakBefore w:val="0"/>
        <w:widowControl w:val="0"/>
        <w:numPr>
          <w:ilvl w:val="3"/>
          <w:numId w:val="0"/>
        </w:numPr>
        <w:tabs>
          <w:tab w:val="left" w:pos="420"/>
        </w:tabs>
        <w:kinsoku/>
        <w:wordWrap/>
        <w:overflowPunct/>
        <w:topLinePunct w:val="0"/>
        <w:autoSpaceDE/>
        <w:autoSpaceDN/>
        <w:bidi w:val="0"/>
        <w:spacing w:line="420" w:lineRule="exact"/>
        <w:ind w:leftChars="0"/>
        <w:textAlignment w:val="auto"/>
        <w:outlineLvl w:val="9"/>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5.5.3.2</w:t>
      </w:r>
      <w:r>
        <w:rPr>
          <w:rFonts w:hint="eastAsia" w:ascii="宋体" w:hAnsi="宋体" w:eastAsia="宋体" w:cs="宋体"/>
          <w:b/>
          <w:bCs/>
          <w:color w:val="000000" w:themeColor="text1"/>
          <w:sz w:val="28"/>
          <w:szCs w:val="28"/>
          <w14:textFill>
            <w14:solidFill>
              <w14:schemeClr w14:val="tx1"/>
            </w14:solidFill>
          </w14:textFill>
        </w:rPr>
        <w:t>安全工器具及个体防护子单元小结</w:t>
      </w:r>
    </w:p>
    <w:p w14:paraId="6E02A85E">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本电站配置了绝缘鞋、绝缘手套、绝缘棒、安全帽、验电器、令克棒、接地等安全器具；为职工发放了工作服、绝缘手套等劳动防护用品。并给职工购买了工伤保险，能够满足职工的生产生活安全防护保障，符合安全生产的要求。</w:t>
      </w:r>
    </w:p>
    <w:p w14:paraId="671BD068">
      <w:pPr>
        <w:pStyle w:val="4"/>
        <w:pageBreakBefore w:val="0"/>
        <w:widowControl w:val="0"/>
        <w:kinsoku/>
        <w:wordWrap/>
        <w:overflowPunct/>
        <w:topLinePunct w:val="0"/>
        <w:autoSpaceDE/>
        <w:autoSpaceDN/>
        <w:bidi w:val="0"/>
        <w:spacing w:line="420" w:lineRule="exact"/>
        <w:textAlignment w:val="auto"/>
        <w:rPr>
          <w:rFonts w:hint="eastAsia"/>
          <w:color w:val="000000" w:themeColor="text1"/>
          <w:sz w:val="28"/>
          <w:szCs w:val="28"/>
          <w14:textFill>
            <w14:solidFill>
              <w14:schemeClr w14:val="tx1"/>
            </w14:solidFill>
          </w14:textFill>
        </w:rPr>
      </w:pPr>
      <w:bookmarkStart w:id="446" w:name="_Toc27291"/>
      <w:bookmarkStart w:id="447" w:name="_Toc31921"/>
      <w:bookmarkStart w:id="448" w:name="_Toc10055"/>
      <w:r>
        <w:rPr>
          <w:rFonts w:hint="eastAsia" w:ascii="宋体" w:hAnsi="宋体" w:eastAsia="宋体" w:cs="宋体"/>
          <w:b/>
          <w:bCs w:val="0"/>
          <w:color w:val="000000" w:themeColor="text1"/>
          <w:sz w:val="30"/>
          <w:szCs w:val="30"/>
          <w:lang w:val="en-US" w:eastAsia="zh-CN"/>
          <w14:textFill>
            <w14:solidFill>
              <w14:schemeClr w14:val="tx1"/>
            </w14:solidFill>
          </w14:textFill>
        </w:rPr>
        <w:t>5.5.4</w:t>
      </w:r>
      <w:r>
        <w:rPr>
          <w:rFonts w:hint="eastAsia" w:ascii="宋体" w:hAnsi="宋体" w:eastAsia="宋体" w:cs="宋体"/>
          <w:b/>
          <w:bCs w:val="0"/>
          <w:color w:val="000000" w:themeColor="text1"/>
          <w:sz w:val="30"/>
          <w:szCs w:val="30"/>
          <w14:textFill>
            <w14:solidFill>
              <w14:schemeClr w14:val="tx1"/>
            </w14:solidFill>
          </w14:textFill>
        </w:rPr>
        <w:t>单元小结</w:t>
      </w:r>
      <w:bookmarkEnd w:id="446"/>
      <w:bookmarkEnd w:id="447"/>
      <w:bookmarkEnd w:id="448"/>
    </w:p>
    <w:p w14:paraId="3D81B0F7">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光伏方阵设置水平接地带和垂直接地极相结合的接地网。将安全接地、工作接地统一为一个共用接地装置，接地电阻业主单位自行进行了检测合格。该电站配置的安全工器具有接地线、令克棒、操作杆、各电压等级验电器等。个体防护用品有工作服、绝缘靴、绝缘手套、安全帽、安全绳、防毒面具等。</w:t>
      </w:r>
    </w:p>
    <w:p w14:paraId="5E57E4EF">
      <w:pPr>
        <w:pStyle w:val="3"/>
        <w:pageBreakBefore w:val="0"/>
        <w:widowControl w:val="0"/>
        <w:tabs>
          <w:tab w:val="left" w:pos="0"/>
        </w:tabs>
        <w:kinsoku/>
        <w:wordWrap/>
        <w:overflowPunct/>
        <w:autoSpaceDE/>
        <w:autoSpaceDN/>
        <w:bidi w:val="0"/>
        <w:spacing w:line="420" w:lineRule="exact"/>
        <w:textAlignment w:val="auto"/>
        <w:rPr>
          <w:rFonts w:hint="eastAsia" w:ascii="宋体" w:hAnsi="宋体" w:eastAsia="宋体" w:cs="宋体"/>
          <w:color w:val="000000" w:themeColor="text1"/>
          <w14:textFill>
            <w14:solidFill>
              <w14:schemeClr w14:val="tx1"/>
            </w14:solidFill>
          </w14:textFill>
        </w:rPr>
      </w:pPr>
      <w:bookmarkStart w:id="449" w:name="_Toc18024"/>
      <w:bookmarkStart w:id="450" w:name="_Toc12122"/>
      <w:bookmarkStart w:id="451" w:name="_Toc440010414"/>
      <w:bookmarkStart w:id="452" w:name="_Toc7277"/>
      <w:bookmarkStart w:id="453" w:name="_Toc18718"/>
      <w:r>
        <w:rPr>
          <w:rFonts w:hint="eastAsia" w:ascii="宋体" w:hAnsi="宋体" w:eastAsia="宋体" w:cs="宋体"/>
          <w:color w:val="000000" w:themeColor="text1"/>
          <w:lang w:val="en-US" w:eastAsia="zh-CN"/>
          <w14:textFill>
            <w14:solidFill>
              <w14:schemeClr w14:val="tx1"/>
            </w14:solidFill>
          </w14:textFill>
        </w:rPr>
        <w:t>5.6</w:t>
      </w:r>
      <w:r>
        <w:rPr>
          <w:rFonts w:hint="eastAsia" w:ascii="宋体" w:hAnsi="宋体" w:eastAsia="宋体" w:cs="宋体"/>
          <w:color w:val="000000" w:themeColor="text1"/>
          <w14:textFill>
            <w14:solidFill>
              <w14:schemeClr w14:val="tx1"/>
            </w14:solidFill>
          </w14:textFill>
        </w:rPr>
        <w:t>公用工程</w:t>
      </w:r>
      <w:r>
        <w:rPr>
          <w:rFonts w:hint="eastAsia" w:ascii="宋体" w:hAnsi="宋体" w:eastAsia="宋体" w:cs="宋体"/>
          <w:color w:val="000000" w:themeColor="text1"/>
          <w:lang w:val="en-US" w:eastAsia="zh-CN"/>
          <w14:textFill>
            <w14:solidFill>
              <w14:schemeClr w14:val="tx1"/>
            </w14:solidFill>
          </w14:textFill>
        </w:rPr>
        <w:t>及辅助设施</w:t>
      </w:r>
      <w:r>
        <w:rPr>
          <w:rFonts w:hint="eastAsia" w:ascii="宋体" w:hAnsi="宋体" w:eastAsia="宋体" w:cs="宋体"/>
          <w:color w:val="000000" w:themeColor="text1"/>
          <w14:textFill>
            <w14:solidFill>
              <w14:schemeClr w14:val="tx1"/>
            </w14:solidFill>
          </w14:textFill>
        </w:rPr>
        <w:t>评价单元</w:t>
      </w:r>
      <w:bookmarkEnd w:id="449"/>
      <w:bookmarkEnd w:id="450"/>
      <w:bookmarkEnd w:id="451"/>
      <w:bookmarkEnd w:id="452"/>
      <w:bookmarkEnd w:id="453"/>
    </w:p>
    <w:p w14:paraId="0E60343E">
      <w:pPr>
        <w:keepNext w:val="0"/>
        <w:keepLines w:val="0"/>
        <w:pageBreakBefore w:val="0"/>
        <w:widowControl w:val="0"/>
        <w:kinsoku/>
        <w:wordWrap/>
        <w:overflowPunct/>
        <w:topLinePunct/>
        <w:autoSpaceDE/>
        <w:autoSpaceDN/>
        <w:bidi w:val="0"/>
        <w:adjustRightInd/>
        <w:snapToGrid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本单元包括消防、给排水、采暖通风及照明等子单元。根据《消防法</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建筑设计防火规范</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2018年版）</w:t>
      </w:r>
      <w:r>
        <w:rPr>
          <w:rFonts w:hint="eastAsia" w:ascii="宋体" w:hAnsi="宋体" w:eastAsia="宋体" w:cs="宋体"/>
          <w:color w:val="000000" w:themeColor="text1"/>
          <w:sz w:val="28"/>
          <w:szCs w:val="28"/>
          <w14:textFill>
            <w14:solidFill>
              <w14:schemeClr w14:val="tx1"/>
            </w14:solidFill>
          </w14:textFill>
        </w:rPr>
        <w:t>》（GB50016－2014）、《工业企业设计卫生标准》（GBZ1-2010）、《建筑灭火器配置设计规范》（GB50140—2005）编制安全检查表，对各个子单元进行符合性检查。具体情况见以下各个安全检查表。</w:t>
      </w:r>
    </w:p>
    <w:p w14:paraId="362E3A31">
      <w:pPr>
        <w:pStyle w:val="4"/>
        <w:pageBreakBefore w:val="0"/>
        <w:widowControl w:val="0"/>
        <w:kinsoku/>
        <w:wordWrap/>
        <w:overflowPunct/>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454" w:name="_Toc15459"/>
      <w:bookmarkStart w:id="455" w:name="_Toc10157"/>
      <w:bookmarkStart w:id="456" w:name="_Toc12901"/>
      <w:r>
        <w:rPr>
          <w:rFonts w:hint="eastAsia" w:ascii="宋体" w:hAnsi="宋体" w:eastAsia="宋体" w:cs="宋体"/>
          <w:b/>
          <w:bCs w:val="0"/>
          <w:color w:val="000000" w:themeColor="text1"/>
          <w:sz w:val="30"/>
          <w:szCs w:val="30"/>
          <w:lang w:val="en-US" w:eastAsia="zh-CN"/>
          <w14:textFill>
            <w14:solidFill>
              <w14:schemeClr w14:val="tx1"/>
            </w14:solidFill>
          </w14:textFill>
        </w:rPr>
        <w:t>5.6.1</w:t>
      </w:r>
      <w:r>
        <w:rPr>
          <w:rFonts w:hint="eastAsia" w:ascii="宋体" w:hAnsi="宋体" w:eastAsia="宋体" w:cs="宋体"/>
          <w:b/>
          <w:bCs w:val="0"/>
          <w:color w:val="000000" w:themeColor="text1"/>
          <w:sz w:val="30"/>
          <w:szCs w:val="30"/>
          <w14:textFill>
            <w14:solidFill>
              <w14:schemeClr w14:val="tx1"/>
            </w14:solidFill>
          </w14:textFill>
        </w:rPr>
        <w:t>消防系统子单元</w:t>
      </w:r>
      <w:bookmarkEnd w:id="454"/>
      <w:bookmarkEnd w:id="455"/>
      <w:bookmarkEnd w:id="456"/>
    </w:p>
    <w:p w14:paraId="6350640B">
      <w:pPr>
        <w:keepNext w:val="0"/>
        <w:keepLines w:val="0"/>
        <w:pageBreakBefore w:val="0"/>
        <w:widowControl w:val="0"/>
        <w:numPr>
          <w:ilvl w:val="3"/>
          <w:numId w:val="0"/>
        </w:numPr>
        <w:tabs>
          <w:tab w:val="left" w:pos="0"/>
        </w:tabs>
        <w:kinsoku/>
        <w:wordWrap/>
        <w:overflowPunct/>
        <w:autoSpaceDE/>
        <w:autoSpaceDN/>
        <w:bidi w:val="0"/>
        <w:spacing w:line="420" w:lineRule="exact"/>
        <w:ind w:leftChars="0"/>
        <w:textAlignment w:val="auto"/>
        <w:outlineLvl w:val="9"/>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5.6.1.1</w:t>
      </w:r>
      <w:r>
        <w:rPr>
          <w:rFonts w:hint="eastAsia" w:ascii="宋体" w:hAnsi="宋体" w:eastAsia="宋体" w:cs="宋体"/>
          <w:b/>
          <w:bCs/>
          <w:color w:val="000000" w:themeColor="text1"/>
          <w:sz w:val="28"/>
          <w:szCs w:val="28"/>
          <w14:textFill>
            <w14:solidFill>
              <w14:schemeClr w14:val="tx1"/>
            </w14:solidFill>
          </w14:textFill>
        </w:rPr>
        <w:t>消防系统子单元安全检查表</w:t>
      </w:r>
    </w:p>
    <w:p w14:paraId="24E21600">
      <w:pPr>
        <w:pStyle w:val="8"/>
        <w:keepNext w:val="0"/>
        <w:keepLines w:val="0"/>
        <w:pageBreakBefore w:val="0"/>
        <w:widowControl w:val="0"/>
        <w:numPr>
          <w:ilvl w:val="0"/>
          <w:numId w:val="0"/>
        </w:numPr>
        <w:kinsoku/>
        <w:wordWrap/>
        <w:overflowPunct/>
        <w:autoSpaceDE/>
        <w:autoSpaceDN/>
        <w:bidi w:val="0"/>
        <w:spacing w:line="420" w:lineRule="exact"/>
        <w:ind w:left="0" w:leftChars="0" w:right="0" w:rightChars="0" w:firstLine="0" w:firstLineChars="0"/>
        <w:jc w:val="center"/>
        <w:textAlignment w:val="auto"/>
        <w:rPr>
          <w:rFonts w:ascii="宋体" w:hAnsi="宋体"/>
          <w:color w:val="000000" w:themeColor="text1"/>
          <w:sz w:val="24"/>
          <w:szCs w:val="24"/>
          <w14:textFill>
            <w14:solidFill>
              <w14:schemeClr w14:val="tx1"/>
            </w14:solidFill>
          </w14:textFill>
        </w:rPr>
      </w:pPr>
      <w:r>
        <w:rPr>
          <w:color w:val="000000" w:themeColor="text1"/>
          <w14:textFill>
            <w14:solidFill>
              <w14:schemeClr w14:val="tx1"/>
            </w14:solidFill>
          </w14:textFill>
        </w:rPr>
        <w:t xml:space="preserve">表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6</w:t>
      </w:r>
      <w:r>
        <w:rPr>
          <w:rFonts w:ascii="宋体" w:hAnsi="宋体"/>
          <w:color w:val="000000" w:themeColor="text1"/>
          <w:sz w:val="24"/>
          <w:szCs w:val="24"/>
          <w14:textFill>
            <w14:solidFill>
              <w14:schemeClr w14:val="tx1"/>
            </w14:solidFill>
          </w14:textFill>
        </w:rPr>
        <w:t>消防系统子单元安全检查表</w:t>
      </w:r>
    </w:p>
    <w:tbl>
      <w:tblPr>
        <w:tblStyle w:val="2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3827"/>
        <w:gridCol w:w="2294"/>
        <w:gridCol w:w="1811"/>
        <w:gridCol w:w="755"/>
      </w:tblGrid>
      <w:tr w14:paraId="22AB9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blHeader/>
          <w:jc w:val="center"/>
        </w:trPr>
        <w:tc>
          <w:tcPr>
            <w:tcW w:w="233" w:type="pct"/>
            <w:noWrap w:val="0"/>
            <w:vAlign w:val="center"/>
          </w:tcPr>
          <w:p w14:paraId="1E83682D">
            <w:pPr>
              <w:pStyle w:val="33"/>
              <w:keepNext w:val="0"/>
              <w:keepLines w:val="0"/>
              <w:pageBreakBefore w:val="0"/>
              <w:widowControl w:val="0"/>
              <w:kinsoku/>
              <w:bidi w:val="0"/>
              <w:ind w:left="0" w:leftChars="0" w:right="0" w:rightChars="0"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序号</w:t>
            </w:r>
          </w:p>
        </w:tc>
        <w:tc>
          <w:tcPr>
            <w:tcW w:w="2099" w:type="pct"/>
            <w:noWrap w:val="0"/>
            <w:vAlign w:val="center"/>
          </w:tcPr>
          <w:p w14:paraId="55329D77">
            <w:pPr>
              <w:pStyle w:val="33"/>
              <w:keepNext w:val="0"/>
              <w:keepLines w:val="0"/>
              <w:pageBreakBefore w:val="0"/>
              <w:widowControl w:val="0"/>
              <w:kinsoku/>
              <w:bidi w:val="0"/>
              <w:ind w:left="0" w:leftChars="0" w:right="0" w:rightChars="0"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检查内容</w:t>
            </w:r>
          </w:p>
        </w:tc>
        <w:tc>
          <w:tcPr>
            <w:tcW w:w="1258" w:type="pct"/>
            <w:noWrap w:val="0"/>
            <w:vAlign w:val="center"/>
          </w:tcPr>
          <w:p w14:paraId="1A293E20">
            <w:pPr>
              <w:pStyle w:val="33"/>
              <w:keepNext w:val="0"/>
              <w:keepLines w:val="0"/>
              <w:pageBreakBefore w:val="0"/>
              <w:widowControl w:val="0"/>
              <w:kinsoku/>
              <w:bidi w:val="0"/>
              <w:ind w:left="0" w:leftChars="0" w:right="0" w:rightChars="0"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依据标准</w:t>
            </w:r>
          </w:p>
        </w:tc>
        <w:tc>
          <w:tcPr>
            <w:tcW w:w="994" w:type="pct"/>
            <w:noWrap w:val="0"/>
            <w:vAlign w:val="center"/>
          </w:tcPr>
          <w:p w14:paraId="51D7231C">
            <w:pPr>
              <w:pStyle w:val="33"/>
              <w:keepNext w:val="0"/>
              <w:keepLines w:val="0"/>
              <w:pageBreakBefore w:val="0"/>
              <w:widowControl w:val="0"/>
              <w:kinsoku/>
              <w:bidi w:val="0"/>
              <w:ind w:left="0" w:leftChars="0" w:right="0" w:rightChars="0"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检查情况</w:t>
            </w:r>
          </w:p>
        </w:tc>
        <w:tc>
          <w:tcPr>
            <w:tcW w:w="414" w:type="pct"/>
            <w:noWrap w:val="0"/>
            <w:vAlign w:val="center"/>
          </w:tcPr>
          <w:p w14:paraId="34C7127C">
            <w:pPr>
              <w:pStyle w:val="33"/>
              <w:keepNext w:val="0"/>
              <w:keepLines w:val="0"/>
              <w:pageBreakBefore w:val="0"/>
              <w:widowControl w:val="0"/>
              <w:kinsoku/>
              <w:bidi w:val="0"/>
              <w:ind w:left="0" w:leftChars="0" w:right="0" w:rightChars="0"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检查结果</w:t>
            </w:r>
          </w:p>
        </w:tc>
      </w:tr>
      <w:tr w14:paraId="51C2A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33" w:type="pct"/>
            <w:noWrap w:val="0"/>
            <w:vAlign w:val="center"/>
          </w:tcPr>
          <w:p w14:paraId="6045853D">
            <w:pPr>
              <w:pStyle w:val="30"/>
              <w:keepNext w:val="0"/>
              <w:keepLines w:val="0"/>
              <w:pageBreakBefore w:val="0"/>
              <w:widowControl w:val="0"/>
              <w:numPr>
                <w:ilvl w:val="0"/>
                <w:numId w:val="39"/>
              </w:numPr>
              <w:kinsoku/>
              <w:bidi w:val="0"/>
              <w:ind w:left="425" w:leftChars="0" w:hanging="425" w:firstLineChars="0"/>
              <w:rPr>
                <w:color w:val="000000" w:themeColor="text1"/>
                <w:sz w:val="21"/>
                <w:szCs w:val="21"/>
                <w14:textFill>
                  <w14:solidFill>
                    <w14:schemeClr w14:val="tx1"/>
                  </w14:solidFill>
                </w14:textFill>
              </w:rPr>
            </w:pPr>
          </w:p>
        </w:tc>
        <w:tc>
          <w:tcPr>
            <w:tcW w:w="2099" w:type="pct"/>
            <w:noWrap w:val="0"/>
            <w:vAlign w:val="center"/>
          </w:tcPr>
          <w:p w14:paraId="3D601AE3">
            <w:pPr>
              <w:pStyle w:val="33"/>
              <w:keepNext w:val="0"/>
              <w:keepLines w:val="0"/>
              <w:pageBreakBefore w:val="0"/>
              <w:widowControl w:val="0"/>
              <w:kinsoku/>
              <w:bidi w:val="0"/>
              <w:ind w:left="0" w:leftChars="0"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火灾自动报警系统设备应选择符合国家有关标准和有关市场准入制度的产品。</w:t>
            </w:r>
          </w:p>
        </w:tc>
        <w:tc>
          <w:tcPr>
            <w:tcW w:w="1258" w:type="pct"/>
            <w:noWrap w:val="0"/>
            <w:vAlign w:val="center"/>
          </w:tcPr>
          <w:p w14:paraId="2C43E5C7">
            <w:pPr>
              <w:pStyle w:val="33"/>
              <w:keepNext w:val="0"/>
              <w:keepLines w:val="0"/>
              <w:pageBreakBefore w:val="0"/>
              <w:widowControl w:val="0"/>
              <w:kinsoku/>
              <w:bidi w:val="0"/>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《火灾自动报警系统设计规范》（</w:t>
            </w:r>
            <w:r>
              <w:rPr>
                <w:rFonts w:hint="eastAsia"/>
                <w:color w:val="000000" w:themeColor="text1"/>
                <w:sz w:val="21"/>
                <w:szCs w:val="21"/>
                <w:lang w:eastAsia="zh-CN"/>
                <w14:textFill>
                  <w14:solidFill>
                    <w14:schemeClr w14:val="tx1"/>
                  </w14:solidFill>
                </w14:textFill>
              </w:rPr>
              <w:t>GB 50116-2013</w:t>
            </w:r>
            <w:r>
              <w:rPr>
                <w:color w:val="000000" w:themeColor="text1"/>
                <w:sz w:val="21"/>
                <w:szCs w:val="21"/>
                <w14:textFill>
                  <w14:solidFill>
                    <w14:schemeClr w14:val="tx1"/>
                  </w14:solidFill>
                </w14:textFill>
              </w:rPr>
              <w:t>）</w:t>
            </w:r>
          </w:p>
          <w:p w14:paraId="25127D7B">
            <w:pPr>
              <w:pStyle w:val="33"/>
              <w:keepNext w:val="0"/>
              <w:keepLines w:val="0"/>
              <w:pageBreakBefore w:val="0"/>
              <w:widowControl w:val="0"/>
              <w:kinsoku/>
              <w:bidi w:val="0"/>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w:t>
            </w:r>
            <w:r>
              <w:rPr>
                <w:rFonts w:hint="eastAsia"/>
                <w:color w:val="000000" w:themeColor="text1"/>
                <w:sz w:val="21"/>
                <w:szCs w:val="21"/>
                <w:lang w:val="en-US" w:eastAsia="zh-CN"/>
                <w14:textFill>
                  <w14:solidFill>
                    <w14:schemeClr w14:val="tx1"/>
                  </w14:solidFill>
                </w14:textFill>
              </w:rPr>
              <w:t>3.</w:t>
            </w:r>
            <w:r>
              <w:rPr>
                <w:color w:val="000000" w:themeColor="text1"/>
                <w:sz w:val="21"/>
                <w:szCs w:val="21"/>
                <w14:textFill>
                  <w14:solidFill>
                    <w14:schemeClr w14:val="tx1"/>
                  </w14:solidFill>
                </w14:textFill>
              </w:rPr>
              <w:t>1.3条</w:t>
            </w:r>
          </w:p>
        </w:tc>
        <w:tc>
          <w:tcPr>
            <w:tcW w:w="994" w:type="pct"/>
            <w:noWrap w:val="0"/>
            <w:vAlign w:val="center"/>
          </w:tcPr>
          <w:p w14:paraId="7BAB4ADB">
            <w:pPr>
              <w:pStyle w:val="33"/>
              <w:keepNext w:val="0"/>
              <w:keepLines w:val="0"/>
              <w:pageBreakBefore w:val="0"/>
              <w:widowControl w:val="0"/>
              <w:kinsoku/>
              <w:bidi w:val="0"/>
              <w:ind w:left="0" w:leftChars="0"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火灾自动报警系统采用检验合格的产品。</w:t>
            </w:r>
          </w:p>
        </w:tc>
        <w:tc>
          <w:tcPr>
            <w:tcW w:w="414" w:type="pct"/>
            <w:noWrap w:val="0"/>
            <w:vAlign w:val="center"/>
          </w:tcPr>
          <w:p w14:paraId="098875A8">
            <w:pPr>
              <w:pStyle w:val="33"/>
              <w:keepNext w:val="0"/>
              <w:keepLines w:val="0"/>
              <w:pageBreakBefore w:val="0"/>
              <w:widowControl w:val="0"/>
              <w:kinsoku/>
              <w:bidi w:val="0"/>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14:paraId="7C857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33" w:type="pct"/>
            <w:noWrap w:val="0"/>
            <w:vAlign w:val="center"/>
          </w:tcPr>
          <w:p w14:paraId="1BE91F2D">
            <w:pPr>
              <w:pStyle w:val="30"/>
              <w:keepNext w:val="0"/>
              <w:keepLines w:val="0"/>
              <w:pageBreakBefore w:val="0"/>
              <w:widowControl w:val="0"/>
              <w:numPr>
                <w:ilvl w:val="0"/>
                <w:numId w:val="39"/>
              </w:numPr>
              <w:kinsoku/>
              <w:bidi w:val="0"/>
              <w:ind w:left="425" w:leftChars="0" w:hanging="425" w:firstLineChars="0"/>
              <w:rPr>
                <w:color w:val="000000" w:themeColor="text1"/>
                <w:sz w:val="21"/>
                <w:szCs w:val="21"/>
                <w14:textFill>
                  <w14:solidFill>
                    <w14:schemeClr w14:val="tx1"/>
                  </w14:solidFill>
                </w14:textFill>
              </w:rPr>
            </w:pPr>
          </w:p>
        </w:tc>
        <w:tc>
          <w:tcPr>
            <w:tcW w:w="2099" w:type="pct"/>
            <w:noWrap w:val="0"/>
            <w:vAlign w:val="center"/>
          </w:tcPr>
          <w:p w14:paraId="44B32B80">
            <w:pPr>
              <w:pStyle w:val="33"/>
              <w:keepNext w:val="0"/>
              <w:keepLines w:val="0"/>
              <w:pageBreakBefore w:val="0"/>
              <w:widowControl w:val="0"/>
              <w:kinsoku/>
              <w:bidi w:val="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一个灭火器配置场所内的灭火器不应少于2具。每个设置点的灭火器不宜多于5具。</w:t>
            </w:r>
          </w:p>
        </w:tc>
        <w:tc>
          <w:tcPr>
            <w:tcW w:w="1258" w:type="pct"/>
            <w:noWrap w:val="0"/>
            <w:vAlign w:val="center"/>
          </w:tcPr>
          <w:p w14:paraId="1600303F">
            <w:pPr>
              <w:pStyle w:val="33"/>
              <w:keepNext w:val="0"/>
              <w:keepLines w:val="0"/>
              <w:pageBreakBefore w:val="0"/>
              <w:widowControl w:val="0"/>
              <w:kinsoku/>
              <w:bidi w:val="0"/>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《建筑灭火器配置设计规范》（GB50140</w:t>
            </w:r>
            <w:r>
              <w:rPr>
                <w:rFonts w:hint="eastAsia"/>
                <w:color w:val="000000" w:themeColor="text1"/>
                <w:sz w:val="21"/>
                <w:szCs w:val="21"/>
                <w:lang w:val="en-US" w:eastAsia="zh-CN"/>
                <w14:textFill>
                  <w14:solidFill>
                    <w14:schemeClr w14:val="tx1"/>
                  </w14:solidFill>
                </w14:textFill>
              </w:rPr>
              <w:t>-</w:t>
            </w:r>
            <w:r>
              <w:rPr>
                <w:color w:val="000000" w:themeColor="text1"/>
                <w:sz w:val="21"/>
                <w:szCs w:val="21"/>
                <w14:textFill>
                  <w14:solidFill>
                    <w14:schemeClr w14:val="tx1"/>
                  </w14:solidFill>
                </w14:textFill>
              </w:rPr>
              <w:t>2005）第4.0.7条</w:t>
            </w:r>
          </w:p>
        </w:tc>
        <w:tc>
          <w:tcPr>
            <w:tcW w:w="994" w:type="pct"/>
            <w:noWrap w:val="0"/>
            <w:vAlign w:val="center"/>
          </w:tcPr>
          <w:p w14:paraId="6AD734EE">
            <w:pPr>
              <w:pStyle w:val="33"/>
              <w:keepNext w:val="0"/>
              <w:keepLines w:val="0"/>
              <w:pageBreakBefore w:val="0"/>
              <w:widowControl w:val="0"/>
              <w:kinsoku/>
              <w:bidi w:val="0"/>
              <w:ind w:left="0" w:leftChars="0" w:firstLine="0" w:firstLineChars="0"/>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按</w:t>
            </w:r>
            <w:r>
              <w:rPr>
                <w:color w:val="000000" w:themeColor="text1"/>
                <w:sz w:val="21"/>
                <w:szCs w:val="21"/>
                <w14:textFill>
                  <w14:solidFill>
                    <w14:schemeClr w14:val="tx1"/>
                  </w14:solidFill>
                </w14:textFill>
              </w:rPr>
              <w:t>规定配置了灭火器材</w:t>
            </w:r>
            <w:r>
              <w:rPr>
                <w:rFonts w:hint="eastAsia"/>
                <w:color w:val="000000" w:themeColor="text1"/>
                <w:sz w:val="21"/>
                <w:szCs w:val="21"/>
                <w:lang w:eastAsia="zh-CN"/>
                <w14:textFill>
                  <w14:solidFill>
                    <w14:schemeClr w14:val="tx1"/>
                  </w14:solidFill>
                </w14:textFill>
              </w:rPr>
              <w:t>，每个设置点</w:t>
            </w:r>
            <w:r>
              <w:rPr>
                <w:rFonts w:hint="eastAsia"/>
                <w:color w:val="000000" w:themeColor="text1"/>
                <w:sz w:val="21"/>
                <w:szCs w:val="21"/>
                <w:lang w:val="en-US" w:eastAsia="zh-CN"/>
                <w14:textFill>
                  <w14:solidFill>
                    <w14:schemeClr w14:val="tx1"/>
                  </w14:solidFill>
                </w14:textFill>
              </w:rPr>
              <w:t>2</w:t>
            </w:r>
            <w:r>
              <w:rPr>
                <w:rFonts w:hint="eastAsia"/>
                <w:color w:val="000000" w:themeColor="text1"/>
                <w:sz w:val="21"/>
                <w:szCs w:val="21"/>
                <w:lang w:eastAsia="zh-CN"/>
                <w14:textFill>
                  <w14:solidFill>
                    <w14:schemeClr w14:val="tx1"/>
                  </w14:solidFill>
                </w14:textFill>
              </w:rPr>
              <w:t>具</w:t>
            </w:r>
            <w:r>
              <w:rPr>
                <w:color w:val="000000" w:themeColor="text1"/>
                <w:sz w:val="21"/>
                <w:szCs w:val="21"/>
                <w14:textFill>
                  <w14:solidFill>
                    <w14:schemeClr w14:val="tx1"/>
                  </w14:solidFill>
                </w14:textFill>
              </w:rPr>
              <w:t>。</w:t>
            </w:r>
          </w:p>
        </w:tc>
        <w:tc>
          <w:tcPr>
            <w:tcW w:w="414" w:type="pct"/>
            <w:noWrap w:val="0"/>
            <w:vAlign w:val="center"/>
          </w:tcPr>
          <w:p w14:paraId="478B910E">
            <w:pPr>
              <w:pStyle w:val="33"/>
              <w:keepNext w:val="0"/>
              <w:keepLines w:val="0"/>
              <w:pageBreakBefore w:val="0"/>
              <w:widowControl w:val="0"/>
              <w:kinsoku/>
              <w:bidi w:val="0"/>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14:paraId="10F5D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33" w:type="pct"/>
            <w:noWrap w:val="0"/>
            <w:vAlign w:val="center"/>
          </w:tcPr>
          <w:p w14:paraId="112FFADE">
            <w:pPr>
              <w:pStyle w:val="30"/>
              <w:keepNext w:val="0"/>
              <w:keepLines w:val="0"/>
              <w:pageBreakBefore w:val="0"/>
              <w:widowControl w:val="0"/>
              <w:numPr>
                <w:ilvl w:val="0"/>
                <w:numId w:val="39"/>
              </w:numPr>
              <w:kinsoku/>
              <w:bidi w:val="0"/>
              <w:ind w:left="425" w:leftChars="0" w:hanging="425" w:firstLineChars="0"/>
              <w:rPr>
                <w:color w:val="000000" w:themeColor="text1"/>
                <w:sz w:val="21"/>
                <w:szCs w:val="21"/>
                <w14:textFill>
                  <w14:solidFill>
                    <w14:schemeClr w14:val="tx1"/>
                  </w14:solidFill>
                </w14:textFill>
              </w:rPr>
            </w:pPr>
          </w:p>
        </w:tc>
        <w:tc>
          <w:tcPr>
            <w:tcW w:w="2099" w:type="pct"/>
            <w:noWrap w:val="0"/>
            <w:vAlign w:val="center"/>
          </w:tcPr>
          <w:p w14:paraId="06B7A67F">
            <w:pPr>
              <w:pStyle w:val="33"/>
              <w:keepNext w:val="0"/>
              <w:keepLines w:val="0"/>
              <w:pageBreakBefore w:val="0"/>
              <w:widowControl w:val="0"/>
              <w:kinsoku/>
              <w:bidi w:val="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在同一灭火器配置场所，当选用同一类型灭火器时，宜选用操作方法相同的灭火器。</w:t>
            </w:r>
          </w:p>
        </w:tc>
        <w:tc>
          <w:tcPr>
            <w:tcW w:w="1258" w:type="pct"/>
            <w:noWrap w:val="0"/>
            <w:vAlign w:val="center"/>
          </w:tcPr>
          <w:p w14:paraId="019F883F">
            <w:pPr>
              <w:pStyle w:val="33"/>
              <w:keepNext w:val="0"/>
              <w:keepLines w:val="0"/>
              <w:pageBreakBefore w:val="0"/>
              <w:widowControl w:val="0"/>
              <w:kinsoku/>
              <w:bidi w:val="0"/>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《建筑灭火器配置设计规范》（GB50140</w:t>
            </w:r>
            <w:r>
              <w:rPr>
                <w:rFonts w:hint="eastAsia"/>
                <w:color w:val="000000" w:themeColor="text1"/>
                <w:sz w:val="21"/>
                <w:szCs w:val="21"/>
                <w:lang w:val="en-US" w:eastAsia="zh-CN"/>
                <w14:textFill>
                  <w14:solidFill>
                    <w14:schemeClr w14:val="tx1"/>
                  </w14:solidFill>
                </w14:textFill>
              </w:rPr>
              <w:t>-</w:t>
            </w:r>
            <w:r>
              <w:rPr>
                <w:color w:val="000000" w:themeColor="text1"/>
                <w:sz w:val="21"/>
                <w:szCs w:val="21"/>
                <w14:textFill>
                  <w14:solidFill>
                    <w14:schemeClr w14:val="tx1"/>
                  </w14:solidFill>
                </w14:textFill>
              </w:rPr>
              <w:t>2005）第3.0.3条</w:t>
            </w:r>
          </w:p>
        </w:tc>
        <w:tc>
          <w:tcPr>
            <w:tcW w:w="994" w:type="pct"/>
            <w:noWrap w:val="0"/>
            <w:vAlign w:val="center"/>
          </w:tcPr>
          <w:p w14:paraId="6FF7FED2">
            <w:pPr>
              <w:pStyle w:val="33"/>
              <w:keepNext w:val="0"/>
              <w:keepLines w:val="0"/>
              <w:pageBreakBefore w:val="0"/>
              <w:widowControl w:val="0"/>
              <w:kinsoku/>
              <w:bidi w:val="0"/>
              <w:ind w:left="0" w:leftChars="0" w:firstLine="0" w:firstLineChars="0"/>
              <w:rPr>
                <w:color w:val="000000" w:themeColor="text1"/>
                <w:sz w:val="21"/>
                <w:szCs w:val="21"/>
                <w14:textFill>
                  <w14:solidFill>
                    <w14:schemeClr w14:val="tx1"/>
                  </w14:solidFill>
                </w14:textFill>
              </w:rPr>
            </w:pPr>
          </w:p>
          <w:p w14:paraId="3225D08A">
            <w:pPr>
              <w:pStyle w:val="33"/>
              <w:keepNext w:val="0"/>
              <w:keepLines w:val="0"/>
              <w:pageBreakBefore w:val="0"/>
              <w:widowControl w:val="0"/>
              <w:kinsoku/>
              <w:bidi w:val="0"/>
              <w:ind w:left="0" w:leftChars="0" w:firstLine="0" w:firstLineChars="0"/>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箱变</w:t>
            </w:r>
            <w:r>
              <w:rPr>
                <w:color w:val="000000" w:themeColor="text1"/>
                <w:sz w:val="21"/>
                <w:szCs w:val="21"/>
                <w14:textFill>
                  <w14:solidFill>
                    <w14:schemeClr w14:val="tx1"/>
                  </w14:solidFill>
                </w14:textFill>
              </w:rPr>
              <w:t>等场所的灭火器类型统一。</w:t>
            </w:r>
          </w:p>
        </w:tc>
        <w:tc>
          <w:tcPr>
            <w:tcW w:w="414" w:type="pct"/>
            <w:noWrap w:val="0"/>
            <w:vAlign w:val="center"/>
          </w:tcPr>
          <w:p w14:paraId="6D2CC09C">
            <w:pPr>
              <w:pStyle w:val="33"/>
              <w:keepNext w:val="0"/>
              <w:keepLines w:val="0"/>
              <w:pageBreakBefore w:val="0"/>
              <w:widowControl w:val="0"/>
              <w:kinsoku/>
              <w:bidi w:val="0"/>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14:paraId="66CCB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33" w:type="pct"/>
            <w:noWrap w:val="0"/>
            <w:vAlign w:val="center"/>
          </w:tcPr>
          <w:p w14:paraId="6DD5BCF5">
            <w:pPr>
              <w:pStyle w:val="30"/>
              <w:keepNext w:val="0"/>
              <w:keepLines w:val="0"/>
              <w:pageBreakBefore w:val="0"/>
              <w:widowControl w:val="0"/>
              <w:numPr>
                <w:ilvl w:val="0"/>
                <w:numId w:val="39"/>
              </w:numPr>
              <w:kinsoku/>
              <w:bidi w:val="0"/>
              <w:ind w:left="425" w:leftChars="0" w:hanging="425" w:firstLineChars="0"/>
              <w:rPr>
                <w:color w:val="000000" w:themeColor="text1"/>
                <w:sz w:val="21"/>
                <w:szCs w:val="21"/>
                <w14:textFill>
                  <w14:solidFill>
                    <w14:schemeClr w14:val="tx1"/>
                  </w14:solidFill>
                </w14:textFill>
              </w:rPr>
            </w:pPr>
          </w:p>
        </w:tc>
        <w:tc>
          <w:tcPr>
            <w:tcW w:w="2099" w:type="pct"/>
            <w:noWrap w:val="0"/>
            <w:vAlign w:val="center"/>
          </w:tcPr>
          <w:p w14:paraId="380A8E82">
            <w:pPr>
              <w:pStyle w:val="33"/>
              <w:keepNext w:val="0"/>
              <w:keepLines w:val="0"/>
              <w:pageBreakBefore w:val="0"/>
              <w:widowControl w:val="0"/>
              <w:kinsoku/>
              <w:bidi w:val="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灭火器应设置在明显和便于取用的地方，且不得影响安全疏散。</w:t>
            </w:r>
          </w:p>
        </w:tc>
        <w:tc>
          <w:tcPr>
            <w:tcW w:w="1258" w:type="pct"/>
            <w:noWrap w:val="0"/>
            <w:vAlign w:val="center"/>
          </w:tcPr>
          <w:p w14:paraId="26A0F442">
            <w:pPr>
              <w:pStyle w:val="33"/>
              <w:keepNext w:val="0"/>
              <w:keepLines w:val="0"/>
              <w:pageBreakBefore w:val="0"/>
              <w:widowControl w:val="0"/>
              <w:kinsoku/>
              <w:bidi w:val="0"/>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《建筑灭火器配置设计规范》（GB50140</w:t>
            </w:r>
            <w:r>
              <w:rPr>
                <w:rFonts w:hint="eastAsia"/>
                <w:color w:val="000000" w:themeColor="text1"/>
                <w:sz w:val="21"/>
                <w:szCs w:val="21"/>
                <w:lang w:val="en-US" w:eastAsia="zh-CN"/>
                <w14:textFill>
                  <w14:solidFill>
                    <w14:schemeClr w14:val="tx1"/>
                  </w14:solidFill>
                </w14:textFill>
              </w:rPr>
              <w:t>-</w:t>
            </w:r>
            <w:r>
              <w:rPr>
                <w:color w:val="000000" w:themeColor="text1"/>
                <w:sz w:val="21"/>
                <w:szCs w:val="21"/>
                <w14:textFill>
                  <w14:solidFill>
                    <w14:schemeClr w14:val="tx1"/>
                  </w14:solidFill>
                </w14:textFill>
              </w:rPr>
              <w:t>2005）第5.1.1条</w:t>
            </w:r>
          </w:p>
        </w:tc>
        <w:tc>
          <w:tcPr>
            <w:tcW w:w="994" w:type="pct"/>
            <w:noWrap w:val="0"/>
            <w:vAlign w:val="center"/>
          </w:tcPr>
          <w:p w14:paraId="3874ADF1">
            <w:pPr>
              <w:pStyle w:val="33"/>
              <w:keepNext w:val="0"/>
              <w:keepLines w:val="0"/>
              <w:pageBreakBefore w:val="0"/>
              <w:widowControl w:val="0"/>
              <w:kinsoku/>
              <w:bidi w:val="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配置点的灭火器的存放位置明显、便于取用。</w:t>
            </w:r>
          </w:p>
        </w:tc>
        <w:tc>
          <w:tcPr>
            <w:tcW w:w="414" w:type="pct"/>
            <w:noWrap w:val="0"/>
            <w:vAlign w:val="center"/>
          </w:tcPr>
          <w:p w14:paraId="3909C214">
            <w:pPr>
              <w:pStyle w:val="33"/>
              <w:keepNext w:val="0"/>
              <w:keepLines w:val="0"/>
              <w:pageBreakBefore w:val="0"/>
              <w:widowControl w:val="0"/>
              <w:kinsoku/>
              <w:bidi w:val="0"/>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14:paraId="39856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33" w:type="pct"/>
            <w:noWrap w:val="0"/>
            <w:vAlign w:val="center"/>
          </w:tcPr>
          <w:p w14:paraId="2961515F">
            <w:pPr>
              <w:pStyle w:val="30"/>
              <w:keepNext w:val="0"/>
              <w:keepLines w:val="0"/>
              <w:pageBreakBefore w:val="0"/>
              <w:widowControl w:val="0"/>
              <w:numPr>
                <w:ilvl w:val="0"/>
                <w:numId w:val="39"/>
              </w:numPr>
              <w:kinsoku/>
              <w:bidi w:val="0"/>
              <w:ind w:left="425" w:leftChars="0" w:hanging="425" w:firstLineChars="0"/>
              <w:rPr>
                <w:color w:val="000000" w:themeColor="text1"/>
                <w:sz w:val="21"/>
                <w:szCs w:val="21"/>
                <w14:textFill>
                  <w14:solidFill>
                    <w14:schemeClr w14:val="tx1"/>
                  </w14:solidFill>
                </w14:textFill>
              </w:rPr>
            </w:pPr>
          </w:p>
        </w:tc>
        <w:tc>
          <w:tcPr>
            <w:tcW w:w="2099" w:type="pct"/>
            <w:noWrap w:val="0"/>
            <w:vAlign w:val="center"/>
          </w:tcPr>
          <w:p w14:paraId="6BE8980B">
            <w:pPr>
              <w:pStyle w:val="33"/>
              <w:keepNext w:val="0"/>
              <w:keepLines w:val="0"/>
              <w:pageBreakBefore w:val="0"/>
              <w:widowControl w:val="0"/>
              <w:kinsoku/>
              <w:bidi w:val="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灭火器的摆放应稳固，其铭牌应朝外。</w:t>
            </w:r>
          </w:p>
        </w:tc>
        <w:tc>
          <w:tcPr>
            <w:tcW w:w="1258" w:type="pct"/>
            <w:noWrap w:val="0"/>
            <w:vAlign w:val="center"/>
          </w:tcPr>
          <w:p w14:paraId="27FC184E">
            <w:pPr>
              <w:pStyle w:val="33"/>
              <w:keepNext w:val="0"/>
              <w:keepLines w:val="0"/>
              <w:pageBreakBefore w:val="0"/>
              <w:widowControl w:val="0"/>
              <w:kinsoku/>
              <w:bidi w:val="0"/>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《建筑灭火器配置设计规范》（GB50140</w:t>
            </w:r>
            <w:r>
              <w:rPr>
                <w:rFonts w:hint="eastAsia"/>
                <w:color w:val="000000" w:themeColor="text1"/>
                <w:sz w:val="21"/>
                <w:szCs w:val="21"/>
                <w:lang w:val="en-US" w:eastAsia="zh-CN"/>
                <w14:textFill>
                  <w14:solidFill>
                    <w14:schemeClr w14:val="tx1"/>
                  </w14:solidFill>
                </w14:textFill>
              </w:rPr>
              <w:t>-</w:t>
            </w:r>
            <w:r>
              <w:rPr>
                <w:color w:val="000000" w:themeColor="text1"/>
                <w:sz w:val="21"/>
                <w:szCs w:val="21"/>
                <w14:textFill>
                  <w14:solidFill>
                    <w14:schemeClr w14:val="tx1"/>
                  </w14:solidFill>
                </w14:textFill>
              </w:rPr>
              <w:t>2005）第5.1.2条</w:t>
            </w:r>
          </w:p>
        </w:tc>
        <w:tc>
          <w:tcPr>
            <w:tcW w:w="994" w:type="pct"/>
            <w:noWrap w:val="0"/>
            <w:vAlign w:val="center"/>
          </w:tcPr>
          <w:p w14:paraId="1DA6FE43">
            <w:pPr>
              <w:pStyle w:val="33"/>
              <w:keepNext w:val="0"/>
              <w:keepLines w:val="0"/>
              <w:pageBreakBefore w:val="0"/>
              <w:widowControl w:val="0"/>
              <w:kinsoku/>
              <w:bidi w:val="0"/>
              <w:ind w:left="0" w:leftChars="0"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各存放点的灭火器采用箱式贮存，铭牌显著。</w:t>
            </w:r>
          </w:p>
        </w:tc>
        <w:tc>
          <w:tcPr>
            <w:tcW w:w="414" w:type="pct"/>
            <w:noWrap w:val="0"/>
            <w:vAlign w:val="center"/>
          </w:tcPr>
          <w:p w14:paraId="295B8C5C">
            <w:pPr>
              <w:pStyle w:val="33"/>
              <w:keepNext w:val="0"/>
              <w:keepLines w:val="0"/>
              <w:pageBreakBefore w:val="0"/>
              <w:widowControl w:val="0"/>
              <w:kinsoku/>
              <w:bidi w:val="0"/>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14:paraId="20669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33" w:type="pct"/>
            <w:noWrap w:val="0"/>
            <w:vAlign w:val="center"/>
          </w:tcPr>
          <w:p w14:paraId="4AA46616">
            <w:pPr>
              <w:pStyle w:val="30"/>
              <w:keepNext w:val="0"/>
              <w:keepLines w:val="0"/>
              <w:pageBreakBefore w:val="0"/>
              <w:widowControl w:val="0"/>
              <w:numPr>
                <w:ilvl w:val="0"/>
                <w:numId w:val="39"/>
              </w:numPr>
              <w:kinsoku/>
              <w:bidi w:val="0"/>
              <w:ind w:left="425" w:leftChars="0" w:hanging="425" w:firstLineChars="0"/>
              <w:rPr>
                <w:color w:val="000000" w:themeColor="text1"/>
                <w:sz w:val="21"/>
                <w:szCs w:val="21"/>
                <w14:textFill>
                  <w14:solidFill>
                    <w14:schemeClr w14:val="tx1"/>
                  </w14:solidFill>
                </w14:textFill>
              </w:rPr>
            </w:pPr>
          </w:p>
        </w:tc>
        <w:tc>
          <w:tcPr>
            <w:tcW w:w="2099" w:type="pct"/>
            <w:shd w:val="clear" w:color="auto" w:fill="auto"/>
            <w:noWrap w:val="0"/>
            <w:vAlign w:val="top"/>
          </w:tcPr>
          <w:p w14:paraId="6F479442">
            <w:pPr>
              <w:pStyle w:val="26"/>
              <w:spacing w:before="166" w:line="244" w:lineRule="auto"/>
              <w:ind w:left="112" w:leftChars="0" w:right="105" w:rightChars="0" w:firstLine="0" w:firstLineChars="0"/>
              <w:jc w:val="both"/>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7"/>
                <w14:textFill>
                  <w14:solidFill>
                    <w14:schemeClr w14:val="tx1"/>
                  </w14:solidFill>
                </w14:textFill>
              </w:rPr>
              <w:t>建（构）筑物构件的燃烧性能和耐火极限应</w:t>
            </w:r>
            <w:r>
              <w:rPr>
                <w:color w:val="000000" w:themeColor="text1"/>
                <w:spacing w:val="15"/>
                <w14:textFill>
                  <w14:solidFill>
                    <w14:schemeClr w14:val="tx1"/>
                  </w14:solidFill>
                </w14:textFill>
              </w:rPr>
              <w:t xml:space="preserve"> </w:t>
            </w:r>
            <w:r>
              <w:rPr>
                <w:color w:val="000000" w:themeColor="text1"/>
                <w:spacing w:val="8"/>
                <w14:textFill>
                  <w14:solidFill>
                    <w14:schemeClr w14:val="tx1"/>
                  </w14:solidFill>
                </w14:textFill>
              </w:rPr>
              <w:t>符合现行国家标准《建筑设计防火规范》</w:t>
            </w:r>
            <w:r>
              <w:rPr>
                <w:color w:val="000000" w:themeColor="text1"/>
                <w14:textFill>
                  <w14:solidFill>
                    <w14:schemeClr w14:val="tx1"/>
                  </w14:solidFill>
                </w14:textFill>
              </w:rPr>
              <w:t>GB</w:t>
            </w:r>
            <w:r>
              <w:rPr>
                <w:color w:val="000000" w:themeColor="text1"/>
                <w:spacing w:val="6"/>
                <w14:textFill>
                  <w14:solidFill>
                    <w14:schemeClr w14:val="tx1"/>
                  </w14:solidFill>
                </w14:textFill>
              </w:rPr>
              <w:t xml:space="preserve"> </w:t>
            </w:r>
            <w:r>
              <w:rPr>
                <w:color w:val="000000" w:themeColor="text1"/>
                <w:spacing w:val="2"/>
                <w14:textFill>
                  <w14:solidFill>
                    <w14:schemeClr w14:val="tx1"/>
                  </w14:solidFill>
                </w14:textFill>
              </w:rPr>
              <w:t>50016</w:t>
            </w:r>
            <w:r>
              <w:rPr>
                <w:color w:val="000000" w:themeColor="text1"/>
                <w:spacing w:val="-21"/>
                <w14:textFill>
                  <w14:solidFill>
                    <w14:schemeClr w14:val="tx1"/>
                  </w14:solidFill>
                </w14:textFill>
              </w:rPr>
              <w:t xml:space="preserve"> </w:t>
            </w:r>
            <w:r>
              <w:rPr>
                <w:color w:val="000000" w:themeColor="text1"/>
                <w:spacing w:val="2"/>
                <w14:textFill>
                  <w14:solidFill>
                    <w14:schemeClr w14:val="tx1"/>
                  </w14:solidFill>
                </w14:textFill>
              </w:rPr>
              <w:t>的规定。</w:t>
            </w:r>
          </w:p>
        </w:tc>
        <w:tc>
          <w:tcPr>
            <w:tcW w:w="1258" w:type="pct"/>
            <w:shd w:val="clear" w:color="auto" w:fill="auto"/>
            <w:noWrap w:val="0"/>
            <w:vAlign w:val="top"/>
          </w:tcPr>
          <w:p w14:paraId="7BFDB410">
            <w:pPr>
              <w:pStyle w:val="26"/>
              <w:spacing w:before="33"/>
              <w:ind w:left="698" w:right="167" w:hanging="521"/>
              <w:rPr>
                <w:color w:val="000000" w:themeColor="text1"/>
                <w14:textFill>
                  <w14:solidFill>
                    <w14:schemeClr w14:val="tx1"/>
                  </w14:solidFill>
                </w14:textFill>
              </w:rPr>
            </w:pPr>
            <w:r>
              <w:rPr>
                <w:color w:val="000000" w:themeColor="text1"/>
                <w:spacing w:val="8"/>
                <w14:textFill>
                  <w14:solidFill>
                    <w14:schemeClr w14:val="tx1"/>
                  </w14:solidFill>
                </w14:textFill>
              </w:rPr>
              <w:t>《光伏发电站设计</w:t>
            </w:r>
            <w:r>
              <w:rPr>
                <w:color w:val="000000" w:themeColor="text1"/>
                <w14:textFill>
                  <w14:solidFill>
                    <w14:schemeClr w14:val="tx1"/>
                  </w14:solidFill>
                </w14:textFill>
              </w:rPr>
              <w:t xml:space="preserve"> </w:t>
            </w:r>
            <w:r>
              <w:rPr>
                <w:color w:val="000000" w:themeColor="text1"/>
                <w:spacing w:val="2"/>
                <w14:textFill>
                  <w14:solidFill>
                    <w14:schemeClr w14:val="tx1"/>
                  </w14:solidFill>
                </w14:textFill>
              </w:rPr>
              <w:t>规范》</w:t>
            </w:r>
          </w:p>
          <w:p w14:paraId="54B7A747">
            <w:pPr>
              <w:pStyle w:val="26"/>
              <w:spacing w:before="22" w:line="234" w:lineRule="auto"/>
              <w:ind w:left="382" w:leftChars="0" w:right="161" w:rightChars="0" w:hanging="222"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3"/>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GB</w:t>
            </w:r>
            <w:r>
              <w:rPr>
                <w:rFonts w:ascii="Times New Roman" w:hAnsi="Times New Roman" w:eastAsia="Times New Roman" w:cs="Times New Roman"/>
                <w:color w:val="000000" w:themeColor="text1"/>
                <w:spacing w:val="3"/>
                <w14:textFill>
                  <w14:solidFill>
                    <w14:schemeClr w14:val="tx1"/>
                  </w14:solidFill>
                </w14:textFill>
              </w:rPr>
              <w:t>50797-2012</w:t>
            </w:r>
            <w:r>
              <w:rPr>
                <w:color w:val="000000" w:themeColor="text1"/>
                <w:spacing w:val="3"/>
                <w14:textFill>
                  <w14:solidFill>
                    <w14:schemeClr w14:val="tx1"/>
                  </w14:solidFill>
                </w14:textFill>
              </w:rPr>
              <w:t>）</w:t>
            </w:r>
            <w:r>
              <w:rPr>
                <w:color w:val="000000" w:themeColor="text1"/>
                <w:spacing w:val="5"/>
                <w14:textFill>
                  <w14:solidFill>
                    <w14:schemeClr w14:val="tx1"/>
                  </w14:solidFill>
                </w14:textFill>
              </w:rPr>
              <w:t xml:space="preserve"> </w:t>
            </w:r>
            <w:r>
              <w:rPr>
                <w:color w:val="000000" w:themeColor="text1"/>
                <w:spacing w:val="-3"/>
                <w14:textFill>
                  <w14:solidFill>
                    <w14:schemeClr w14:val="tx1"/>
                  </w14:solidFill>
                </w14:textFill>
              </w:rPr>
              <w:t>第</w:t>
            </w:r>
            <w:r>
              <w:rPr>
                <w:color w:val="000000" w:themeColor="text1"/>
                <w:spacing w:val="-22"/>
                <w14:textFill>
                  <w14:solidFill>
                    <w14:schemeClr w14:val="tx1"/>
                  </w14:solidFill>
                </w14:textFill>
              </w:rPr>
              <w:t xml:space="preserve"> </w:t>
            </w:r>
            <w:r>
              <w:rPr>
                <w:rFonts w:ascii="Times New Roman" w:hAnsi="Times New Roman" w:eastAsia="Times New Roman" w:cs="Times New Roman"/>
                <w:color w:val="000000" w:themeColor="text1"/>
                <w:spacing w:val="-3"/>
                <w14:textFill>
                  <w14:solidFill>
                    <w14:schemeClr w14:val="tx1"/>
                  </w14:solidFill>
                </w14:textFill>
              </w:rPr>
              <w:t>14.</w:t>
            </w:r>
            <w:r>
              <w:rPr>
                <w:rFonts w:ascii="Times New Roman" w:hAnsi="Times New Roman" w:eastAsia="Times New Roman" w:cs="Times New Roman"/>
                <w:color w:val="000000" w:themeColor="text1"/>
                <w:spacing w:val="-25"/>
                <w14:textFill>
                  <w14:solidFill>
                    <w14:schemeClr w14:val="tx1"/>
                  </w14:solidFill>
                </w14:textFill>
              </w:rPr>
              <w:t xml:space="preserve"> </w:t>
            </w:r>
            <w:r>
              <w:rPr>
                <w:rFonts w:ascii="Times New Roman" w:hAnsi="Times New Roman" w:eastAsia="Times New Roman" w:cs="Times New Roman"/>
                <w:color w:val="000000" w:themeColor="text1"/>
                <w:spacing w:val="-3"/>
                <w14:textFill>
                  <w14:solidFill>
                    <w14:schemeClr w14:val="tx1"/>
                  </w14:solidFill>
                </w14:textFill>
              </w:rPr>
              <w:t>1.2</w:t>
            </w:r>
            <w:r>
              <w:rPr>
                <w:rFonts w:ascii="Times New Roman" w:hAnsi="Times New Roman" w:eastAsia="Times New Roman" w:cs="Times New Roman"/>
                <w:color w:val="000000" w:themeColor="text1"/>
                <w:spacing w:val="13"/>
                <w:w w:val="101"/>
                <w14:textFill>
                  <w14:solidFill>
                    <w14:schemeClr w14:val="tx1"/>
                  </w14:solidFill>
                </w14:textFill>
              </w:rPr>
              <w:t xml:space="preserve"> </w:t>
            </w:r>
            <w:r>
              <w:rPr>
                <w:color w:val="000000" w:themeColor="text1"/>
                <w:spacing w:val="-3"/>
                <w14:textFill>
                  <w14:solidFill>
                    <w14:schemeClr w14:val="tx1"/>
                  </w14:solidFill>
                </w14:textFill>
              </w:rPr>
              <w:t>条。</w:t>
            </w:r>
          </w:p>
        </w:tc>
        <w:tc>
          <w:tcPr>
            <w:tcW w:w="994" w:type="pct"/>
            <w:shd w:val="clear" w:color="auto" w:fill="auto"/>
            <w:noWrap w:val="0"/>
            <w:vAlign w:val="top"/>
          </w:tcPr>
          <w:p w14:paraId="5B9CB18D">
            <w:pPr>
              <w:pStyle w:val="26"/>
              <w:spacing w:before="303"/>
              <w:ind w:left="114" w:leftChars="0" w:right="105" w:rightChars="0" w:firstLine="2"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13"/>
                <w14:textFill>
                  <w14:solidFill>
                    <w14:schemeClr w14:val="tx1"/>
                  </w14:solidFill>
                </w14:textFill>
              </w:rPr>
              <w:t>项</w:t>
            </w:r>
            <w:r>
              <w:rPr>
                <w:color w:val="000000" w:themeColor="text1"/>
                <w:spacing w:val="-29"/>
                <w14:textFill>
                  <w14:solidFill>
                    <w14:schemeClr w14:val="tx1"/>
                  </w14:solidFill>
                </w14:textFill>
              </w:rPr>
              <w:t xml:space="preserve"> </w:t>
            </w:r>
            <w:r>
              <w:rPr>
                <w:color w:val="000000" w:themeColor="text1"/>
                <w:spacing w:val="13"/>
                <w14:textFill>
                  <w14:solidFill>
                    <w14:schemeClr w14:val="tx1"/>
                  </w14:solidFill>
                </w14:textFill>
              </w:rPr>
              <w:t>目建设现场符</w:t>
            </w:r>
            <w:r>
              <w:rPr>
                <w:color w:val="000000" w:themeColor="text1"/>
                <w14:textFill>
                  <w14:solidFill>
                    <w14:schemeClr w14:val="tx1"/>
                  </w14:solidFill>
                </w14:textFill>
              </w:rPr>
              <w:t xml:space="preserve"> </w:t>
            </w:r>
            <w:r>
              <w:rPr>
                <w:color w:val="000000" w:themeColor="text1"/>
                <w:spacing w:val="6"/>
                <w14:textFill>
                  <w14:solidFill>
                    <w14:schemeClr w14:val="tx1"/>
                  </w14:solidFill>
                </w14:textFill>
              </w:rPr>
              <w:t>合设计要求。</w:t>
            </w:r>
          </w:p>
        </w:tc>
        <w:tc>
          <w:tcPr>
            <w:tcW w:w="414" w:type="pct"/>
            <w:shd w:val="clear" w:color="auto" w:fill="auto"/>
            <w:noWrap w:val="0"/>
            <w:vAlign w:val="top"/>
          </w:tcPr>
          <w:p w14:paraId="298E34E4">
            <w:pPr>
              <w:spacing w:line="373" w:lineRule="auto"/>
              <w:rPr>
                <w:rFonts w:ascii="Arial"/>
                <w:color w:val="000000" w:themeColor="text1"/>
                <w:sz w:val="21"/>
                <w14:textFill>
                  <w14:solidFill>
                    <w14:schemeClr w14:val="tx1"/>
                  </w14:solidFill>
                </w14:textFill>
              </w:rPr>
            </w:pPr>
          </w:p>
          <w:p w14:paraId="3C0127DF">
            <w:pPr>
              <w:pStyle w:val="26"/>
              <w:spacing w:before="65" w:line="228" w:lineRule="auto"/>
              <w:ind w:left="141" w:leftChars="0" w:firstLine="0"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3"/>
                <w14:textFill>
                  <w14:solidFill>
                    <w14:schemeClr w14:val="tx1"/>
                  </w14:solidFill>
                </w14:textFill>
              </w:rPr>
              <w:t>符合</w:t>
            </w:r>
          </w:p>
        </w:tc>
      </w:tr>
      <w:tr w14:paraId="59297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33" w:type="pct"/>
            <w:noWrap w:val="0"/>
            <w:vAlign w:val="center"/>
          </w:tcPr>
          <w:p w14:paraId="6C290724">
            <w:pPr>
              <w:pStyle w:val="30"/>
              <w:keepNext w:val="0"/>
              <w:keepLines w:val="0"/>
              <w:pageBreakBefore w:val="0"/>
              <w:widowControl w:val="0"/>
              <w:numPr>
                <w:ilvl w:val="0"/>
                <w:numId w:val="39"/>
              </w:numPr>
              <w:kinsoku/>
              <w:bidi w:val="0"/>
              <w:ind w:left="425" w:leftChars="0" w:hanging="425" w:firstLineChars="0"/>
              <w:rPr>
                <w:color w:val="000000" w:themeColor="text1"/>
                <w:sz w:val="21"/>
                <w:szCs w:val="21"/>
                <w14:textFill>
                  <w14:solidFill>
                    <w14:schemeClr w14:val="tx1"/>
                  </w14:solidFill>
                </w14:textFill>
              </w:rPr>
            </w:pPr>
          </w:p>
        </w:tc>
        <w:tc>
          <w:tcPr>
            <w:tcW w:w="2099" w:type="pct"/>
            <w:shd w:val="clear" w:color="auto" w:fill="auto"/>
            <w:noWrap w:val="0"/>
            <w:vAlign w:val="top"/>
          </w:tcPr>
          <w:p w14:paraId="41065104">
            <w:pPr>
              <w:pStyle w:val="26"/>
              <w:spacing w:before="169" w:line="243" w:lineRule="auto"/>
              <w:ind w:left="111" w:leftChars="0" w:right="106" w:rightChars="0" w:firstLine="12" w:firstLineChars="0"/>
              <w:jc w:val="both"/>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18"/>
                <w14:textFill>
                  <w14:solidFill>
                    <w14:schemeClr w14:val="tx1"/>
                  </w14:solidFill>
                </w14:textFill>
              </w:rPr>
              <w:t>当控制电缆或通信电缆与电力电缆敷设在</w:t>
            </w:r>
            <w:r>
              <w:rPr>
                <w:color w:val="000000" w:themeColor="text1"/>
                <w:spacing w:val="13"/>
                <w14:textFill>
                  <w14:solidFill>
                    <w14:schemeClr w14:val="tx1"/>
                  </w14:solidFill>
                </w14:textFill>
              </w:rPr>
              <w:t xml:space="preserve"> </w:t>
            </w:r>
            <w:r>
              <w:rPr>
                <w:color w:val="000000" w:themeColor="text1"/>
                <w:spacing w:val="7"/>
                <w14:textFill>
                  <w14:solidFill>
                    <w14:schemeClr w14:val="tx1"/>
                  </w14:solidFill>
                </w14:textFill>
              </w:rPr>
              <w:t>同一电缆沟内时，宜采用防火槽盒或防火隔</w:t>
            </w:r>
            <w:r>
              <w:rPr>
                <w:color w:val="000000" w:themeColor="text1"/>
                <w:spacing w:val="6"/>
                <w14:textFill>
                  <w14:solidFill>
                    <w14:schemeClr w14:val="tx1"/>
                  </w14:solidFill>
                </w14:textFill>
              </w:rPr>
              <w:t>板进行分隔。</w:t>
            </w:r>
          </w:p>
        </w:tc>
        <w:tc>
          <w:tcPr>
            <w:tcW w:w="1258" w:type="pct"/>
            <w:shd w:val="clear" w:color="auto" w:fill="auto"/>
            <w:noWrap w:val="0"/>
            <w:vAlign w:val="top"/>
          </w:tcPr>
          <w:p w14:paraId="2098CAF4">
            <w:pPr>
              <w:pStyle w:val="26"/>
              <w:spacing w:before="33" w:line="227" w:lineRule="auto"/>
              <w:ind w:left="177"/>
              <w:rPr>
                <w:color w:val="000000" w:themeColor="text1"/>
                <w14:textFill>
                  <w14:solidFill>
                    <w14:schemeClr w14:val="tx1"/>
                  </w14:solidFill>
                </w14:textFill>
              </w:rPr>
            </w:pPr>
            <w:r>
              <w:rPr>
                <w:color w:val="000000" w:themeColor="text1"/>
                <w:spacing w:val="8"/>
                <w14:textFill>
                  <w14:solidFill>
                    <w14:schemeClr w14:val="tx1"/>
                  </w14:solidFill>
                </w14:textFill>
              </w:rPr>
              <w:t>《光伏发电站设计</w:t>
            </w:r>
          </w:p>
          <w:p w14:paraId="59B422B8">
            <w:pPr>
              <w:pStyle w:val="26"/>
              <w:spacing w:before="25" w:line="230" w:lineRule="auto"/>
              <w:ind w:left="698"/>
              <w:rPr>
                <w:color w:val="000000" w:themeColor="text1"/>
                <w14:textFill>
                  <w14:solidFill>
                    <w14:schemeClr w14:val="tx1"/>
                  </w14:solidFill>
                </w14:textFill>
              </w:rPr>
            </w:pPr>
            <w:r>
              <w:rPr>
                <w:color w:val="000000" w:themeColor="text1"/>
                <w:spacing w:val="2"/>
                <w14:textFill>
                  <w14:solidFill>
                    <w14:schemeClr w14:val="tx1"/>
                  </w14:solidFill>
                </w14:textFill>
              </w:rPr>
              <w:t>规范》</w:t>
            </w:r>
          </w:p>
          <w:p w14:paraId="15BF2777">
            <w:pPr>
              <w:pStyle w:val="26"/>
              <w:spacing w:before="24"/>
              <w:ind w:left="160"/>
              <w:rPr>
                <w:color w:val="000000" w:themeColor="text1"/>
                <w14:textFill>
                  <w14:solidFill>
                    <w14:schemeClr w14:val="tx1"/>
                  </w14:solidFill>
                </w14:textFill>
              </w:rPr>
            </w:pPr>
            <w:r>
              <w:rPr>
                <w:color w:val="000000" w:themeColor="text1"/>
                <w:spacing w:val="4"/>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GB</w:t>
            </w:r>
            <w:r>
              <w:rPr>
                <w:rFonts w:ascii="Times New Roman" w:hAnsi="Times New Roman" w:eastAsia="Times New Roman" w:cs="Times New Roman"/>
                <w:color w:val="000000" w:themeColor="text1"/>
                <w:spacing w:val="4"/>
                <w14:textFill>
                  <w14:solidFill>
                    <w14:schemeClr w14:val="tx1"/>
                  </w14:solidFill>
                </w14:textFill>
              </w:rPr>
              <w:t>50797-2012</w:t>
            </w:r>
            <w:r>
              <w:rPr>
                <w:color w:val="000000" w:themeColor="text1"/>
                <w:spacing w:val="4"/>
                <w14:textFill>
                  <w14:solidFill>
                    <w14:schemeClr w14:val="tx1"/>
                  </w14:solidFill>
                </w14:textFill>
              </w:rPr>
              <w:t>）</w:t>
            </w:r>
          </w:p>
          <w:p w14:paraId="37B5A65E">
            <w:pPr>
              <w:pStyle w:val="26"/>
              <w:spacing w:before="11" w:line="216" w:lineRule="auto"/>
              <w:ind w:left="581" w:leftChars="0" w:firstLine="0"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14:textFill>
                  <w14:solidFill>
                    <w14:schemeClr w14:val="tx1"/>
                  </w14:solidFill>
                </w14:textFill>
              </w:rPr>
              <w:t>14.3.1</w:t>
            </w:r>
            <w:r>
              <w:rPr>
                <w:color w:val="000000" w:themeColor="text1"/>
                <w:spacing w:val="-31"/>
                <w14:textFill>
                  <w14:solidFill>
                    <w14:schemeClr w14:val="tx1"/>
                  </w14:solidFill>
                </w14:textFill>
              </w:rPr>
              <w:t xml:space="preserve"> </w:t>
            </w:r>
            <w:r>
              <w:rPr>
                <w:color w:val="000000" w:themeColor="text1"/>
                <w14:textFill>
                  <w14:solidFill>
                    <w14:schemeClr w14:val="tx1"/>
                  </w14:solidFill>
                </w14:textFill>
              </w:rPr>
              <w:t>条</w:t>
            </w:r>
          </w:p>
        </w:tc>
        <w:tc>
          <w:tcPr>
            <w:tcW w:w="994" w:type="pct"/>
            <w:shd w:val="clear" w:color="auto" w:fill="auto"/>
            <w:noWrap w:val="0"/>
            <w:vAlign w:val="top"/>
          </w:tcPr>
          <w:p w14:paraId="4ACBB12D">
            <w:pPr>
              <w:pStyle w:val="26"/>
              <w:spacing w:before="304" w:line="241" w:lineRule="auto"/>
              <w:ind w:left="114" w:leftChars="0" w:right="105" w:rightChars="0" w:firstLine="2"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13"/>
                <w14:textFill>
                  <w14:solidFill>
                    <w14:schemeClr w14:val="tx1"/>
                  </w14:solidFill>
                </w14:textFill>
              </w:rPr>
              <w:t>项</w:t>
            </w:r>
            <w:r>
              <w:rPr>
                <w:color w:val="000000" w:themeColor="text1"/>
                <w:spacing w:val="-29"/>
                <w14:textFill>
                  <w14:solidFill>
                    <w14:schemeClr w14:val="tx1"/>
                  </w14:solidFill>
                </w14:textFill>
              </w:rPr>
              <w:t xml:space="preserve"> </w:t>
            </w:r>
            <w:r>
              <w:rPr>
                <w:color w:val="000000" w:themeColor="text1"/>
                <w:spacing w:val="13"/>
                <w14:textFill>
                  <w14:solidFill>
                    <w14:schemeClr w14:val="tx1"/>
                  </w14:solidFill>
                </w14:textFill>
              </w:rPr>
              <w:t>目建设现场符</w:t>
            </w:r>
            <w:r>
              <w:rPr>
                <w:color w:val="000000" w:themeColor="text1"/>
                <w14:textFill>
                  <w14:solidFill>
                    <w14:schemeClr w14:val="tx1"/>
                  </w14:solidFill>
                </w14:textFill>
              </w:rPr>
              <w:t xml:space="preserve"> </w:t>
            </w:r>
            <w:r>
              <w:rPr>
                <w:color w:val="000000" w:themeColor="text1"/>
                <w:spacing w:val="6"/>
                <w14:textFill>
                  <w14:solidFill>
                    <w14:schemeClr w14:val="tx1"/>
                  </w14:solidFill>
                </w14:textFill>
              </w:rPr>
              <w:t>合设计要求。</w:t>
            </w:r>
          </w:p>
        </w:tc>
        <w:tc>
          <w:tcPr>
            <w:tcW w:w="414" w:type="pct"/>
            <w:shd w:val="clear" w:color="auto" w:fill="auto"/>
            <w:noWrap w:val="0"/>
            <w:vAlign w:val="top"/>
          </w:tcPr>
          <w:p w14:paraId="27F65765">
            <w:pPr>
              <w:spacing w:line="374" w:lineRule="auto"/>
              <w:rPr>
                <w:rFonts w:ascii="Arial"/>
                <w:color w:val="000000" w:themeColor="text1"/>
                <w:sz w:val="21"/>
                <w14:textFill>
                  <w14:solidFill>
                    <w14:schemeClr w14:val="tx1"/>
                  </w14:solidFill>
                </w14:textFill>
              </w:rPr>
            </w:pPr>
          </w:p>
          <w:p w14:paraId="1D2F53B2">
            <w:pPr>
              <w:pStyle w:val="26"/>
              <w:spacing w:before="65" w:line="228" w:lineRule="auto"/>
              <w:ind w:left="141" w:leftChars="0" w:firstLine="0"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3"/>
                <w14:textFill>
                  <w14:solidFill>
                    <w14:schemeClr w14:val="tx1"/>
                  </w14:solidFill>
                </w14:textFill>
              </w:rPr>
              <w:t>符合</w:t>
            </w:r>
          </w:p>
        </w:tc>
      </w:tr>
      <w:tr w14:paraId="6F536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33" w:type="pct"/>
            <w:noWrap w:val="0"/>
            <w:vAlign w:val="center"/>
          </w:tcPr>
          <w:p w14:paraId="2706FEA3">
            <w:pPr>
              <w:pStyle w:val="30"/>
              <w:keepNext w:val="0"/>
              <w:keepLines w:val="0"/>
              <w:pageBreakBefore w:val="0"/>
              <w:widowControl w:val="0"/>
              <w:numPr>
                <w:ilvl w:val="0"/>
                <w:numId w:val="39"/>
              </w:numPr>
              <w:kinsoku/>
              <w:bidi w:val="0"/>
              <w:ind w:left="425" w:leftChars="0" w:hanging="425" w:firstLineChars="0"/>
              <w:rPr>
                <w:color w:val="000000" w:themeColor="text1"/>
                <w:sz w:val="21"/>
                <w:szCs w:val="21"/>
                <w14:textFill>
                  <w14:solidFill>
                    <w14:schemeClr w14:val="tx1"/>
                  </w14:solidFill>
                </w14:textFill>
              </w:rPr>
            </w:pPr>
          </w:p>
        </w:tc>
        <w:tc>
          <w:tcPr>
            <w:tcW w:w="2099" w:type="pct"/>
            <w:shd w:val="clear" w:color="auto" w:fill="auto"/>
            <w:noWrap w:val="0"/>
            <w:vAlign w:val="top"/>
          </w:tcPr>
          <w:p w14:paraId="3C5769D9">
            <w:pPr>
              <w:pStyle w:val="26"/>
              <w:spacing w:before="33" w:line="228" w:lineRule="auto"/>
              <w:ind w:left="135"/>
              <w:rPr>
                <w:color w:val="000000" w:themeColor="text1"/>
                <w14:textFill>
                  <w14:solidFill>
                    <w14:schemeClr w14:val="tx1"/>
                  </w14:solidFill>
                </w14:textFill>
              </w:rPr>
            </w:pPr>
            <w:r>
              <w:rPr>
                <w:color w:val="000000" w:themeColor="text1"/>
                <w:spacing w:val="7"/>
                <w14:textFill>
                  <w14:solidFill>
                    <w14:schemeClr w14:val="tx1"/>
                  </w14:solidFill>
                </w14:textFill>
              </w:rPr>
              <w:t>电缆沟的下列部位应设置防火分隔措施：</w:t>
            </w:r>
          </w:p>
          <w:p w14:paraId="52FD330C">
            <w:pPr>
              <w:pStyle w:val="26"/>
              <w:spacing w:before="24" w:line="221" w:lineRule="auto"/>
              <w:ind w:left="111"/>
              <w:rPr>
                <w:color w:val="000000" w:themeColor="text1"/>
                <w14:textFill>
                  <w14:solidFill>
                    <w14:schemeClr w14:val="tx1"/>
                  </w14:solidFill>
                </w14:textFill>
              </w:rPr>
            </w:pPr>
            <w:r>
              <w:rPr>
                <w:rFonts w:ascii="Times New Roman" w:hAnsi="Times New Roman" w:eastAsia="Times New Roman" w:cs="Times New Roman"/>
                <w:color w:val="000000" w:themeColor="text1"/>
                <w:spacing w:val="7"/>
                <w14:textFill>
                  <w14:solidFill>
                    <w14:schemeClr w14:val="tx1"/>
                  </w14:solidFill>
                </w14:textFill>
              </w:rPr>
              <w:t>(1)</w:t>
            </w:r>
            <w:r>
              <w:rPr>
                <w:color w:val="000000" w:themeColor="text1"/>
                <w:spacing w:val="7"/>
                <w14:textFill>
                  <w14:solidFill>
                    <w14:schemeClr w14:val="tx1"/>
                  </w14:solidFill>
                </w14:textFill>
              </w:rPr>
              <w:t>电缆从室外进入室内的入口处。</w:t>
            </w:r>
          </w:p>
          <w:p w14:paraId="69EE1B45">
            <w:pPr>
              <w:pStyle w:val="26"/>
              <w:spacing w:before="34" w:line="221" w:lineRule="auto"/>
              <w:ind w:left="111"/>
              <w:rPr>
                <w:color w:val="000000" w:themeColor="text1"/>
                <w14:textFill>
                  <w14:solidFill>
                    <w14:schemeClr w14:val="tx1"/>
                  </w14:solidFill>
                </w14:textFill>
              </w:rPr>
            </w:pPr>
            <w:r>
              <w:rPr>
                <w:rFonts w:ascii="Times New Roman" w:hAnsi="Times New Roman" w:eastAsia="Times New Roman" w:cs="Times New Roman"/>
                <w:color w:val="000000" w:themeColor="text1"/>
                <w:spacing w:val="7"/>
                <w14:textFill>
                  <w14:solidFill>
                    <w14:schemeClr w14:val="tx1"/>
                  </w14:solidFill>
                </w14:textFill>
              </w:rPr>
              <w:t>(2)</w:t>
            </w:r>
            <w:r>
              <w:rPr>
                <w:color w:val="000000" w:themeColor="text1"/>
                <w:spacing w:val="7"/>
                <w14:textFill>
                  <w14:solidFill>
                    <w14:schemeClr w14:val="tx1"/>
                  </w14:solidFill>
                </w14:textFill>
              </w:rPr>
              <w:t>穿越控制室、配电装置室处。</w:t>
            </w:r>
          </w:p>
          <w:p w14:paraId="332E0A59">
            <w:pPr>
              <w:pStyle w:val="26"/>
              <w:spacing w:before="31" w:line="221" w:lineRule="auto"/>
              <w:ind w:left="111"/>
              <w:rPr>
                <w:color w:val="000000" w:themeColor="text1"/>
                <w14:textFill>
                  <w14:solidFill>
                    <w14:schemeClr w14:val="tx1"/>
                  </w14:solidFill>
                </w14:textFill>
              </w:rPr>
            </w:pPr>
            <w:r>
              <w:rPr>
                <w:rFonts w:ascii="Times New Roman" w:hAnsi="Times New Roman" w:eastAsia="Times New Roman" w:cs="Times New Roman"/>
                <w:color w:val="000000" w:themeColor="text1"/>
                <w:spacing w:val="3"/>
                <w14:textFill>
                  <w14:solidFill>
                    <w14:schemeClr w14:val="tx1"/>
                  </w14:solidFill>
                </w14:textFill>
              </w:rPr>
              <w:t>(3)</w:t>
            </w:r>
            <w:r>
              <w:rPr>
                <w:color w:val="000000" w:themeColor="text1"/>
                <w:spacing w:val="3"/>
                <w14:textFill>
                  <w14:solidFill>
                    <w14:schemeClr w14:val="tx1"/>
                  </w14:solidFill>
                </w14:textFill>
              </w:rPr>
              <w:t>电缆沟道每隔</w:t>
            </w:r>
            <w:r>
              <w:rPr>
                <w:color w:val="000000" w:themeColor="text1"/>
                <w:spacing w:val="-13"/>
                <w14:textFill>
                  <w14:solidFill>
                    <w14:schemeClr w14:val="tx1"/>
                  </w14:solidFill>
                </w14:textFill>
              </w:rPr>
              <w:t xml:space="preserve"> </w:t>
            </w:r>
            <w:r>
              <w:rPr>
                <w:rFonts w:ascii="Times New Roman" w:hAnsi="Times New Roman" w:eastAsia="Times New Roman" w:cs="Times New Roman"/>
                <w:color w:val="000000" w:themeColor="text1"/>
                <w:spacing w:val="3"/>
                <w14:textFill>
                  <w14:solidFill>
                    <w14:schemeClr w14:val="tx1"/>
                  </w14:solidFill>
                </w14:textFill>
              </w:rPr>
              <w:t>100m</w:t>
            </w:r>
            <w:r>
              <w:rPr>
                <w:color w:val="000000" w:themeColor="text1"/>
                <w:spacing w:val="3"/>
                <w14:textFill>
                  <w14:solidFill>
                    <w14:schemeClr w14:val="tx1"/>
                  </w14:solidFill>
                </w14:textFill>
              </w:rPr>
              <w:t>处。</w:t>
            </w:r>
          </w:p>
          <w:p w14:paraId="1C6E048A">
            <w:pPr>
              <w:pStyle w:val="26"/>
              <w:spacing w:before="34" w:line="221" w:lineRule="auto"/>
              <w:ind w:left="111"/>
              <w:rPr>
                <w:color w:val="000000" w:themeColor="text1"/>
                <w14:textFill>
                  <w14:solidFill>
                    <w14:schemeClr w14:val="tx1"/>
                  </w14:solidFill>
                </w14:textFill>
              </w:rPr>
            </w:pPr>
            <w:r>
              <w:rPr>
                <w:rFonts w:ascii="Times New Roman" w:hAnsi="Times New Roman" w:eastAsia="Times New Roman" w:cs="Times New Roman"/>
                <w:color w:val="000000" w:themeColor="text1"/>
                <w:spacing w:val="7"/>
                <w14:textFill>
                  <w14:solidFill>
                    <w14:schemeClr w14:val="tx1"/>
                  </w14:solidFill>
                </w14:textFill>
              </w:rPr>
              <w:t>(4)</w:t>
            </w:r>
            <w:r>
              <w:rPr>
                <w:color w:val="000000" w:themeColor="text1"/>
                <w:spacing w:val="7"/>
                <w14:textFill>
                  <w14:solidFill>
                    <w14:schemeClr w14:val="tx1"/>
                  </w14:solidFill>
                </w14:textFill>
              </w:rPr>
              <w:t>电缆沟道分支引接处。</w:t>
            </w:r>
          </w:p>
          <w:p w14:paraId="429F2EB1">
            <w:pPr>
              <w:pStyle w:val="26"/>
              <w:spacing w:before="32" w:line="215" w:lineRule="auto"/>
              <w:ind w:left="147" w:leftChars="0" w:firstLine="0"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4"/>
                <w14:textFill>
                  <w14:solidFill>
                    <w14:schemeClr w14:val="tx1"/>
                  </w14:solidFill>
                </w14:textFill>
              </w:rPr>
              <w:t>(5)控制室与电缆夹层之间。</w:t>
            </w:r>
          </w:p>
        </w:tc>
        <w:tc>
          <w:tcPr>
            <w:tcW w:w="1258" w:type="pct"/>
            <w:shd w:val="clear" w:color="auto" w:fill="auto"/>
            <w:noWrap w:val="0"/>
            <w:vAlign w:val="top"/>
          </w:tcPr>
          <w:p w14:paraId="0A0501E3">
            <w:pPr>
              <w:pStyle w:val="26"/>
              <w:spacing w:before="305" w:line="227" w:lineRule="auto"/>
              <w:ind w:left="177"/>
              <w:rPr>
                <w:color w:val="000000" w:themeColor="text1"/>
                <w14:textFill>
                  <w14:solidFill>
                    <w14:schemeClr w14:val="tx1"/>
                  </w14:solidFill>
                </w14:textFill>
              </w:rPr>
            </w:pPr>
            <w:r>
              <w:rPr>
                <w:color w:val="000000" w:themeColor="text1"/>
                <w:spacing w:val="8"/>
                <w14:textFill>
                  <w14:solidFill>
                    <w14:schemeClr w14:val="tx1"/>
                  </w14:solidFill>
                </w14:textFill>
              </w:rPr>
              <w:t>《光伏发电站设计</w:t>
            </w:r>
          </w:p>
          <w:p w14:paraId="309B7185">
            <w:pPr>
              <w:pStyle w:val="26"/>
              <w:spacing w:before="27" w:line="230" w:lineRule="auto"/>
              <w:ind w:left="698"/>
              <w:rPr>
                <w:color w:val="000000" w:themeColor="text1"/>
                <w14:textFill>
                  <w14:solidFill>
                    <w14:schemeClr w14:val="tx1"/>
                  </w14:solidFill>
                </w14:textFill>
              </w:rPr>
            </w:pPr>
            <w:r>
              <w:rPr>
                <w:color w:val="000000" w:themeColor="text1"/>
                <w:spacing w:val="2"/>
                <w14:textFill>
                  <w14:solidFill>
                    <w14:schemeClr w14:val="tx1"/>
                  </w14:solidFill>
                </w14:textFill>
              </w:rPr>
              <w:t>规范》</w:t>
            </w:r>
          </w:p>
          <w:p w14:paraId="4C04BF86">
            <w:pPr>
              <w:pStyle w:val="26"/>
              <w:spacing w:before="22"/>
              <w:ind w:left="160"/>
              <w:rPr>
                <w:color w:val="000000" w:themeColor="text1"/>
                <w14:textFill>
                  <w14:solidFill>
                    <w14:schemeClr w14:val="tx1"/>
                  </w14:solidFill>
                </w14:textFill>
              </w:rPr>
            </w:pPr>
            <w:r>
              <w:rPr>
                <w:color w:val="000000" w:themeColor="text1"/>
                <w:spacing w:val="4"/>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GB</w:t>
            </w:r>
            <w:r>
              <w:rPr>
                <w:rFonts w:ascii="Times New Roman" w:hAnsi="Times New Roman" w:eastAsia="Times New Roman" w:cs="Times New Roman"/>
                <w:color w:val="000000" w:themeColor="text1"/>
                <w:spacing w:val="4"/>
                <w14:textFill>
                  <w14:solidFill>
                    <w14:schemeClr w14:val="tx1"/>
                  </w14:solidFill>
                </w14:textFill>
              </w:rPr>
              <w:t>50797-2012</w:t>
            </w:r>
            <w:r>
              <w:rPr>
                <w:color w:val="000000" w:themeColor="text1"/>
                <w:spacing w:val="4"/>
                <w14:textFill>
                  <w14:solidFill>
                    <w14:schemeClr w14:val="tx1"/>
                  </w14:solidFill>
                </w14:textFill>
              </w:rPr>
              <w:t>）</w:t>
            </w:r>
          </w:p>
          <w:p w14:paraId="60D80B09">
            <w:pPr>
              <w:pStyle w:val="26"/>
              <w:spacing w:before="13" w:line="228" w:lineRule="auto"/>
              <w:ind w:left="581" w:leftChars="0" w:firstLine="0"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14:textFill>
                  <w14:solidFill>
                    <w14:schemeClr w14:val="tx1"/>
                  </w14:solidFill>
                </w14:textFill>
              </w:rPr>
              <w:t>14.3.2</w:t>
            </w:r>
            <w:r>
              <w:rPr>
                <w:color w:val="000000" w:themeColor="text1"/>
                <w:spacing w:val="-31"/>
                <w14:textFill>
                  <w14:solidFill>
                    <w14:schemeClr w14:val="tx1"/>
                  </w14:solidFill>
                </w14:textFill>
              </w:rPr>
              <w:t xml:space="preserve"> </w:t>
            </w:r>
            <w:r>
              <w:rPr>
                <w:color w:val="000000" w:themeColor="text1"/>
                <w14:textFill>
                  <w14:solidFill>
                    <w14:schemeClr w14:val="tx1"/>
                  </w14:solidFill>
                </w14:textFill>
              </w:rPr>
              <w:t>条</w:t>
            </w:r>
          </w:p>
        </w:tc>
        <w:tc>
          <w:tcPr>
            <w:tcW w:w="994" w:type="pct"/>
            <w:shd w:val="clear" w:color="auto" w:fill="auto"/>
            <w:noWrap w:val="0"/>
            <w:vAlign w:val="top"/>
          </w:tcPr>
          <w:p w14:paraId="6A824510">
            <w:pPr>
              <w:spacing w:line="255" w:lineRule="auto"/>
              <w:rPr>
                <w:rFonts w:ascii="Arial"/>
                <w:color w:val="000000" w:themeColor="text1"/>
                <w:sz w:val="21"/>
                <w14:textFill>
                  <w14:solidFill>
                    <w14:schemeClr w14:val="tx1"/>
                  </w14:solidFill>
                </w14:textFill>
              </w:rPr>
            </w:pPr>
          </w:p>
          <w:p w14:paraId="31B7367A">
            <w:pPr>
              <w:spacing w:line="255" w:lineRule="auto"/>
              <w:rPr>
                <w:rFonts w:ascii="Arial"/>
                <w:color w:val="000000" w:themeColor="text1"/>
                <w:sz w:val="21"/>
                <w14:textFill>
                  <w14:solidFill>
                    <w14:schemeClr w14:val="tx1"/>
                  </w14:solidFill>
                </w14:textFill>
              </w:rPr>
            </w:pPr>
          </w:p>
          <w:p w14:paraId="5D190167">
            <w:pPr>
              <w:pStyle w:val="26"/>
              <w:spacing w:before="65"/>
              <w:ind w:left="114" w:leftChars="0" w:right="105" w:rightChars="0" w:firstLine="2"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13"/>
                <w14:textFill>
                  <w14:solidFill>
                    <w14:schemeClr w14:val="tx1"/>
                  </w14:solidFill>
                </w14:textFill>
              </w:rPr>
              <w:t>项</w:t>
            </w:r>
            <w:r>
              <w:rPr>
                <w:color w:val="000000" w:themeColor="text1"/>
                <w:spacing w:val="-29"/>
                <w14:textFill>
                  <w14:solidFill>
                    <w14:schemeClr w14:val="tx1"/>
                  </w14:solidFill>
                </w14:textFill>
              </w:rPr>
              <w:t xml:space="preserve"> </w:t>
            </w:r>
            <w:r>
              <w:rPr>
                <w:color w:val="000000" w:themeColor="text1"/>
                <w:spacing w:val="13"/>
                <w14:textFill>
                  <w14:solidFill>
                    <w14:schemeClr w14:val="tx1"/>
                  </w14:solidFill>
                </w14:textFill>
              </w:rPr>
              <w:t>目建设现场符</w:t>
            </w:r>
            <w:r>
              <w:rPr>
                <w:color w:val="000000" w:themeColor="text1"/>
                <w14:textFill>
                  <w14:solidFill>
                    <w14:schemeClr w14:val="tx1"/>
                  </w14:solidFill>
                </w14:textFill>
              </w:rPr>
              <w:t xml:space="preserve"> </w:t>
            </w:r>
            <w:r>
              <w:rPr>
                <w:color w:val="000000" w:themeColor="text1"/>
                <w:spacing w:val="6"/>
                <w14:textFill>
                  <w14:solidFill>
                    <w14:schemeClr w14:val="tx1"/>
                  </w14:solidFill>
                </w14:textFill>
              </w:rPr>
              <w:t>合设计要求。</w:t>
            </w:r>
          </w:p>
        </w:tc>
        <w:tc>
          <w:tcPr>
            <w:tcW w:w="414" w:type="pct"/>
            <w:shd w:val="clear" w:color="auto" w:fill="auto"/>
            <w:noWrap w:val="0"/>
            <w:vAlign w:val="top"/>
          </w:tcPr>
          <w:p w14:paraId="7AA88915">
            <w:pPr>
              <w:spacing w:line="322" w:lineRule="auto"/>
              <w:rPr>
                <w:rFonts w:ascii="Arial"/>
                <w:color w:val="000000" w:themeColor="text1"/>
                <w:sz w:val="21"/>
                <w14:textFill>
                  <w14:solidFill>
                    <w14:schemeClr w14:val="tx1"/>
                  </w14:solidFill>
                </w14:textFill>
              </w:rPr>
            </w:pPr>
          </w:p>
          <w:p w14:paraId="5C570E91">
            <w:pPr>
              <w:spacing w:line="322" w:lineRule="auto"/>
              <w:rPr>
                <w:rFonts w:ascii="Arial"/>
                <w:color w:val="000000" w:themeColor="text1"/>
                <w:sz w:val="21"/>
                <w14:textFill>
                  <w14:solidFill>
                    <w14:schemeClr w14:val="tx1"/>
                  </w14:solidFill>
                </w14:textFill>
              </w:rPr>
            </w:pPr>
          </w:p>
          <w:p w14:paraId="67624253">
            <w:pPr>
              <w:pStyle w:val="26"/>
              <w:spacing w:before="65" w:line="228" w:lineRule="auto"/>
              <w:ind w:left="141" w:leftChars="0" w:firstLine="0"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3"/>
                <w14:textFill>
                  <w14:solidFill>
                    <w14:schemeClr w14:val="tx1"/>
                  </w14:solidFill>
                </w14:textFill>
              </w:rPr>
              <w:t>符合</w:t>
            </w:r>
          </w:p>
        </w:tc>
      </w:tr>
      <w:tr w14:paraId="22AD2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33" w:type="pct"/>
            <w:noWrap w:val="0"/>
            <w:vAlign w:val="center"/>
          </w:tcPr>
          <w:p w14:paraId="44FA0B34">
            <w:pPr>
              <w:pStyle w:val="30"/>
              <w:keepNext w:val="0"/>
              <w:keepLines w:val="0"/>
              <w:pageBreakBefore w:val="0"/>
              <w:widowControl w:val="0"/>
              <w:numPr>
                <w:ilvl w:val="0"/>
                <w:numId w:val="39"/>
              </w:numPr>
              <w:kinsoku/>
              <w:bidi w:val="0"/>
              <w:ind w:left="425" w:leftChars="0" w:hanging="425" w:firstLineChars="0"/>
              <w:rPr>
                <w:color w:val="000000" w:themeColor="text1"/>
                <w:sz w:val="21"/>
                <w:szCs w:val="21"/>
                <w14:textFill>
                  <w14:solidFill>
                    <w14:schemeClr w14:val="tx1"/>
                  </w14:solidFill>
                </w14:textFill>
              </w:rPr>
            </w:pPr>
          </w:p>
        </w:tc>
        <w:tc>
          <w:tcPr>
            <w:tcW w:w="2099" w:type="pct"/>
            <w:shd w:val="clear" w:color="auto" w:fill="auto"/>
            <w:noWrap w:val="0"/>
            <w:vAlign w:val="top"/>
          </w:tcPr>
          <w:p w14:paraId="52A56394">
            <w:pPr>
              <w:pStyle w:val="26"/>
              <w:spacing w:before="65"/>
              <w:ind w:left="114" w:leftChars="0" w:right="106" w:rightChars="0" w:hanging="3"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7"/>
                <w14:textFill>
                  <w14:solidFill>
                    <w14:schemeClr w14:val="tx1"/>
                  </w14:solidFill>
                </w14:textFill>
              </w:rPr>
              <w:t>含逆变器室、就地升压变压器的光伏方阵区不宜设置消防水系统。</w:t>
            </w:r>
          </w:p>
        </w:tc>
        <w:tc>
          <w:tcPr>
            <w:tcW w:w="1258" w:type="pct"/>
            <w:shd w:val="clear" w:color="auto" w:fill="auto"/>
            <w:noWrap w:val="0"/>
            <w:vAlign w:val="top"/>
          </w:tcPr>
          <w:p w14:paraId="4FD556E7">
            <w:pPr>
              <w:pStyle w:val="26"/>
              <w:spacing w:before="35" w:line="227" w:lineRule="auto"/>
              <w:ind w:left="177"/>
              <w:rPr>
                <w:color w:val="000000" w:themeColor="text1"/>
                <w14:textFill>
                  <w14:solidFill>
                    <w14:schemeClr w14:val="tx1"/>
                  </w14:solidFill>
                </w14:textFill>
              </w:rPr>
            </w:pPr>
            <w:r>
              <w:rPr>
                <w:color w:val="000000" w:themeColor="text1"/>
                <w:spacing w:val="8"/>
                <w14:textFill>
                  <w14:solidFill>
                    <w14:schemeClr w14:val="tx1"/>
                  </w14:solidFill>
                </w14:textFill>
              </w:rPr>
              <w:t>《光伏发电站设计</w:t>
            </w:r>
          </w:p>
          <w:p w14:paraId="21F1B448">
            <w:pPr>
              <w:pStyle w:val="26"/>
              <w:spacing w:before="25" w:line="230" w:lineRule="auto"/>
              <w:ind w:left="698"/>
              <w:rPr>
                <w:color w:val="000000" w:themeColor="text1"/>
                <w14:textFill>
                  <w14:solidFill>
                    <w14:schemeClr w14:val="tx1"/>
                  </w14:solidFill>
                </w14:textFill>
              </w:rPr>
            </w:pPr>
            <w:r>
              <w:rPr>
                <w:color w:val="000000" w:themeColor="text1"/>
                <w:spacing w:val="2"/>
                <w14:textFill>
                  <w14:solidFill>
                    <w14:schemeClr w14:val="tx1"/>
                  </w14:solidFill>
                </w14:textFill>
              </w:rPr>
              <w:t>规范》</w:t>
            </w:r>
          </w:p>
          <w:p w14:paraId="4B1685CD">
            <w:pPr>
              <w:pStyle w:val="26"/>
              <w:spacing w:before="24"/>
              <w:ind w:left="160"/>
              <w:rPr>
                <w:color w:val="000000" w:themeColor="text1"/>
                <w14:textFill>
                  <w14:solidFill>
                    <w14:schemeClr w14:val="tx1"/>
                  </w14:solidFill>
                </w14:textFill>
              </w:rPr>
            </w:pPr>
            <w:r>
              <w:rPr>
                <w:color w:val="000000" w:themeColor="text1"/>
                <w:spacing w:val="4"/>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GB</w:t>
            </w:r>
            <w:r>
              <w:rPr>
                <w:rFonts w:ascii="Times New Roman" w:hAnsi="Times New Roman" w:eastAsia="Times New Roman" w:cs="Times New Roman"/>
                <w:color w:val="000000" w:themeColor="text1"/>
                <w:spacing w:val="4"/>
                <w14:textFill>
                  <w14:solidFill>
                    <w14:schemeClr w14:val="tx1"/>
                  </w14:solidFill>
                </w14:textFill>
              </w:rPr>
              <w:t>50797-2012</w:t>
            </w:r>
            <w:r>
              <w:rPr>
                <w:color w:val="000000" w:themeColor="text1"/>
                <w:spacing w:val="4"/>
                <w14:textFill>
                  <w14:solidFill>
                    <w14:schemeClr w14:val="tx1"/>
                  </w14:solidFill>
                </w14:textFill>
              </w:rPr>
              <w:t>）</w:t>
            </w:r>
          </w:p>
          <w:p w14:paraId="4E6477F1">
            <w:pPr>
              <w:pStyle w:val="26"/>
              <w:spacing w:before="11" w:line="215" w:lineRule="auto"/>
              <w:ind w:left="581" w:leftChars="0" w:firstLine="0"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14:textFill>
                  <w14:solidFill>
                    <w14:schemeClr w14:val="tx1"/>
                  </w14:solidFill>
                </w14:textFill>
              </w:rPr>
              <w:t>14.5.4</w:t>
            </w:r>
            <w:r>
              <w:rPr>
                <w:color w:val="000000" w:themeColor="text1"/>
                <w:spacing w:val="-31"/>
                <w14:textFill>
                  <w14:solidFill>
                    <w14:schemeClr w14:val="tx1"/>
                  </w14:solidFill>
                </w14:textFill>
              </w:rPr>
              <w:t xml:space="preserve"> </w:t>
            </w:r>
            <w:r>
              <w:rPr>
                <w:color w:val="000000" w:themeColor="text1"/>
                <w14:textFill>
                  <w14:solidFill>
                    <w14:schemeClr w14:val="tx1"/>
                  </w14:solidFill>
                </w14:textFill>
              </w:rPr>
              <w:t>条</w:t>
            </w:r>
          </w:p>
        </w:tc>
        <w:tc>
          <w:tcPr>
            <w:tcW w:w="994" w:type="pct"/>
            <w:shd w:val="clear" w:color="auto" w:fill="auto"/>
            <w:noWrap w:val="0"/>
            <w:vAlign w:val="top"/>
          </w:tcPr>
          <w:p w14:paraId="225520BF">
            <w:pPr>
              <w:pStyle w:val="26"/>
              <w:spacing w:before="306" w:line="241" w:lineRule="auto"/>
              <w:ind w:left="114" w:leftChars="0" w:right="105" w:rightChars="0" w:firstLine="2"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13"/>
                <w14:textFill>
                  <w14:solidFill>
                    <w14:schemeClr w14:val="tx1"/>
                  </w14:solidFill>
                </w14:textFill>
              </w:rPr>
              <w:t>项</w:t>
            </w:r>
            <w:r>
              <w:rPr>
                <w:color w:val="000000" w:themeColor="text1"/>
                <w:spacing w:val="-29"/>
                <w14:textFill>
                  <w14:solidFill>
                    <w14:schemeClr w14:val="tx1"/>
                  </w14:solidFill>
                </w14:textFill>
              </w:rPr>
              <w:t xml:space="preserve"> </w:t>
            </w:r>
            <w:r>
              <w:rPr>
                <w:color w:val="000000" w:themeColor="text1"/>
                <w:spacing w:val="13"/>
                <w14:textFill>
                  <w14:solidFill>
                    <w14:schemeClr w14:val="tx1"/>
                  </w14:solidFill>
                </w14:textFill>
              </w:rPr>
              <w:t>目建设现场符</w:t>
            </w:r>
            <w:r>
              <w:rPr>
                <w:color w:val="000000" w:themeColor="text1"/>
                <w14:textFill>
                  <w14:solidFill>
                    <w14:schemeClr w14:val="tx1"/>
                  </w14:solidFill>
                </w14:textFill>
              </w:rPr>
              <w:t xml:space="preserve"> </w:t>
            </w:r>
            <w:r>
              <w:rPr>
                <w:color w:val="000000" w:themeColor="text1"/>
                <w:spacing w:val="6"/>
                <w14:textFill>
                  <w14:solidFill>
                    <w14:schemeClr w14:val="tx1"/>
                  </w14:solidFill>
                </w14:textFill>
              </w:rPr>
              <w:t>合设计要求。</w:t>
            </w:r>
          </w:p>
        </w:tc>
        <w:tc>
          <w:tcPr>
            <w:tcW w:w="414" w:type="pct"/>
            <w:shd w:val="clear" w:color="auto" w:fill="auto"/>
            <w:noWrap w:val="0"/>
            <w:vAlign w:val="top"/>
          </w:tcPr>
          <w:p w14:paraId="4009257A">
            <w:pPr>
              <w:spacing w:line="375" w:lineRule="auto"/>
              <w:rPr>
                <w:rFonts w:ascii="Arial"/>
                <w:color w:val="000000" w:themeColor="text1"/>
                <w:sz w:val="21"/>
                <w14:textFill>
                  <w14:solidFill>
                    <w14:schemeClr w14:val="tx1"/>
                  </w14:solidFill>
                </w14:textFill>
              </w:rPr>
            </w:pPr>
          </w:p>
          <w:p w14:paraId="0863CFED">
            <w:pPr>
              <w:pStyle w:val="26"/>
              <w:spacing w:before="65" w:line="228" w:lineRule="auto"/>
              <w:ind w:left="141" w:leftChars="0" w:firstLine="0"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3"/>
                <w14:textFill>
                  <w14:solidFill>
                    <w14:schemeClr w14:val="tx1"/>
                  </w14:solidFill>
                </w14:textFill>
              </w:rPr>
              <w:t>符合</w:t>
            </w:r>
          </w:p>
        </w:tc>
      </w:tr>
      <w:tr w14:paraId="2564F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33" w:type="pct"/>
            <w:noWrap w:val="0"/>
            <w:vAlign w:val="center"/>
          </w:tcPr>
          <w:p w14:paraId="0EBED801">
            <w:pPr>
              <w:pStyle w:val="30"/>
              <w:keepNext w:val="0"/>
              <w:keepLines w:val="0"/>
              <w:pageBreakBefore w:val="0"/>
              <w:widowControl w:val="0"/>
              <w:numPr>
                <w:ilvl w:val="0"/>
                <w:numId w:val="39"/>
              </w:numPr>
              <w:kinsoku/>
              <w:bidi w:val="0"/>
              <w:ind w:left="425" w:leftChars="0" w:hanging="425" w:firstLineChars="0"/>
              <w:rPr>
                <w:color w:val="000000" w:themeColor="text1"/>
                <w:sz w:val="21"/>
                <w:szCs w:val="21"/>
                <w14:textFill>
                  <w14:solidFill>
                    <w14:schemeClr w14:val="tx1"/>
                  </w14:solidFill>
                </w14:textFill>
              </w:rPr>
            </w:pPr>
          </w:p>
        </w:tc>
        <w:tc>
          <w:tcPr>
            <w:tcW w:w="2099" w:type="pct"/>
            <w:shd w:val="clear" w:color="auto" w:fill="auto"/>
            <w:noWrap w:val="0"/>
            <w:vAlign w:val="top"/>
          </w:tcPr>
          <w:p w14:paraId="0915524D">
            <w:pPr>
              <w:pStyle w:val="26"/>
              <w:spacing w:before="65"/>
              <w:ind w:left="112" w:leftChars="0" w:right="106" w:rightChars="0" w:firstLine="1"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7"/>
                <w14:textFill>
                  <w14:solidFill>
                    <w14:schemeClr w14:val="tx1"/>
                  </w14:solidFill>
                </w14:textFill>
              </w:rPr>
              <w:t>灭火器的设置应符合现行国家标准《建筑灭</w:t>
            </w:r>
            <w:r>
              <w:rPr>
                <w:color w:val="000000" w:themeColor="text1"/>
                <w:spacing w:val="14"/>
                <w14:textFill>
                  <w14:solidFill>
                    <w14:schemeClr w14:val="tx1"/>
                  </w14:solidFill>
                </w14:textFill>
              </w:rPr>
              <w:t xml:space="preserve"> </w:t>
            </w:r>
            <w:r>
              <w:rPr>
                <w:color w:val="000000" w:themeColor="text1"/>
                <w:spacing w:val="6"/>
                <w14:textFill>
                  <w14:solidFill>
                    <w14:schemeClr w14:val="tx1"/>
                  </w14:solidFill>
                </w14:textFill>
              </w:rPr>
              <w:t>火器配置设计规范》</w:t>
            </w:r>
            <w:r>
              <w:rPr>
                <w:rFonts w:ascii="Times New Roman" w:hAnsi="Times New Roman" w:eastAsia="Times New Roman" w:cs="Times New Roman"/>
                <w:color w:val="000000" w:themeColor="text1"/>
                <w14:textFill>
                  <w14:solidFill>
                    <w14:schemeClr w14:val="tx1"/>
                  </w14:solidFill>
                </w14:textFill>
              </w:rPr>
              <w:t>GB</w:t>
            </w:r>
            <w:r>
              <w:rPr>
                <w:rFonts w:ascii="Times New Roman" w:hAnsi="Times New Roman" w:eastAsia="Times New Roman" w:cs="Times New Roman"/>
                <w:color w:val="000000" w:themeColor="text1"/>
                <w:spacing w:val="6"/>
                <w14:textFill>
                  <w14:solidFill>
                    <w14:schemeClr w14:val="tx1"/>
                  </w14:solidFill>
                </w14:textFill>
              </w:rPr>
              <w:t xml:space="preserve"> 50140</w:t>
            </w:r>
            <w:r>
              <w:rPr>
                <w:rFonts w:ascii="Times New Roman" w:hAnsi="Times New Roman" w:eastAsia="Times New Roman" w:cs="Times New Roman"/>
                <w:color w:val="000000" w:themeColor="text1"/>
                <w:spacing w:val="20"/>
                <w:w w:val="101"/>
                <w14:textFill>
                  <w14:solidFill>
                    <w14:schemeClr w14:val="tx1"/>
                  </w14:solidFill>
                </w14:textFill>
              </w:rPr>
              <w:t xml:space="preserve">  </w:t>
            </w:r>
            <w:r>
              <w:rPr>
                <w:color w:val="000000" w:themeColor="text1"/>
                <w:spacing w:val="6"/>
                <w14:textFill>
                  <w14:solidFill>
                    <w14:schemeClr w14:val="tx1"/>
                  </w14:solidFill>
                </w14:textFill>
              </w:rPr>
              <w:t>的规定。</w:t>
            </w:r>
          </w:p>
        </w:tc>
        <w:tc>
          <w:tcPr>
            <w:tcW w:w="1258" w:type="pct"/>
            <w:shd w:val="clear" w:color="auto" w:fill="auto"/>
            <w:noWrap w:val="0"/>
            <w:vAlign w:val="top"/>
          </w:tcPr>
          <w:p w14:paraId="7D2E6C50">
            <w:pPr>
              <w:pStyle w:val="26"/>
              <w:spacing w:before="35" w:line="227" w:lineRule="auto"/>
              <w:ind w:left="177"/>
              <w:rPr>
                <w:color w:val="000000" w:themeColor="text1"/>
                <w14:textFill>
                  <w14:solidFill>
                    <w14:schemeClr w14:val="tx1"/>
                  </w14:solidFill>
                </w14:textFill>
              </w:rPr>
            </w:pPr>
            <w:r>
              <w:rPr>
                <w:color w:val="000000" w:themeColor="text1"/>
                <w:spacing w:val="8"/>
                <w14:textFill>
                  <w14:solidFill>
                    <w14:schemeClr w14:val="tx1"/>
                  </w14:solidFill>
                </w14:textFill>
              </w:rPr>
              <w:t>《光伏发电站设计</w:t>
            </w:r>
          </w:p>
          <w:p w14:paraId="47042A3E">
            <w:pPr>
              <w:pStyle w:val="26"/>
              <w:spacing w:before="25" w:line="230" w:lineRule="auto"/>
              <w:ind w:left="698"/>
              <w:rPr>
                <w:color w:val="000000" w:themeColor="text1"/>
                <w14:textFill>
                  <w14:solidFill>
                    <w14:schemeClr w14:val="tx1"/>
                  </w14:solidFill>
                </w14:textFill>
              </w:rPr>
            </w:pPr>
            <w:r>
              <w:rPr>
                <w:color w:val="000000" w:themeColor="text1"/>
                <w:spacing w:val="2"/>
                <w14:textFill>
                  <w14:solidFill>
                    <w14:schemeClr w14:val="tx1"/>
                  </w14:solidFill>
                </w14:textFill>
              </w:rPr>
              <w:t>规范》</w:t>
            </w:r>
          </w:p>
          <w:p w14:paraId="4843C2BA">
            <w:pPr>
              <w:pStyle w:val="26"/>
              <w:spacing w:before="24"/>
              <w:ind w:left="160"/>
              <w:rPr>
                <w:color w:val="000000" w:themeColor="text1"/>
                <w14:textFill>
                  <w14:solidFill>
                    <w14:schemeClr w14:val="tx1"/>
                  </w14:solidFill>
                </w14:textFill>
              </w:rPr>
            </w:pPr>
            <w:r>
              <w:rPr>
                <w:color w:val="000000" w:themeColor="text1"/>
                <w:spacing w:val="4"/>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GB</w:t>
            </w:r>
            <w:r>
              <w:rPr>
                <w:rFonts w:ascii="Times New Roman" w:hAnsi="Times New Roman" w:eastAsia="Times New Roman" w:cs="Times New Roman"/>
                <w:color w:val="000000" w:themeColor="text1"/>
                <w:spacing w:val="4"/>
                <w14:textFill>
                  <w14:solidFill>
                    <w14:schemeClr w14:val="tx1"/>
                  </w14:solidFill>
                </w14:textFill>
              </w:rPr>
              <w:t>50797-2012</w:t>
            </w:r>
            <w:r>
              <w:rPr>
                <w:color w:val="000000" w:themeColor="text1"/>
                <w:spacing w:val="4"/>
                <w14:textFill>
                  <w14:solidFill>
                    <w14:schemeClr w14:val="tx1"/>
                  </w14:solidFill>
                </w14:textFill>
              </w:rPr>
              <w:t>）</w:t>
            </w:r>
          </w:p>
          <w:p w14:paraId="364767EA">
            <w:pPr>
              <w:pStyle w:val="26"/>
              <w:spacing w:before="11" w:line="218" w:lineRule="auto"/>
              <w:ind w:left="582" w:leftChars="0" w:firstLine="0"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rFonts w:ascii="Times New Roman" w:hAnsi="Times New Roman" w:eastAsia="Times New Roman" w:cs="Times New Roman"/>
                <w:color w:val="000000" w:themeColor="text1"/>
                <w14:textFill>
                  <w14:solidFill>
                    <w14:schemeClr w14:val="tx1"/>
                  </w14:solidFill>
                </w14:textFill>
              </w:rPr>
              <w:t>14.5.13</w:t>
            </w:r>
            <w:r>
              <w:rPr>
                <w:rFonts w:ascii="Times New Roman" w:hAnsi="Times New Roman" w:eastAsia="Times New Roman" w:cs="Times New Roman"/>
                <w:color w:val="000000" w:themeColor="text1"/>
                <w:spacing w:val="18"/>
                <w14:textFill>
                  <w14:solidFill>
                    <w14:schemeClr w14:val="tx1"/>
                  </w14:solidFill>
                </w14:textFill>
              </w:rPr>
              <w:t xml:space="preserve"> </w:t>
            </w:r>
            <w:r>
              <w:rPr>
                <w:color w:val="000000" w:themeColor="text1"/>
                <w14:textFill>
                  <w14:solidFill>
                    <w14:schemeClr w14:val="tx1"/>
                  </w14:solidFill>
                </w14:textFill>
              </w:rPr>
              <w:t>条</w:t>
            </w:r>
          </w:p>
        </w:tc>
        <w:tc>
          <w:tcPr>
            <w:tcW w:w="994" w:type="pct"/>
            <w:shd w:val="clear" w:color="auto" w:fill="auto"/>
            <w:noWrap w:val="0"/>
            <w:vAlign w:val="top"/>
          </w:tcPr>
          <w:p w14:paraId="0634F337">
            <w:pPr>
              <w:pStyle w:val="26"/>
              <w:spacing w:before="306" w:line="241" w:lineRule="auto"/>
              <w:ind w:left="114" w:leftChars="0" w:right="105" w:rightChars="0" w:firstLine="2"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13"/>
                <w14:textFill>
                  <w14:solidFill>
                    <w14:schemeClr w14:val="tx1"/>
                  </w14:solidFill>
                </w14:textFill>
              </w:rPr>
              <w:t>项</w:t>
            </w:r>
            <w:r>
              <w:rPr>
                <w:color w:val="000000" w:themeColor="text1"/>
                <w:spacing w:val="-29"/>
                <w14:textFill>
                  <w14:solidFill>
                    <w14:schemeClr w14:val="tx1"/>
                  </w14:solidFill>
                </w14:textFill>
              </w:rPr>
              <w:t xml:space="preserve"> </w:t>
            </w:r>
            <w:r>
              <w:rPr>
                <w:color w:val="000000" w:themeColor="text1"/>
                <w:spacing w:val="13"/>
                <w14:textFill>
                  <w14:solidFill>
                    <w14:schemeClr w14:val="tx1"/>
                  </w14:solidFill>
                </w14:textFill>
              </w:rPr>
              <w:t>目建设现场符</w:t>
            </w:r>
            <w:r>
              <w:rPr>
                <w:color w:val="000000" w:themeColor="text1"/>
                <w14:textFill>
                  <w14:solidFill>
                    <w14:schemeClr w14:val="tx1"/>
                  </w14:solidFill>
                </w14:textFill>
              </w:rPr>
              <w:t xml:space="preserve"> </w:t>
            </w:r>
            <w:r>
              <w:rPr>
                <w:color w:val="000000" w:themeColor="text1"/>
                <w:spacing w:val="6"/>
                <w14:textFill>
                  <w14:solidFill>
                    <w14:schemeClr w14:val="tx1"/>
                  </w14:solidFill>
                </w14:textFill>
              </w:rPr>
              <w:t>合设计要求。</w:t>
            </w:r>
          </w:p>
        </w:tc>
        <w:tc>
          <w:tcPr>
            <w:tcW w:w="414" w:type="pct"/>
            <w:shd w:val="clear" w:color="auto" w:fill="auto"/>
            <w:noWrap w:val="0"/>
            <w:vAlign w:val="top"/>
          </w:tcPr>
          <w:p w14:paraId="4A764BF1">
            <w:pPr>
              <w:spacing w:line="375" w:lineRule="auto"/>
              <w:rPr>
                <w:rFonts w:ascii="Arial"/>
                <w:color w:val="000000" w:themeColor="text1"/>
                <w:sz w:val="21"/>
                <w14:textFill>
                  <w14:solidFill>
                    <w14:schemeClr w14:val="tx1"/>
                  </w14:solidFill>
                </w14:textFill>
              </w:rPr>
            </w:pPr>
          </w:p>
          <w:p w14:paraId="06EA7E94">
            <w:pPr>
              <w:pStyle w:val="26"/>
              <w:spacing w:before="65" w:line="228" w:lineRule="auto"/>
              <w:ind w:left="141" w:leftChars="0" w:firstLine="0"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3"/>
                <w14:textFill>
                  <w14:solidFill>
                    <w14:schemeClr w14:val="tx1"/>
                  </w14:solidFill>
                </w14:textFill>
              </w:rPr>
              <w:t>符合</w:t>
            </w:r>
          </w:p>
        </w:tc>
      </w:tr>
      <w:tr w14:paraId="5DF49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3" w:type="pct"/>
            <w:noWrap w:val="0"/>
            <w:vAlign w:val="center"/>
          </w:tcPr>
          <w:p w14:paraId="7FB56D66">
            <w:pPr>
              <w:pStyle w:val="30"/>
              <w:keepNext w:val="0"/>
              <w:keepLines w:val="0"/>
              <w:pageBreakBefore w:val="0"/>
              <w:widowControl w:val="0"/>
              <w:numPr>
                <w:ilvl w:val="0"/>
                <w:numId w:val="39"/>
              </w:numPr>
              <w:kinsoku/>
              <w:bidi w:val="0"/>
              <w:ind w:left="425" w:leftChars="0" w:hanging="425" w:firstLineChars="0"/>
              <w:rPr>
                <w:color w:val="000000" w:themeColor="text1"/>
                <w:sz w:val="21"/>
                <w:szCs w:val="21"/>
                <w14:textFill>
                  <w14:solidFill>
                    <w14:schemeClr w14:val="tx1"/>
                  </w14:solidFill>
                </w14:textFill>
              </w:rPr>
            </w:pPr>
          </w:p>
        </w:tc>
        <w:tc>
          <w:tcPr>
            <w:tcW w:w="2099" w:type="pct"/>
            <w:noWrap w:val="0"/>
            <w:vAlign w:val="center"/>
          </w:tcPr>
          <w:p w14:paraId="2F0D3AB2">
            <w:pPr>
              <w:pStyle w:val="33"/>
              <w:keepNext w:val="0"/>
              <w:keepLines w:val="0"/>
              <w:pageBreakBefore w:val="0"/>
              <w:widowControl w:val="0"/>
              <w:kinsoku/>
              <w:bidi w:val="0"/>
              <w:ind w:left="0" w:leftChars="0"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本项目不设升压站，主要为场区消防。光伏电池组件的防雷接地，可将光伏电池组件边框与支架可靠连接，然后与接地网连接，雷电流可以通 过光伏电池组件边框直接散流入地。光伏阵列内35kV 箱变位置设干粉灭火 器，每台箱变设备配置2具，共计30具，用于扑灭可能的电气火灾。</w:t>
            </w:r>
          </w:p>
        </w:tc>
        <w:tc>
          <w:tcPr>
            <w:tcW w:w="1258" w:type="pct"/>
            <w:noWrap w:val="0"/>
            <w:vAlign w:val="center"/>
          </w:tcPr>
          <w:p w14:paraId="63CDC4C0">
            <w:pPr>
              <w:pStyle w:val="33"/>
              <w:keepNext w:val="0"/>
              <w:keepLines w:val="0"/>
              <w:pageBreakBefore w:val="0"/>
              <w:widowControl w:val="0"/>
              <w:kinsoku/>
              <w:bidi w:val="0"/>
              <w:ind w:left="0" w:leftChars="0" w:firstLine="0" w:firstLineChars="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安全设施设计</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2.2.5</w:t>
            </w:r>
          </w:p>
        </w:tc>
        <w:tc>
          <w:tcPr>
            <w:tcW w:w="994" w:type="pct"/>
            <w:noWrap w:val="0"/>
            <w:vAlign w:val="center"/>
          </w:tcPr>
          <w:p w14:paraId="7E1054C3">
            <w:pPr>
              <w:pStyle w:val="33"/>
              <w:keepNext w:val="0"/>
              <w:keepLines w:val="0"/>
              <w:pageBreakBefore w:val="0"/>
              <w:widowControl w:val="0"/>
              <w:kinsoku/>
              <w:bidi w:val="0"/>
              <w:ind w:left="0" w:leftChars="0" w:firstLine="0" w:firstLineChars="0"/>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本项目不设升压站，光伏阵列内35kV 箱变位置设干粉灭火 器，每台箱变设备配置2具</w:t>
            </w:r>
            <w:r>
              <w:rPr>
                <w:rFonts w:hint="eastAsia" w:ascii="宋体" w:hAnsi="宋体" w:eastAsia="宋体" w:cs="宋体"/>
                <w:color w:val="000000" w:themeColor="text1"/>
                <w:sz w:val="21"/>
                <w:szCs w:val="21"/>
                <w:lang w:eastAsia="zh-CN"/>
                <w14:textFill>
                  <w14:solidFill>
                    <w14:schemeClr w14:val="tx1"/>
                  </w14:solidFill>
                </w14:textFill>
              </w:rPr>
              <w:t>。</w:t>
            </w:r>
          </w:p>
        </w:tc>
        <w:tc>
          <w:tcPr>
            <w:tcW w:w="414" w:type="pct"/>
            <w:noWrap w:val="0"/>
            <w:vAlign w:val="center"/>
          </w:tcPr>
          <w:p w14:paraId="5E814D4D">
            <w:pPr>
              <w:pStyle w:val="33"/>
              <w:keepNext w:val="0"/>
              <w:keepLines w:val="0"/>
              <w:pageBreakBefore w:val="0"/>
              <w:widowControl w:val="0"/>
              <w:kinsoku/>
              <w:bidi w:val="0"/>
              <w:ind w:left="0" w:leftChars="0" w:right="0" w:rightChars="0"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符合</w:t>
            </w:r>
          </w:p>
        </w:tc>
      </w:tr>
    </w:tbl>
    <w:p w14:paraId="760DE5AD">
      <w:pPr>
        <w:keepNext w:val="0"/>
        <w:keepLines w:val="0"/>
        <w:pageBreakBefore w:val="0"/>
        <w:widowControl w:val="0"/>
        <w:kinsoku/>
        <w:wordWrap/>
        <w:overflowPunct/>
        <w:topLinePunct w:val="0"/>
        <w:autoSpaceDE/>
        <w:autoSpaceDN/>
        <w:bidi w:val="0"/>
        <w:adjustRightInd/>
        <w:snapToGrid/>
        <w:spacing w:line="420" w:lineRule="exact"/>
        <w:ind w:left="0" w:leftChars="0" w:firstLine="568"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pacing w:val="2"/>
          <w:sz w:val="28"/>
          <w:szCs w:val="28"/>
          <w14:textFill>
            <w14:solidFill>
              <w14:schemeClr w14:val="tx1"/>
            </w14:solidFill>
          </w14:textFill>
        </w:rPr>
        <w:t>评价分析：针对</w:t>
      </w:r>
      <w:r>
        <w:rPr>
          <w:rFonts w:hint="eastAsia" w:ascii="宋体" w:hAnsi="宋体" w:eastAsia="宋体" w:cs="宋体"/>
          <w:color w:val="000000" w:themeColor="text1"/>
          <w:spacing w:val="2"/>
          <w:sz w:val="28"/>
          <w:szCs w:val="28"/>
          <w:lang w:val="en-US" w:eastAsia="zh-CN"/>
          <w14:textFill>
            <w14:solidFill>
              <w14:schemeClr w14:val="tx1"/>
            </w14:solidFill>
          </w14:textFill>
        </w:rPr>
        <w:t>消防</w:t>
      </w:r>
      <w:r>
        <w:rPr>
          <w:rFonts w:hint="eastAsia" w:ascii="宋体" w:hAnsi="宋体" w:eastAsia="宋体" w:cs="宋体"/>
          <w:color w:val="000000" w:themeColor="text1"/>
          <w:spacing w:val="2"/>
          <w:sz w:val="28"/>
          <w:szCs w:val="28"/>
          <w14:textFill>
            <w14:solidFill>
              <w14:schemeClr w14:val="tx1"/>
            </w14:solidFill>
          </w14:textFill>
        </w:rPr>
        <w:t>系统安全检查表内的</w:t>
      </w:r>
      <w:r>
        <w:rPr>
          <w:rFonts w:hint="eastAsia" w:ascii="宋体" w:hAnsi="宋体" w:cs="宋体"/>
          <w:color w:val="000000" w:themeColor="text1"/>
          <w:spacing w:val="2"/>
          <w:sz w:val="28"/>
          <w:szCs w:val="28"/>
          <w:lang w:val="en-US" w:eastAsia="zh-CN"/>
          <w14:textFill>
            <w14:solidFill>
              <w14:schemeClr w14:val="tx1"/>
            </w14:solidFill>
          </w14:textFill>
        </w:rPr>
        <w:t>11</w:t>
      </w:r>
      <w:r>
        <w:rPr>
          <w:rFonts w:hint="eastAsia" w:ascii="宋体" w:hAnsi="宋体" w:eastAsia="宋体" w:cs="宋体"/>
          <w:color w:val="000000" w:themeColor="text1"/>
          <w:spacing w:val="2"/>
          <w:sz w:val="28"/>
          <w:szCs w:val="28"/>
          <w14:textFill>
            <w14:solidFill>
              <w14:schemeClr w14:val="tx1"/>
            </w14:solidFill>
          </w14:textFill>
        </w:rPr>
        <w:t>项内容，其中</w:t>
      </w:r>
      <w:r>
        <w:rPr>
          <w:rFonts w:hint="eastAsia" w:ascii="宋体" w:hAnsi="宋体" w:cs="宋体"/>
          <w:color w:val="000000" w:themeColor="text1"/>
          <w:spacing w:val="2"/>
          <w:sz w:val="28"/>
          <w:szCs w:val="28"/>
          <w:lang w:val="en-US" w:eastAsia="zh-CN"/>
          <w14:textFill>
            <w14:solidFill>
              <w14:schemeClr w14:val="tx1"/>
            </w14:solidFill>
          </w14:textFill>
        </w:rPr>
        <w:t>11</w:t>
      </w:r>
      <w:r>
        <w:rPr>
          <w:rFonts w:hint="eastAsia" w:ascii="宋体" w:hAnsi="宋体" w:eastAsia="宋体" w:cs="宋体"/>
          <w:color w:val="000000" w:themeColor="text1"/>
          <w:spacing w:val="2"/>
          <w:sz w:val="28"/>
          <w:szCs w:val="28"/>
          <w14:textFill>
            <w14:solidFill>
              <w14:schemeClr w14:val="tx1"/>
            </w14:solidFill>
          </w14:textFill>
        </w:rPr>
        <w:t>项合格，0</w:t>
      </w:r>
      <w:r>
        <w:rPr>
          <w:rFonts w:hint="eastAsia" w:ascii="宋体" w:hAnsi="宋体" w:eastAsia="宋体" w:cs="宋体"/>
          <w:color w:val="000000" w:themeColor="text1"/>
          <w:spacing w:val="2"/>
          <w:sz w:val="28"/>
          <w:szCs w:val="28"/>
          <w:lang w:val="en-US" w:eastAsia="zh-CN"/>
          <w14:textFill>
            <w14:solidFill>
              <w14:schemeClr w14:val="tx1"/>
            </w14:solidFill>
          </w14:textFill>
        </w:rPr>
        <w:t>不合格。</w:t>
      </w:r>
    </w:p>
    <w:p w14:paraId="1CB7BDD6">
      <w:pPr>
        <w:keepNext w:val="0"/>
        <w:keepLines w:val="0"/>
        <w:pageBreakBefore w:val="0"/>
        <w:widowControl w:val="0"/>
        <w:numPr>
          <w:ilvl w:val="3"/>
          <w:numId w:val="0"/>
        </w:numPr>
        <w:tabs>
          <w:tab w:val="left" w:pos="0"/>
        </w:tabs>
        <w:kinsoku/>
        <w:wordWrap/>
        <w:overflowPunct/>
        <w:topLinePunct w:val="0"/>
        <w:autoSpaceDE/>
        <w:autoSpaceDN/>
        <w:bidi w:val="0"/>
        <w:spacing w:line="420" w:lineRule="exact"/>
        <w:ind w:leftChars="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5.6.1.2</w:t>
      </w:r>
      <w:r>
        <w:rPr>
          <w:rFonts w:hint="eastAsia" w:ascii="宋体" w:hAnsi="宋体" w:eastAsia="宋体" w:cs="宋体"/>
          <w:b/>
          <w:bCs/>
          <w:color w:val="000000" w:themeColor="text1"/>
          <w:sz w:val="28"/>
          <w:szCs w:val="28"/>
          <w14:textFill>
            <w14:solidFill>
              <w14:schemeClr w14:val="tx1"/>
            </w14:solidFill>
          </w14:textFill>
        </w:rPr>
        <w:t>消防子单元小结</w:t>
      </w:r>
    </w:p>
    <w:p w14:paraId="10E2EF0A">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项目箱变及逆变器等设备均配置了相应的灭火器，光伏电站消防工程项目通过了竣工验收，满足设计及相关规范要求。</w:t>
      </w:r>
    </w:p>
    <w:p w14:paraId="32C2C27E">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消防系统子单元符合《中华人民共和国消防法》《建筑设计防火规范（2018年版）》（GB50016-2014）、《建筑灭火器配置设计规范》（GB50140-2005）、《光伏发电站设计规范》（GB50797-2012）等法律法规及标准规范的要求。</w:t>
      </w:r>
    </w:p>
    <w:p w14:paraId="6B9B82AD">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457" w:name="_Toc23591"/>
      <w:bookmarkStart w:id="458" w:name="_Toc2286"/>
      <w:bookmarkStart w:id="459" w:name="_Toc1303"/>
      <w:r>
        <w:rPr>
          <w:rFonts w:hint="eastAsia" w:ascii="宋体" w:hAnsi="宋体" w:eastAsia="宋体" w:cs="宋体"/>
          <w:b/>
          <w:bCs w:val="0"/>
          <w:color w:val="000000" w:themeColor="text1"/>
          <w:sz w:val="30"/>
          <w:szCs w:val="30"/>
          <w:lang w:val="en-US" w:eastAsia="zh-CN"/>
          <w14:textFill>
            <w14:solidFill>
              <w14:schemeClr w14:val="tx1"/>
            </w14:solidFill>
          </w14:textFill>
        </w:rPr>
        <w:t>5.6.2</w:t>
      </w:r>
      <w:r>
        <w:rPr>
          <w:rFonts w:hint="eastAsia" w:ascii="宋体" w:hAnsi="宋体" w:eastAsia="宋体" w:cs="宋体"/>
          <w:b/>
          <w:bCs w:val="0"/>
          <w:color w:val="000000" w:themeColor="text1"/>
          <w:sz w:val="30"/>
          <w:szCs w:val="30"/>
          <w14:textFill>
            <w14:solidFill>
              <w14:schemeClr w14:val="tx1"/>
            </w14:solidFill>
          </w14:textFill>
        </w:rPr>
        <w:t>给排水系统子单元</w:t>
      </w:r>
      <w:bookmarkEnd w:id="457"/>
      <w:bookmarkEnd w:id="458"/>
      <w:bookmarkEnd w:id="459"/>
    </w:p>
    <w:p w14:paraId="19C02413">
      <w:pPr>
        <w:pageBreakBefore w:val="0"/>
        <w:widowControl w:val="0"/>
        <w:numPr>
          <w:ilvl w:val="3"/>
          <w:numId w:val="0"/>
        </w:numPr>
        <w:tabs>
          <w:tab w:val="left" w:pos="420"/>
        </w:tabs>
        <w:kinsoku/>
        <w:wordWrap/>
        <w:overflowPunct/>
        <w:topLinePunct w:val="0"/>
        <w:autoSpaceDE/>
        <w:autoSpaceDN/>
        <w:bidi w:val="0"/>
        <w:spacing w:line="420" w:lineRule="exact"/>
        <w:ind w:leftChars="0"/>
        <w:textAlignment w:val="auto"/>
        <w:outlineLvl w:val="9"/>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5.6.2.1</w:t>
      </w:r>
      <w:r>
        <w:rPr>
          <w:rFonts w:hint="eastAsia" w:ascii="宋体" w:hAnsi="宋体" w:eastAsia="宋体" w:cs="宋体"/>
          <w:b/>
          <w:bCs/>
          <w:color w:val="000000" w:themeColor="text1"/>
          <w:sz w:val="28"/>
          <w:szCs w:val="28"/>
          <w14:textFill>
            <w14:solidFill>
              <w14:schemeClr w14:val="tx1"/>
            </w14:solidFill>
          </w14:textFill>
        </w:rPr>
        <w:t>给排水系统子单元安全检查表</w:t>
      </w:r>
    </w:p>
    <w:p w14:paraId="19A20313">
      <w:pPr>
        <w:pStyle w:val="8"/>
        <w:keepNext w:val="0"/>
        <w:keepLines w:val="0"/>
        <w:pageBreakBefore w:val="0"/>
        <w:widowControl w:val="0"/>
        <w:numPr>
          <w:ilvl w:val="0"/>
          <w:numId w:val="0"/>
        </w:numPr>
        <w:kinsoku/>
        <w:wordWrap/>
        <w:overflowPunct/>
        <w:topLinePunct w:val="0"/>
        <w:autoSpaceDE/>
        <w:autoSpaceDN/>
        <w:bidi w:val="0"/>
        <w:spacing w:line="420" w:lineRule="exact"/>
        <w:ind w:left="0" w:leftChars="0" w:firstLine="482" w:firstLineChars="200"/>
        <w:jc w:val="center"/>
        <w:textAlignment w:val="auto"/>
        <w:rPr>
          <w:rFonts w:ascii="宋体" w:hAnsi="宋体"/>
          <w:color w:val="000000" w:themeColor="text1"/>
          <w:sz w:val="24"/>
          <w:szCs w:val="24"/>
          <w14:textFill>
            <w14:solidFill>
              <w14:schemeClr w14:val="tx1"/>
            </w14:solidFill>
          </w14:textFill>
        </w:rPr>
      </w:pPr>
      <w:r>
        <w:rPr>
          <w:color w:val="000000" w:themeColor="text1"/>
          <w14:textFill>
            <w14:solidFill>
              <w14:schemeClr w14:val="tx1"/>
            </w14:solidFill>
          </w14:textFill>
        </w:rPr>
        <w:t xml:space="preserve">表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6.1</w:t>
      </w:r>
      <w:r>
        <w:rPr>
          <w:rFonts w:ascii="宋体" w:hAnsi="宋体"/>
          <w:color w:val="000000" w:themeColor="text1"/>
          <w:sz w:val="24"/>
          <w:szCs w:val="24"/>
          <w14:textFill>
            <w14:solidFill>
              <w14:schemeClr w14:val="tx1"/>
            </w14:solidFill>
          </w14:textFill>
        </w:rPr>
        <w:t>给排水系统子单元安全检查表</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3765"/>
        <w:gridCol w:w="2126"/>
        <w:gridCol w:w="1930"/>
        <w:gridCol w:w="714"/>
      </w:tblGrid>
      <w:tr w14:paraId="6096A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blHeader/>
          <w:jc w:val="center"/>
        </w:trPr>
        <w:tc>
          <w:tcPr>
            <w:tcW w:w="537" w:type="dxa"/>
            <w:noWrap w:val="0"/>
            <w:vAlign w:val="center"/>
          </w:tcPr>
          <w:p w14:paraId="3451BC94">
            <w:pPr>
              <w:pStyle w:val="33"/>
              <w:keepNext w:val="0"/>
              <w:keepLines w:val="0"/>
              <w:pageBreakBefore w:val="0"/>
              <w:widowControl w:val="0"/>
              <w:kinsoku/>
              <w:bidi w:val="0"/>
              <w:ind w:left="0" w:leftChars="0" w:right="0" w:rightChars="0" w:firstLine="0" w:firstLineChars="0"/>
              <w:jc w:val="center"/>
              <w:rPr>
                <w:b/>
                <w:bCs/>
                <w:color w:val="000000" w:themeColor="text1"/>
                <w14:textFill>
                  <w14:solidFill>
                    <w14:schemeClr w14:val="tx1"/>
                  </w14:solidFill>
                </w14:textFill>
              </w:rPr>
            </w:pPr>
            <w:r>
              <w:rPr>
                <w:b/>
                <w:bCs/>
                <w:color w:val="000000" w:themeColor="text1"/>
                <w14:textFill>
                  <w14:solidFill>
                    <w14:schemeClr w14:val="tx1"/>
                  </w14:solidFill>
                </w14:textFill>
              </w:rPr>
              <w:t>序号</w:t>
            </w:r>
          </w:p>
        </w:tc>
        <w:tc>
          <w:tcPr>
            <w:tcW w:w="3765" w:type="dxa"/>
            <w:noWrap w:val="0"/>
            <w:vAlign w:val="center"/>
          </w:tcPr>
          <w:p w14:paraId="4C643E5F">
            <w:pPr>
              <w:pStyle w:val="33"/>
              <w:keepNext w:val="0"/>
              <w:keepLines w:val="0"/>
              <w:pageBreakBefore w:val="0"/>
              <w:widowControl w:val="0"/>
              <w:kinsoku/>
              <w:bidi w:val="0"/>
              <w:ind w:left="0" w:leftChars="0" w:right="0" w:rightChars="0" w:firstLine="0" w:firstLineChars="0"/>
              <w:jc w:val="center"/>
              <w:rPr>
                <w:b/>
                <w:bCs/>
                <w:color w:val="000000" w:themeColor="text1"/>
                <w14:textFill>
                  <w14:solidFill>
                    <w14:schemeClr w14:val="tx1"/>
                  </w14:solidFill>
                </w14:textFill>
              </w:rPr>
            </w:pPr>
            <w:r>
              <w:rPr>
                <w:b/>
                <w:bCs/>
                <w:color w:val="000000" w:themeColor="text1"/>
                <w14:textFill>
                  <w14:solidFill>
                    <w14:schemeClr w14:val="tx1"/>
                  </w14:solidFill>
                </w14:textFill>
              </w:rPr>
              <w:t>检查内容</w:t>
            </w:r>
          </w:p>
        </w:tc>
        <w:tc>
          <w:tcPr>
            <w:tcW w:w="2126" w:type="dxa"/>
            <w:noWrap w:val="0"/>
            <w:vAlign w:val="center"/>
          </w:tcPr>
          <w:p w14:paraId="491622EA">
            <w:pPr>
              <w:pStyle w:val="33"/>
              <w:keepNext w:val="0"/>
              <w:keepLines w:val="0"/>
              <w:pageBreakBefore w:val="0"/>
              <w:widowControl w:val="0"/>
              <w:kinsoku/>
              <w:bidi w:val="0"/>
              <w:ind w:left="0" w:leftChars="0" w:right="0" w:rightChars="0" w:firstLine="0" w:firstLineChars="0"/>
              <w:jc w:val="center"/>
              <w:rPr>
                <w:b/>
                <w:bCs/>
                <w:color w:val="000000" w:themeColor="text1"/>
                <w14:textFill>
                  <w14:solidFill>
                    <w14:schemeClr w14:val="tx1"/>
                  </w14:solidFill>
                </w14:textFill>
              </w:rPr>
            </w:pPr>
            <w:r>
              <w:rPr>
                <w:b/>
                <w:bCs/>
                <w:color w:val="000000" w:themeColor="text1"/>
                <w14:textFill>
                  <w14:solidFill>
                    <w14:schemeClr w14:val="tx1"/>
                  </w14:solidFill>
                </w14:textFill>
              </w:rPr>
              <w:t>依据标准</w:t>
            </w:r>
          </w:p>
        </w:tc>
        <w:tc>
          <w:tcPr>
            <w:tcW w:w="1930" w:type="dxa"/>
            <w:noWrap w:val="0"/>
            <w:vAlign w:val="center"/>
          </w:tcPr>
          <w:p w14:paraId="71C7271E">
            <w:pPr>
              <w:pStyle w:val="33"/>
              <w:keepNext w:val="0"/>
              <w:keepLines w:val="0"/>
              <w:pageBreakBefore w:val="0"/>
              <w:widowControl w:val="0"/>
              <w:kinsoku/>
              <w:bidi w:val="0"/>
              <w:ind w:left="0" w:leftChars="0" w:right="0" w:rightChars="0" w:firstLine="0" w:firstLineChars="0"/>
              <w:jc w:val="center"/>
              <w:rPr>
                <w:b/>
                <w:bCs/>
                <w:color w:val="000000" w:themeColor="text1"/>
                <w14:textFill>
                  <w14:solidFill>
                    <w14:schemeClr w14:val="tx1"/>
                  </w14:solidFill>
                </w14:textFill>
              </w:rPr>
            </w:pPr>
            <w:r>
              <w:rPr>
                <w:b/>
                <w:bCs/>
                <w:color w:val="000000" w:themeColor="text1"/>
                <w14:textFill>
                  <w14:solidFill>
                    <w14:schemeClr w14:val="tx1"/>
                  </w14:solidFill>
                </w14:textFill>
              </w:rPr>
              <w:t>检查情况</w:t>
            </w:r>
          </w:p>
        </w:tc>
        <w:tc>
          <w:tcPr>
            <w:tcW w:w="714" w:type="dxa"/>
            <w:noWrap w:val="0"/>
            <w:vAlign w:val="center"/>
          </w:tcPr>
          <w:p w14:paraId="5304AACC">
            <w:pPr>
              <w:pStyle w:val="33"/>
              <w:keepNext w:val="0"/>
              <w:keepLines w:val="0"/>
              <w:pageBreakBefore w:val="0"/>
              <w:widowControl w:val="0"/>
              <w:kinsoku/>
              <w:bidi w:val="0"/>
              <w:ind w:left="0" w:leftChars="0" w:right="0" w:rightChars="0" w:firstLine="0" w:firstLineChars="0"/>
              <w:jc w:val="center"/>
              <w:rPr>
                <w:b/>
                <w:bCs/>
                <w:color w:val="000000" w:themeColor="text1"/>
                <w14:textFill>
                  <w14:solidFill>
                    <w14:schemeClr w14:val="tx1"/>
                  </w14:solidFill>
                </w14:textFill>
              </w:rPr>
            </w:pPr>
            <w:r>
              <w:rPr>
                <w:b/>
                <w:bCs/>
                <w:color w:val="000000" w:themeColor="text1"/>
                <w14:textFill>
                  <w14:solidFill>
                    <w14:schemeClr w14:val="tx1"/>
                  </w14:solidFill>
                </w14:textFill>
              </w:rPr>
              <w:t>检查结果</w:t>
            </w:r>
          </w:p>
        </w:tc>
      </w:tr>
      <w:tr w14:paraId="13F87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537" w:type="dxa"/>
            <w:noWrap w:val="0"/>
            <w:vAlign w:val="center"/>
          </w:tcPr>
          <w:p w14:paraId="583103B2">
            <w:pPr>
              <w:pStyle w:val="30"/>
              <w:keepNext w:val="0"/>
              <w:keepLines w:val="0"/>
              <w:pageBreakBefore w:val="0"/>
              <w:widowControl w:val="0"/>
              <w:numPr>
                <w:ilvl w:val="0"/>
                <w:numId w:val="40"/>
              </w:numPr>
              <w:kinsoku/>
              <w:bidi w:val="0"/>
              <w:ind w:left="425" w:leftChars="0" w:hanging="425" w:firstLineChars="0"/>
              <w:rPr>
                <w:color w:val="000000" w:themeColor="text1"/>
                <w14:textFill>
                  <w14:solidFill>
                    <w14:schemeClr w14:val="tx1"/>
                  </w14:solidFill>
                </w14:textFill>
              </w:rPr>
            </w:pPr>
          </w:p>
        </w:tc>
        <w:tc>
          <w:tcPr>
            <w:tcW w:w="3765" w:type="dxa"/>
            <w:noWrap w:val="0"/>
            <w:vAlign w:val="center"/>
          </w:tcPr>
          <w:p w14:paraId="61EBE2DD">
            <w:pPr>
              <w:pStyle w:val="33"/>
              <w:keepNext w:val="0"/>
              <w:keepLines w:val="0"/>
              <w:pageBreakBefore w:val="0"/>
              <w:widowControl w:val="0"/>
              <w:kinsoku/>
              <w:bidi w:val="0"/>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w:t>变电站应具备可靠的水源，饮用水的水质应符合国家饮用水卫生标准。变电站的生产及生活污水应符合国家或地方排放标准。</w:t>
            </w:r>
          </w:p>
        </w:tc>
        <w:tc>
          <w:tcPr>
            <w:tcW w:w="2126" w:type="dxa"/>
            <w:noWrap w:val="0"/>
            <w:vAlign w:val="center"/>
          </w:tcPr>
          <w:p w14:paraId="4ABB1EA5">
            <w:pPr>
              <w:pStyle w:val="33"/>
              <w:keepNext w:val="0"/>
              <w:keepLines w:val="0"/>
              <w:pageBreakBefore w:val="0"/>
              <w:widowControl w:val="0"/>
              <w:kinsoku/>
              <w:bidi w:val="0"/>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w:t>《变电站总布置设计技术规程》（DL/T5056-2007）第4.0.5条</w:t>
            </w:r>
          </w:p>
        </w:tc>
        <w:tc>
          <w:tcPr>
            <w:tcW w:w="1930" w:type="dxa"/>
            <w:noWrap w:val="0"/>
            <w:vAlign w:val="center"/>
          </w:tcPr>
          <w:p w14:paraId="04E68D26">
            <w:pPr>
              <w:pStyle w:val="33"/>
              <w:keepNext w:val="0"/>
              <w:keepLines w:val="0"/>
              <w:pageBreakBefore w:val="0"/>
              <w:widowControl w:val="0"/>
              <w:kinsoku/>
              <w:bidi w:val="0"/>
              <w:ind w:left="0" w:leftChars="0" w:firstLine="0" w:firstLineChars="0"/>
              <w:rPr>
                <w:color w:val="000000" w:themeColor="text1"/>
                <w14:textFill>
                  <w14:solidFill>
                    <w14:schemeClr w14:val="tx1"/>
                  </w14:solidFill>
                </w14:textFill>
              </w:rPr>
            </w:pPr>
            <w:r>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t>本项目无生产废水；生活污水处理后作为绿化水使用。</w:t>
            </w:r>
          </w:p>
        </w:tc>
        <w:tc>
          <w:tcPr>
            <w:tcW w:w="714" w:type="dxa"/>
            <w:noWrap w:val="0"/>
            <w:vAlign w:val="center"/>
          </w:tcPr>
          <w:p w14:paraId="273404A3">
            <w:pPr>
              <w:pStyle w:val="33"/>
              <w:keepNext w:val="0"/>
              <w:keepLines w:val="0"/>
              <w:pageBreakBefore w:val="0"/>
              <w:widowControl w:val="0"/>
              <w:kinsoku/>
              <w:bidi w:val="0"/>
              <w:ind w:left="0" w:leftChars="0" w:right="0" w:rightChars="0"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符合</w:t>
            </w:r>
          </w:p>
        </w:tc>
      </w:tr>
      <w:tr w14:paraId="7922B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537" w:type="dxa"/>
            <w:noWrap w:val="0"/>
            <w:vAlign w:val="center"/>
          </w:tcPr>
          <w:p w14:paraId="31129A13">
            <w:pPr>
              <w:pStyle w:val="30"/>
              <w:keepNext w:val="0"/>
              <w:keepLines w:val="0"/>
              <w:pageBreakBefore w:val="0"/>
              <w:widowControl w:val="0"/>
              <w:numPr>
                <w:ilvl w:val="0"/>
                <w:numId w:val="40"/>
              </w:numPr>
              <w:kinsoku/>
              <w:bidi w:val="0"/>
              <w:ind w:left="425" w:leftChars="0" w:hanging="425" w:firstLineChars="0"/>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pPr>
          </w:p>
        </w:tc>
        <w:tc>
          <w:tcPr>
            <w:tcW w:w="3765" w:type="dxa"/>
            <w:noWrap w:val="0"/>
            <w:vAlign w:val="center"/>
          </w:tcPr>
          <w:p w14:paraId="5EB3C0DB">
            <w:pPr>
              <w:pStyle w:val="33"/>
              <w:keepNext w:val="0"/>
              <w:keepLines w:val="0"/>
              <w:pageBreakBefore w:val="0"/>
              <w:widowControl w:val="0"/>
              <w:kinsoku/>
              <w:bidi w:val="0"/>
              <w:ind w:left="0" w:leftChars="0" w:firstLine="0" w:firstLineChars="0"/>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t>站区生活污水、生产废水和雨水宜采用分流制。</w:t>
            </w:r>
          </w:p>
        </w:tc>
        <w:tc>
          <w:tcPr>
            <w:tcW w:w="2126" w:type="dxa"/>
            <w:noWrap w:val="0"/>
            <w:vAlign w:val="center"/>
          </w:tcPr>
          <w:p w14:paraId="51AE9B90">
            <w:pPr>
              <w:pStyle w:val="33"/>
              <w:keepNext w:val="0"/>
              <w:keepLines w:val="0"/>
              <w:pageBreakBefore w:val="0"/>
              <w:widowControl w:val="0"/>
              <w:kinsoku/>
              <w:bidi w:val="0"/>
              <w:ind w:left="0" w:leftChars="0" w:firstLine="0" w:firstLineChars="0"/>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t>《220kV～750kV变电站设计技术规程》（DL/T5218-2012）9.0.4</w:t>
            </w:r>
          </w:p>
        </w:tc>
        <w:tc>
          <w:tcPr>
            <w:tcW w:w="1930" w:type="dxa"/>
            <w:noWrap w:val="0"/>
            <w:vAlign w:val="center"/>
          </w:tcPr>
          <w:p w14:paraId="350180D2">
            <w:pPr>
              <w:pStyle w:val="33"/>
              <w:keepNext w:val="0"/>
              <w:keepLines w:val="0"/>
              <w:pageBreakBefore w:val="0"/>
              <w:widowControl w:val="0"/>
              <w:kinsoku/>
              <w:bidi w:val="0"/>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t>本项目无生产废水；生活污水和雨水分流；生活污水处理后作为绿化水使用。</w:t>
            </w:r>
          </w:p>
        </w:tc>
        <w:tc>
          <w:tcPr>
            <w:tcW w:w="714" w:type="dxa"/>
            <w:noWrap w:val="0"/>
            <w:vAlign w:val="center"/>
          </w:tcPr>
          <w:p w14:paraId="0A524DC5">
            <w:pPr>
              <w:pStyle w:val="33"/>
              <w:keepNext w:val="0"/>
              <w:keepLines w:val="0"/>
              <w:pageBreakBefore w:val="0"/>
              <w:widowControl w:val="0"/>
              <w:kinsoku/>
              <w:bidi w:val="0"/>
              <w:ind w:left="0" w:leftChars="0" w:right="0" w:rightChars="0" w:firstLine="0" w:firstLineChars="0"/>
              <w:jc w:val="center"/>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t>符合</w:t>
            </w:r>
          </w:p>
        </w:tc>
      </w:tr>
      <w:tr w14:paraId="6125D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537" w:type="dxa"/>
            <w:noWrap w:val="0"/>
            <w:vAlign w:val="center"/>
          </w:tcPr>
          <w:p w14:paraId="27E5D5E1">
            <w:pPr>
              <w:pStyle w:val="30"/>
              <w:keepNext w:val="0"/>
              <w:keepLines w:val="0"/>
              <w:pageBreakBefore w:val="0"/>
              <w:widowControl w:val="0"/>
              <w:numPr>
                <w:ilvl w:val="0"/>
                <w:numId w:val="40"/>
              </w:numPr>
              <w:kinsoku/>
              <w:bidi w:val="0"/>
              <w:ind w:left="425" w:leftChars="0" w:hanging="425" w:firstLineChars="0"/>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pPr>
          </w:p>
        </w:tc>
        <w:tc>
          <w:tcPr>
            <w:tcW w:w="3765" w:type="dxa"/>
            <w:shd w:val="clear" w:color="auto" w:fill="auto"/>
            <w:noWrap w:val="0"/>
            <w:vAlign w:val="top"/>
          </w:tcPr>
          <w:p w14:paraId="5FDDF744">
            <w:pPr>
              <w:pStyle w:val="26"/>
              <w:spacing w:before="56" w:line="233" w:lineRule="auto"/>
              <w:ind w:left="104" w:leftChars="0" w:right="104" w:rightChars="0" w:firstLine="0" w:firstLineChars="0"/>
              <w:rPr>
                <w:rFonts w:ascii="Times New Roman" w:hAnsi="Times New Roman" w:eastAsia="宋体" w:cs="Times New Roman"/>
                <w:color w:val="000000" w:themeColor="text1"/>
                <w:kern w:val="2"/>
                <w:sz w:val="21"/>
                <w:szCs w:val="22"/>
                <w:lang w:val="en-US" w:eastAsia="en-US" w:bidi="ar-SA"/>
                <w14:textFill>
                  <w14:solidFill>
                    <w14:schemeClr w14:val="tx1"/>
                  </w14:solidFill>
                </w14:textFill>
              </w:rPr>
            </w:pPr>
            <w:r>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t>生活饮用水的水质应符合现行国家标准《生活饮 用水卫生标准》GB 5749-2022 的规定。</w:t>
            </w:r>
          </w:p>
        </w:tc>
        <w:tc>
          <w:tcPr>
            <w:tcW w:w="2126" w:type="dxa"/>
            <w:shd w:val="clear" w:color="auto" w:fill="auto"/>
            <w:noWrap w:val="0"/>
            <w:vAlign w:val="top"/>
          </w:tcPr>
          <w:p w14:paraId="43B12860">
            <w:pPr>
              <w:pStyle w:val="33"/>
              <w:keepNext w:val="0"/>
              <w:keepLines w:val="0"/>
              <w:pageBreakBefore w:val="0"/>
              <w:widowControl w:val="0"/>
              <w:kinsoku/>
              <w:bidi w:val="0"/>
              <w:ind w:left="0" w:leftChars="0" w:firstLine="0" w:firstLineChars="0"/>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t>《光伏发电站设计规范》（GB 50797-2012）</w:t>
            </w:r>
          </w:p>
          <w:p w14:paraId="25A4A623">
            <w:pPr>
              <w:pStyle w:val="26"/>
              <w:spacing w:before="56" w:line="233" w:lineRule="auto"/>
              <w:ind w:left="117" w:leftChars="0" w:right="97" w:rightChars="0" w:firstLine="4" w:firstLineChars="0"/>
              <w:rPr>
                <w:rFonts w:ascii="Times New Roman" w:hAnsi="Times New Roman" w:eastAsia="宋体" w:cs="Times New Roman"/>
                <w:color w:val="000000" w:themeColor="text1"/>
                <w:kern w:val="2"/>
                <w:sz w:val="21"/>
                <w:szCs w:val="22"/>
                <w:lang w:val="en-US" w:eastAsia="en-US" w:bidi="ar-SA"/>
                <w14:textFill>
                  <w14:solidFill>
                    <w14:schemeClr w14:val="tx1"/>
                  </w14:solidFill>
                </w14:textFill>
              </w:rPr>
            </w:pPr>
            <w:r>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t>第11.1.3条</w:t>
            </w:r>
          </w:p>
        </w:tc>
        <w:tc>
          <w:tcPr>
            <w:tcW w:w="1930" w:type="dxa"/>
            <w:shd w:val="clear" w:color="auto" w:fill="auto"/>
            <w:noWrap w:val="0"/>
            <w:vAlign w:val="top"/>
          </w:tcPr>
          <w:p w14:paraId="7BE960EC">
            <w:pPr>
              <w:pStyle w:val="26"/>
              <w:spacing w:before="56" w:line="233" w:lineRule="auto"/>
              <w:ind w:left="123" w:leftChars="0" w:right="66" w:rightChars="0" w:firstLine="1" w:firstLineChars="0"/>
              <w:rPr>
                <w:rFonts w:ascii="Times New Roman" w:hAnsi="Times New Roman" w:eastAsia="宋体" w:cs="Times New Roman"/>
                <w:color w:val="000000" w:themeColor="text1"/>
                <w:kern w:val="2"/>
                <w:sz w:val="21"/>
                <w:szCs w:val="22"/>
                <w:lang w:val="en-US" w:eastAsia="en-US" w:bidi="ar-SA"/>
                <w14:textFill>
                  <w14:solidFill>
                    <w14:schemeClr w14:val="tx1"/>
                  </w14:solidFill>
                </w14:textFill>
              </w:rPr>
            </w:pPr>
            <w:r>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t>项 目建 设 现场 符合设计要求。</w:t>
            </w:r>
          </w:p>
        </w:tc>
        <w:tc>
          <w:tcPr>
            <w:tcW w:w="714" w:type="dxa"/>
            <w:shd w:val="clear" w:color="auto" w:fill="auto"/>
            <w:noWrap w:val="0"/>
            <w:vAlign w:val="top"/>
          </w:tcPr>
          <w:p w14:paraId="2FCB844B">
            <w:pPr>
              <w:pStyle w:val="26"/>
              <w:spacing w:before="189" w:line="228" w:lineRule="auto"/>
              <w:rPr>
                <w:rFonts w:ascii="Times New Roman" w:hAnsi="Times New Roman" w:eastAsia="宋体" w:cs="Times New Roman"/>
                <w:color w:val="000000" w:themeColor="text1"/>
                <w:kern w:val="2"/>
                <w:sz w:val="21"/>
                <w:szCs w:val="22"/>
                <w:lang w:val="en-US" w:eastAsia="en-US" w:bidi="ar-SA"/>
                <w14:textFill>
                  <w14:solidFill>
                    <w14:schemeClr w14:val="tx1"/>
                  </w14:solidFill>
                </w14:textFill>
              </w:rPr>
            </w:pPr>
            <w:r>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t>符合</w:t>
            </w:r>
          </w:p>
        </w:tc>
      </w:tr>
      <w:tr w14:paraId="0926F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537" w:type="dxa"/>
            <w:noWrap w:val="0"/>
            <w:vAlign w:val="center"/>
          </w:tcPr>
          <w:p w14:paraId="7FF89627">
            <w:pPr>
              <w:pStyle w:val="30"/>
              <w:keepNext w:val="0"/>
              <w:keepLines w:val="0"/>
              <w:pageBreakBefore w:val="0"/>
              <w:widowControl w:val="0"/>
              <w:numPr>
                <w:ilvl w:val="0"/>
                <w:numId w:val="40"/>
              </w:numPr>
              <w:kinsoku/>
              <w:bidi w:val="0"/>
              <w:ind w:left="425" w:leftChars="0" w:hanging="425" w:firstLineChars="0"/>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pPr>
          </w:p>
        </w:tc>
        <w:tc>
          <w:tcPr>
            <w:tcW w:w="3765" w:type="dxa"/>
            <w:noWrap w:val="0"/>
            <w:vAlign w:val="center"/>
          </w:tcPr>
          <w:p w14:paraId="6C706B06">
            <w:pPr>
              <w:pStyle w:val="33"/>
              <w:keepNext w:val="0"/>
              <w:keepLines w:val="0"/>
              <w:pageBreakBefore w:val="0"/>
              <w:widowControl w:val="0"/>
              <w:kinsoku/>
              <w:bidi w:val="0"/>
              <w:ind w:left="0" w:leftChars="0" w:firstLine="0" w:firstLineChars="0"/>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t>地上、地下设施中的基础、管线，管架、管沟、隧道及地下室等的标高和布置，应统一安排，合理交叉，维修、扩建便利，排水畅通。</w:t>
            </w:r>
          </w:p>
        </w:tc>
        <w:tc>
          <w:tcPr>
            <w:tcW w:w="2126" w:type="dxa"/>
            <w:noWrap w:val="0"/>
            <w:vAlign w:val="center"/>
          </w:tcPr>
          <w:p w14:paraId="1B26254D">
            <w:pPr>
              <w:pStyle w:val="33"/>
              <w:keepNext w:val="0"/>
              <w:keepLines w:val="0"/>
              <w:pageBreakBefore w:val="0"/>
              <w:widowControl w:val="0"/>
              <w:kinsoku/>
              <w:bidi w:val="0"/>
              <w:ind w:left="0" w:leftChars="0" w:firstLine="0" w:firstLineChars="0"/>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t>《光伏发电站设计规范》（GB 50797-2012）</w:t>
            </w:r>
          </w:p>
          <w:p w14:paraId="66E5541F">
            <w:pPr>
              <w:pStyle w:val="33"/>
              <w:keepNext w:val="0"/>
              <w:keepLines w:val="0"/>
              <w:pageBreakBefore w:val="0"/>
              <w:widowControl w:val="0"/>
              <w:kinsoku/>
              <w:bidi w:val="0"/>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t>第7.1.8条</w:t>
            </w:r>
          </w:p>
        </w:tc>
        <w:tc>
          <w:tcPr>
            <w:tcW w:w="1930" w:type="dxa"/>
            <w:noWrap w:val="0"/>
            <w:vAlign w:val="center"/>
          </w:tcPr>
          <w:p w14:paraId="11C379F4">
            <w:pPr>
              <w:pStyle w:val="33"/>
              <w:keepNext w:val="0"/>
              <w:keepLines w:val="0"/>
              <w:pageBreakBefore w:val="0"/>
              <w:widowControl w:val="0"/>
              <w:kinsoku/>
              <w:bidi w:val="0"/>
              <w:ind w:left="0" w:leftChars="0" w:firstLine="0" w:firstLineChars="0"/>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t>维修便利，排水畅通。</w:t>
            </w:r>
          </w:p>
        </w:tc>
        <w:tc>
          <w:tcPr>
            <w:tcW w:w="714" w:type="dxa"/>
            <w:noWrap w:val="0"/>
            <w:vAlign w:val="center"/>
          </w:tcPr>
          <w:p w14:paraId="3815A250">
            <w:pPr>
              <w:pStyle w:val="33"/>
              <w:keepNext w:val="0"/>
              <w:keepLines w:val="0"/>
              <w:pageBreakBefore w:val="0"/>
              <w:widowControl w:val="0"/>
              <w:kinsoku/>
              <w:bidi w:val="0"/>
              <w:ind w:left="0" w:leftChars="0" w:right="0" w:rightChars="0" w:firstLine="0" w:firstLineChars="0"/>
              <w:jc w:val="center"/>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t>符合</w:t>
            </w:r>
          </w:p>
        </w:tc>
      </w:tr>
      <w:tr w14:paraId="62C55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537" w:type="dxa"/>
            <w:noWrap w:val="0"/>
            <w:vAlign w:val="center"/>
          </w:tcPr>
          <w:p w14:paraId="124F22ED">
            <w:pPr>
              <w:pStyle w:val="30"/>
              <w:keepNext w:val="0"/>
              <w:keepLines w:val="0"/>
              <w:pageBreakBefore w:val="0"/>
              <w:widowControl w:val="0"/>
              <w:numPr>
                <w:ilvl w:val="0"/>
                <w:numId w:val="40"/>
              </w:numPr>
              <w:kinsoku/>
              <w:bidi w:val="0"/>
              <w:ind w:left="425" w:leftChars="0" w:hanging="425" w:firstLineChars="0"/>
              <w:rPr>
                <w:color w:val="000000" w:themeColor="text1"/>
                <w14:textFill>
                  <w14:solidFill>
                    <w14:schemeClr w14:val="tx1"/>
                  </w14:solidFill>
                </w14:textFill>
              </w:rPr>
            </w:pPr>
          </w:p>
        </w:tc>
        <w:tc>
          <w:tcPr>
            <w:tcW w:w="3765" w:type="dxa"/>
            <w:noWrap w:val="0"/>
            <w:vAlign w:val="center"/>
          </w:tcPr>
          <w:p w14:paraId="38246750">
            <w:pPr>
              <w:pStyle w:val="33"/>
              <w:keepNext w:val="0"/>
              <w:keepLines w:val="0"/>
              <w:pageBreakBefore w:val="0"/>
              <w:widowControl w:val="0"/>
              <w:kinsoku/>
              <w:bidi w:val="0"/>
              <w:ind w:left="0" w:leftChars="0"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对建在山区或丘陵地区的光伏发电站，在站</w:t>
            </w:r>
            <w:r>
              <w:rPr>
                <w:rFonts w:hint="eastAsia"/>
                <w:color w:val="000000" w:themeColor="text1"/>
                <w:lang w:val="en-US" w:eastAsia="zh-CN"/>
                <w14:textFill>
                  <w14:solidFill>
                    <w14:schemeClr w14:val="tx1"/>
                  </w14:solidFill>
                </w14:textFill>
              </w:rPr>
              <w:t>区</w:t>
            </w:r>
            <w:r>
              <w:rPr>
                <w:rFonts w:hint="eastAsia"/>
                <w:color w:val="000000" w:themeColor="text1"/>
                <w14:textFill>
                  <w14:solidFill>
                    <w14:schemeClr w14:val="tx1"/>
                  </w14:solidFill>
                </w14:textFill>
              </w:rPr>
              <w:t>边界处应有防止山洪流</w:t>
            </w:r>
            <w:r>
              <w:rPr>
                <w:rFonts w:hint="eastAsia"/>
                <w:color w:val="000000" w:themeColor="text1"/>
                <w:lang w:eastAsia="zh-CN"/>
                <w14:textFill>
                  <w14:solidFill>
                    <w14:schemeClr w14:val="tx1"/>
                  </w14:solidFill>
                </w14:textFill>
              </w:rPr>
              <w:t>入</w:t>
            </w:r>
            <w:r>
              <w:rPr>
                <w:rFonts w:hint="eastAsia"/>
                <w:color w:val="000000" w:themeColor="text1"/>
                <w14:textFill>
                  <w14:solidFill>
                    <w14:schemeClr w14:val="tx1"/>
                  </w14:solidFill>
                </w14:textFill>
              </w:rPr>
              <w:t>站区的设施。</w:t>
            </w:r>
          </w:p>
        </w:tc>
        <w:tc>
          <w:tcPr>
            <w:tcW w:w="2126" w:type="dxa"/>
            <w:noWrap w:val="0"/>
            <w:vAlign w:val="center"/>
          </w:tcPr>
          <w:p w14:paraId="2F429BE9">
            <w:pPr>
              <w:pStyle w:val="33"/>
              <w:keepNext w:val="0"/>
              <w:keepLines w:val="0"/>
              <w:pageBreakBefore w:val="0"/>
              <w:widowControl w:val="0"/>
              <w:kinsoku/>
              <w:bidi w:val="0"/>
              <w:ind w:left="0" w:leftChars="0"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《光伏发电站设计规范》（GB 50797-2012）</w:t>
            </w:r>
          </w:p>
          <w:p w14:paraId="6104704F">
            <w:pPr>
              <w:pStyle w:val="33"/>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第7.1.9条</w:t>
            </w:r>
          </w:p>
        </w:tc>
        <w:tc>
          <w:tcPr>
            <w:tcW w:w="1930" w:type="dxa"/>
            <w:noWrap w:val="0"/>
            <w:vAlign w:val="center"/>
          </w:tcPr>
          <w:p w14:paraId="66664F57">
            <w:pPr>
              <w:pStyle w:val="33"/>
              <w:keepNext w:val="0"/>
              <w:keepLines w:val="0"/>
              <w:pageBreakBefore w:val="0"/>
              <w:widowControl w:val="0"/>
              <w:kinsoku/>
              <w:bidi w:val="0"/>
              <w:ind w:left="0" w:leftChars="0"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站址位于山坡顶上，避开山沟。</w:t>
            </w:r>
          </w:p>
        </w:tc>
        <w:tc>
          <w:tcPr>
            <w:tcW w:w="714" w:type="dxa"/>
            <w:noWrap w:val="0"/>
            <w:vAlign w:val="center"/>
          </w:tcPr>
          <w:p w14:paraId="12372576">
            <w:pPr>
              <w:pStyle w:val="33"/>
              <w:keepNext w:val="0"/>
              <w:keepLines w:val="0"/>
              <w:pageBreakBefore w:val="0"/>
              <w:widowControl w:val="0"/>
              <w:kinsoku/>
              <w:bidi w:val="0"/>
              <w:ind w:left="0" w:leftChars="0" w:right="0" w:rightChars="0"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符合</w:t>
            </w:r>
          </w:p>
        </w:tc>
      </w:tr>
    </w:tbl>
    <w:p w14:paraId="62CC3482">
      <w:pPr>
        <w:keepNext w:val="0"/>
        <w:keepLines w:val="0"/>
        <w:pageBreakBefore w:val="0"/>
        <w:widowControl w:val="0"/>
        <w:kinsoku/>
        <w:wordWrap/>
        <w:overflowPunct/>
        <w:topLinePunct w:val="0"/>
        <w:autoSpaceDE/>
        <w:autoSpaceDN/>
        <w:bidi w:val="0"/>
        <w:adjustRightInd/>
        <w:snapToGrid/>
        <w:spacing w:line="420" w:lineRule="exact"/>
        <w:ind w:left="0" w:leftChars="0" w:firstLine="568"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pacing w:val="2"/>
          <w:sz w:val="28"/>
          <w:szCs w:val="28"/>
          <w14:textFill>
            <w14:solidFill>
              <w14:schemeClr w14:val="tx1"/>
            </w14:solidFill>
          </w14:textFill>
        </w:rPr>
        <w:t>评价分析：针对</w:t>
      </w:r>
      <w:r>
        <w:rPr>
          <w:rFonts w:hint="eastAsia" w:ascii="宋体" w:hAnsi="宋体" w:eastAsia="宋体" w:cs="宋体"/>
          <w:color w:val="000000" w:themeColor="text1"/>
          <w:spacing w:val="2"/>
          <w:sz w:val="28"/>
          <w:szCs w:val="28"/>
          <w:lang w:val="en-US" w:eastAsia="zh-CN"/>
          <w14:textFill>
            <w14:solidFill>
              <w14:schemeClr w14:val="tx1"/>
            </w14:solidFill>
          </w14:textFill>
        </w:rPr>
        <w:t>给排水</w:t>
      </w:r>
      <w:r>
        <w:rPr>
          <w:rFonts w:hint="eastAsia" w:ascii="宋体" w:hAnsi="宋体" w:eastAsia="宋体" w:cs="宋体"/>
          <w:color w:val="000000" w:themeColor="text1"/>
          <w:spacing w:val="2"/>
          <w:sz w:val="28"/>
          <w:szCs w:val="28"/>
          <w14:textFill>
            <w14:solidFill>
              <w14:schemeClr w14:val="tx1"/>
            </w14:solidFill>
          </w14:textFill>
        </w:rPr>
        <w:t>系统</w:t>
      </w:r>
      <w:r>
        <w:rPr>
          <w:rFonts w:hint="eastAsia" w:ascii="宋体" w:hAnsi="宋体" w:eastAsia="宋体" w:cs="宋体"/>
          <w:color w:val="000000" w:themeColor="text1"/>
          <w:spacing w:val="2"/>
          <w:sz w:val="28"/>
          <w:szCs w:val="28"/>
          <w:lang w:val="en-US" w:eastAsia="zh-CN"/>
          <w14:textFill>
            <w14:solidFill>
              <w14:schemeClr w14:val="tx1"/>
            </w14:solidFill>
          </w14:textFill>
        </w:rPr>
        <w:t>子单元</w:t>
      </w:r>
      <w:r>
        <w:rPr>
          <w:rFonts w:hint="eastAsia" w:ascii="宋体" w:hAnsi="宋体" w:eastAsia="宋体" w:cs="宋体"/>
          <w:color w:val="000000" w:themeColor="text1"/>
          <w:spacing w:val="2"/>
          <w:sz w:val="28"/>
          <w:szCs w:val="28"/>
          <w14:textFill>
            <w14:solidFill>
              <w14:schemeClr w14:val="tx1"/>
            </w14:solidFill>
          </w14:textFill>
        </w:rPr>
        <w:t>安全检查表内的</w:t>
      </w:r>
      <w:r>
        <w:rPr>
          <w:rFonts w:hint="eastAsia" w:ascii="宋体" w:hAnsi="宋体" w:eastAsia="宋体" w:cs="宋体"/>
          <w:color w:val="000000" w:themeColor="text1"/>
          <w:spacing w:val="2"/>
          <w:sz w:val="28"/>
          <w:szCs w:val="28"/>
          <w:lang w:val="en-US" w:eastAsia="zh-CN"/>
          <w14:textFill>
            <w14:solidFill>
              <w14:schemeClr w14:val="tx1"/>
            </w14:solidFill>
          </w14:textFill>
        </w:rPr>
        <w:t>5</w:t>
      </w:r>
      <w:r>
        <w:rPr>
          <w:rFonts w:hint="eastAsia" w:ascii="宋体" w:hAnsi="宋体" w:eastAsia="宋体" w:cs="宋体"/>
          <w:color w:val="000000" w:themeColor="text1"/>
          <w:spacing w:val="2"/>
          <w:sz w:val="28"/>
          <w:szCs w:val="28"/>
          <w14:textFill>
            <w14:solidFill>
              <w14:schemeClr w14:val="tx1"/>
            </w14:solidFill>
          </w14:textFill>
        </w:rPr>
        <w:t>项内容，其中</w:t>
      </w:r>
      <w:r>
        <w:rPr>
          <w:rFonts w:hint="eastAsia" w:ascii="宋体" w:hAnsi="宋体" w:eastAsia="宋体" w:cs="宋体"/>
          <w:color w:val="000000" w:themeColor="text1"/>
          <w:spacing w:val="2"/>
          <w:sz w:val="28"/>
          <w:szCs w:val="28"/>
          <w:lang w:val="en-US" w:eastAsia="zh-CN"/>
          <w14:textFill>
            <w14:solidFill>
              <w14:schemeClr w14:val="tx1"/>
            </w14:solidFill>
          </w14:textFill>
        </w:rPr>
        <w:t>5</w:t>
      </w:r>
      <w:r>
        <w:rPr>
          <w:rFonts w:hint="eastAsia" w:ascii="宋体" w:hAnsi="宋体" w:eastAsia="宋体" w:cs="宋体"/>
          <w:color w:val="000000" w:themeColor="text1"/>
          <w:spacing w:val="2"/>
          <w:sz w:val="28"/>
          <w:szCs w:val="28"/>
          <w14:textFill>
            <w14:solidFill>
              <w14:schemeClr w14:val="tx1"/>
            </w14:solidFill>
          </w14:textFill>
        </w:rPr>
        <w:t>项合格，0</w:t>
      </w:r>
      <w:r>
        <w:rPr>
          <w:rFonts w:hint="eastAsia" w:ascii="宋体" w:hAnsi="宋体" w:eastAsia="宋体" w:cs="宋体"/>
          <w:color w:val="000000" w:themeColor="text1"/>
          <w:spacing w:val="2"/>
          <w:sz w:val="28"/>
          <w:szCs w:val="28"/>
          <w:lang w:val="en-US" w:eastAsia="zh-CN"/>
          <w14:textFill>
            <w14:solidFill>
              <w14:schemeClr w14:val="tx1"/>
            </w14:solidFill>
          </w14:textFill>
        </w:rPr>
        <w:t>不合格。</w:t>
      </w:r>
    </w:p>
    <w:p w14:paraId="69405EF3">
      <w:pPr>
        <w:pageBreakBefore w:val="0"/>
        <w:widowControl w:val="0"/>
        <w:numPr>
          <w:ilvl w:val="3"/>
          <w:numId w:val="0"/>
        </w:numPr>
        <w:tabs>
          <w:tab w:val="left" w:pos="420"/>
        </w:tabs>
        <w:kinsoku/>
        <w:wordWrap/>
        <w:overflowPunct/>
        <w:topLinePunct w:val="0"/>
        <w:autoSpaceDE/>
        <w:autoSpaceDN/>
        <w:bidi w:val="0"/>
        <w:spacing w:line="420" w:lineRule="exact"/>
        <w:ind w:left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5.6.2.2防排水系统</w:t>
      </w:r>
      <w:r>
        <w:rPr>
          <w:rFonts w:hint="eastAsia" w:ascii="宋体" w:hAnsi="宋体" w:eastAsia="宋体" w:cs="宋体"/>
          <w:b/>
          <w:bCs/>
          <w:color w:val="000000" w:themeColor="text1"/>
          <w:sz w:val="28"/>
          <w:szCs w:val="28"/>
          <w14:textFill>
            <w14:solidFill>
              <w14:schemeClr w14:val="tx1"/>
            </w14:solidFill>
          </w14:textFill>
        </w:rPr>
        <w:t>子单元小结</w:t>
      </w:r>
    </w:p>
    <w:p w14:paraId="6589D610">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给排水子单元符合《变电站总布置设计技术规程》和《光伏发电站设计规范》（GB 50797-2012）的要求。</w:t>
      </w:r>
    </w:p>
    <w:p w14:paraId="45FA1AB0">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460" w:name="_Toc30709"/>
      <w:r>
        <w:rPr>
          <w:rFonts w:hint="eastAsia" w:ascii="宋体" w:hAnsi="宋体" w:eastAsia="宋体" w:cs="宋体"/>
          <w:b/>
          <w:bCs w:val="0"/>
          <w:color w:val="000000" w:themeColor="text1"/>
          <w:sz w:val="30"/>
          <w:szCs w:val="30"/>
          <w:lang w:val="en-US" w:eastAsia="zh-CN"/>
          <w14:textFill>
            <w14:solidFill>
              <w14:schemeClr w14:val="tx1"/>
            </w14:solidFill>
          </w14:textFill>
        </w:rPr>
        <w:t>5.6.3通讯</w:t>
      </w:r>
      <w:r>
        <w:rPr>
          <w:rFonts w:hint="eastAsia" w:ascii="宋体" w:hAnsi="宋体" w:eastAsia="宋体" w:cs="宋体"/>
          <w:b/>
          <w:bCs w:val="0"/>
          <w:color w:val="000000" w:themeColor="text1"/>
          <w:sz w:val="30"/>
          <w:szCs w:val="30"/>
          <w14:textFill>
            <w14:solidFill>
              <w14:schemeClr w14:val="tx1"/>
            </w14:solidFill>
          </w14:textFill>
        </w:rPr>
        <w:t>系统子单元</w:t>
      </w:r>
      <w:bookmarkEnd w:id="460"/>
    </w:p>
    <w:p w14:paraId="7230009D">
      <w:pPr>
        <w:pStyle w:val="10"/>
        <w:keepNext w:val="0"/>
        <w:keepLines w:val="0"/>
        <w:pageBreakBefore w:val="0"/>
        <w:widowControl w:val="0"/>
        <w:kinsoku/>
        <w:wordWrap/>
        <w:overflowPunct/>
        <w:topLinePunct w:val="0"/>
        <w:autoSpaceDE/>
        <w:autoSpaceDN/>
        <w:bidi w:val="0"/>
        <w:adjustRightInd/>
        <w:snapToGrid/>
        <w:spacing w:after="0" w:line="420" w:lineRule="exact"/>
        <w:ind w:left="0" w:firstLine="563"/>
        <w:jc w:val="both"/>
        <w:textAlignment w:val="auto"/>
        <w:rPr>
          <w:color w:val="000000" w:themeColor="text1"/>
          <w:sz w:val="28"/>
          <w:szCs w:val="28"/>
          <w14:textFill>
            <w14:solidFill>
              <w14:schemeClr w14:val="tx1"/>
            </w14:solidFill>
          </w14:textFill>
        </w:rPr>
      </w:pPr>
      <w:r>
        <w:rPr>
          <w:color w:val="000000" w:themeColor="text1"/>
          <w:spacing w:val="-2"/>
          <w:sz w:val="28"/>
          <w:szCs w:val="28"/>
          <w14:textFill>
            <w14:solidFill>
              <w14:schemeClr w14:val="tx1"/>
            </w14:solidFill>
          </w14:textFill>
        </w:rPr>
        <w:t>通讯联络不通畅会导致信息不能及时传达，发</w:t>
      </w:r>
      <w:r>
        <w:rPr>
          <w:color w:val="000000" w:themeColor="text1"/>
          <w:spacing w:val="-3"/>
          <w:sz w:val="28"/>
          <w:szCs w:val="28"/>
          <w14:textFill>
            <w14:solidFill>
              <w14:schemeClr w14:val="tx1"/>
            </w14:solidFill>
          </w14:textFill>
        </w:rPr>
        <w:t>生安全事故时不能及时</w:t>
      </w:r>
      <w:r>
        <w:rPr>
          <w:color w:val="000000" w:themeColor="text1"/>
          <w:sz w:val="28"/>
          <w:szCs w:val="28"/>
          <w14:textFill>
            <w14:solidFill>
              <w14:schemeClr w14:val="tx1"/>
            </w14:solidFill>
          </w14:textFill>
        </w:rPr>
        <w:t xml:space="preserve"> </w:t>
      </w:r>
      <w:r>
        <w:rPr>
          <w:color w:val="000000" w:themeColor="text1"/>
          <w:spacing w:val="-2"/>
          <w:sz w:val="28"/>
          <w:szCs w:val="28"/>
          <w14:textFill>
            <w14:solidFill>
              <w14:schemeClr w14:val="tx1"/>
            </w14:solidFill>
          </w14:textFill>
        </w:rPr>
        <w:t>进行应急安全救援。项目场区周边村庄有中国移动、中国联通、中国</w:t>
      </w:r>
      <w:r>
        <w:rPr>
          <w:color w:val="000000" w:themeColor="text1"/>
          <w:spacing w:val="-3"/>
          <w:sz w:val="28"/>
          <w:szCs w:val="28"/>
          <w14:textFill>
            <w14:solidFill>
              <w14:schemeClr w14:val="tx1"/>
            </w14:solidFill>
          </w14:textFill>
        </w:rPr>
        <w:t>电信</w:t>
      </w:r>
      <w:r>
        <w:rPr>
          <w:color w:val="000000" w:themeColor="text1"/>
          <w:sz w:val="28"/>
          <w:szCs w:val="28"/>
          <w14:textFill>
            <w14:solidFill>
              <w14:schemeClr w14:val="tx1"/>
            </w14:solidFill>
          </w14:textFill>
        </w:rPr>
        <w:t xml:space="preserve"> </w:t>
      </w:r>
      <w:r>
        <w:rPr>
          <w:color w:val="000000" w:themeColor="text1"/>
          <w:spacing w:val="-2"/>
          <w:sz w:val="28"/>
          <w:szCs w:val="28"/>
          <w14:textFill>
            <w14:solidFill>
              <w14:schemeClr w14:val="tx1"/>
            </w14:solidFill>
          </w14:textFill>
        </w:rPr>
        <w:t>基站分布，手机通讯信号覆盖良好，能保证项目通讯所需。升压</w:t>
      </w:r>
      <w:r>
        <w:rPr>
          <w:color w:val="000000" w:themeColor="text1"/>
          <w:spacing w:val="-3"/>
          <w:sz w:val="28"/>
          <w:szCs w:val="28"/>
          <w14:textFill>
            <w14:solidFill>
              <w14:schemeClr w14:val="tx1"/>
            </w14:solidFill>
          </w14:textFill>
        </w:rPr>
        <w:t>站还通过</w:t>
      </w:r>
      <w:r>
        <w:rPr>
          <w:color w:val="000000" w:themeColor="text1"/>
          <w:sz w:val="28"/>
          <w:szCs w:val="28"/>
          <w14:textFill>
            <w14:solidFill>
              <w14:schemeClr w14:val="tx1"/>
            </w14:solidFill>
          </w14:textFill>
        </w:rPr>
        <w:t xml:space="preserve"> </w:t>
      </w:r>
      <w:r>
        <w:rPr>
          <w:color w:val="000000" w:themeColor="text1"/>
          <w:spacing w:val="-8"/>
          <w:sz w:val="28"/>
          <w:szCs w:val="28"/>
          <w14:textFill>
            <w14:solidFill>
              <w14:schemeClr w14:val="tx1"/>
            </w14:solidFill>
          </w14:textFill>
        </w:rPr>
        <w:t>电信网络与外部互联，内部建有区域网，用于各智能控制设备和视频监控。</w:t>
      </w:r>
    </w:p>
    <w:p w14:paraId="24CD9BC6">
      <w:pPr>
        <w:pStyle w:val="10"/>
        <w:keepNext w:val="0"/>
        <w:keepLines w:val="0"/>
        <w:pageBreakBefore w:val="0"/>
        <w:widowControl w:val="0"/>
        <w:kinsoku/>
        <w:wordWrap/>
        <w:overflowPunct/>
        <w:topLinePunct w:val="0"/>
        <w:autoSpaceDE/>
        <w:autoSpaceDN/>
        <w:bidi w:val="0"/>
        <w:adjustRightInd/>
        <w:snapToGrid/>
        <w:spacing w:after="0" w:line="420" w:lineRule="exact"/>
        <w:ind w:left="0"/>
        <w:textAlignment w:val="auto"/>
        <w:rPr>
          <w:color w:val="000000" w:themeColor="text1"/>
          <w:sz w:val="28"/>
          <w:szCs w:val="28"/>
          <w14:textFill>
            <w14:solidFill>
              <w14:schemeClr w14:val="tx1"/>
            </w14:solidFill>
          </w14:textFill>
        </w:rPr>
      </w:pPr>
      <w:r>
        <w:rPr>
          <w:color w:val="000000" w:themeColor="text1"/>
          <w:spacing w:val="-1"/>
          <w:sz w:val="28"/>
          <w:szCs w:val="28"/>
          <w14:textFill>
            <w14:solidFill>
              <w14:schemeClr w14:val="tx1"/>
            </w14:solidFill>
          </w14:textFill>
        </w:rPr>
        <w:t>经评价认为电站的通信系统单元满足安全生产要求。</w:t>
      </w:r>
    </w:p>
    <w:p w14:paraId="4E11BD47">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461" w:name="_Toc24347"/>
      <w:r>
        <w:rPr>
          <w:rFonts w:hint="eastAsia" w:ascii="宋体" w:hAnsi="宋体" w:eastAsia="宋体" w:cs="宋体"/>
          <w:b/>
          <w:bCs w:val="0"/>
          <w:color w:val="000000" w:themeColor="text1"/>
          <w:sz w:val="30"/>
          <w:szCs w:val="30"/>
          <w:lang w:val="en-US" w:eastAsia="zh-CN"/>
          <w14:textFill>
            <w14:solidFill>
              <w14:schemeClr w14:val="tx1"/>
            </w14:solidFill>
          </w14:textFill>
        </w:rPr>
        <w:t>5.6.4视频安防</w:t>
      </w:r>
      <w:r>
        <w:rPr>
          <w:rFonts w:hint="eastAsia" w:ascii="宋体" w:hAnsi="宋体" w:eastAsia="宋体" w:cs="宋体"/>
          <w:b/>
          <w:bCs w:val="0"/>
          <w:color w:val="000000" w:themeColor="text1"/>
          <w:sz w:val="30"/>
          <w:szCs w:val="30"/>
          <w14:textFill>
            <w14:solidFill>
              <w14:schemeClr w14:val="tx1"/>
            </w14:solidFill>
          </w14:textFill>
        </w:rPr>
        <w:t>系统子单元</w:t>
      </w:r>
      <w:bookmarkEnd w:id="461"/>
    </w:p>
    <w:p w14:paraId="17C49076">
      <w:pPr>
        <w:pageBreakBefore w:val="0"/>
        <w:widowControl w:val="0"/>
        <w:numPr>
          <w:ilvl w:val="4"/>
          <w:numId w:val="0"/>
        </w:numPr>
        <w:tabs>
          <w:tab w:val="left" w:pos="420"/>
        </w:tabs>
        <w:kinsoku/>
        <w:wordWrap/>
        <w:overflowPunct/>
        <w:topLinePunct w:val="0"/>
        <w:autoSpaceDE/>
        <w:autoSpaceDN/>
        <w:bidi w:val="0"/>
        <w:spacing w:line="420" w:lineRule="exact"/>
        <w:ind w:leftChars="0"/>
        <w:textAlignment w:val="auto"/>
        <w:outlineLvl w:val="9"/>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5.6.4.1</w:t>
      </w:r>
      <w:r>
        <w:rPr>
          <w:rFonts w:hint="eastAsia" w:ascii="宋体" w:hAnsi="宋体" w:eastAsia="宋体" w:cs="宋体"/>
          <w:b/>
          <w:bCs/>
          <w:color w:val="000000" w:themeColor="text1"/>
          <w:sz w:val="28"/>
          <w:szCs w:val="28"/>
          <w14:textFill>
            <w14:solidFill>
              <w14:schemeClr w14:val="tx1"/>
            </w14:solidFill>
          </w14:textFill>
        </w:rPr>
        <w:t>视频安防系统子单元安全检查表</w:t>
      </w:r>
    </w:p>
    <w:p w14:paraId="76999C77">
      <w:pPr>
        <w:pStyle w:val="8"/>
        <w:keepNext w:val="0"/>
        <w:keepLines w:val="0"/>
        <w:pageBreakBefore w:val="0"/>
        <w:widowControl w:val="0"/>
        <w:numPr>
          <w:ilvl w:val="0"/>
          <w:numId w:val="0"/>
        </w:numPr>
        <w:kinsoku/>
        <w:wordWrap/>
        <w:overflowPunct/>
        <w:topLinePunct w:val="0"/>
        <w:autoSpaceDE/>
        <w:autoSpaceDN/>
        <w:bidi w:val="0"/>
        <w:spacing w:line="420" w:lineRule="exact"/>
        <w:ind w:left="0" w:leftChars="0" w:firstLine="0" w:firstLineChars="0"/>
        <w:jc w:val="center"/>
        <w:textAlignment w:val="auto"/>
        <w:rPr>
          <w:rFonts w:ascii="宋体" w:hAnsi="宋体"/>
          <w:color w:val="000000" w:themeColor="text1"/>
          <w:sz w:val="24"/>
          <w:szCs w:val="24"/>
          <w14:textFill>
            <w14:solidFill>
              <w14:schemeClr w14:val="tx1"/>
            </w14:solidFill>
          </w14:textFill>
        </w:rPr>
      </w:pPr>
      <w:r>
        <w:rPr>
          <w:color w:val="000000" w:themeColor="text1"/>
          <w14:textFill>
            <w14:solidFill>
              <w14:schemeClr w14:val="tx1"/>
            </w14:solidFill>
          </w14:textFill>
        </w:rPr>
        <w:t xml:space="preserve">表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6.2</w:t>
      </w:r>
      <w:r>
        <w:rPr>
          <w:rFonts w:hint="eastAsia"/>
          <w:color w:val="000000" w:themeColor="text1"/>
          <w:sz w:val="24"/>
          <w:szCs w:val="24"/>
          <w:lang w:val="en-US" w:eastAsia="zh-CN"/>
          <w14:textFill>
            <w14:solidFill>
              <w14:schemeClr w14:val="tx1"/>
            </w14:solidFill>
          </w14:textFill>
        </w:rPr>
        <w:t>视频安防</w:t>
      </w:r>
      <w:r>
        <w:rPr>
          <w:rFonts w:ascii="宋体" w:hAnsi="宋体"/>
          <w:color w:val="000000" w:themeColor="text1"/>
          <w:sz w:val="24"/>
          <w:szCs w:val="24"/>
          <w14:textFill>
            <w14:solidFill>
              <w14:schemeClr w14:val="tx1"/>
            </w14:solidFill>
          </w14:textFill>
        </w:rPr>
        <w:t>系统子单元安全检查表</w:t>
      </w:r>
    </w:p>
    <w:tbl>
      <w:tblPr>
        <w:tblStyle w:val="25"/>
        <w:tblW w:w="5016"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08"/>
        <w:gridCol w:w="3368"/>
        <w:gridCol w:w="2176"/>
        <w:gridCol w:w="1812"/>
        <w:gridCol w:w="873"/>
      </w:tblGrid>
      <w:tr w14:paraId="4EAB05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7" w:hRule="atLeast"/>
        </w:trPr>
        <w:tc>
          <w:tcPr>
            <w:tcW w:w="396" w:type="pct"/>
            <w:noWrap w:val="0"/>
            <w:textDirection w:val="tbRlV"/>
            <w:vAlign w:val="center"/>
          </w:tcPr>
          <w:p w14:paraId="53A9EE1A">
            <w:pPr>
              <w:pStyle w:val="26"/>
              <w:keepNext w:val="0"/>
              <w:keepLines w:val="0"/>
              <w:pageBreakBefore w:val="0"/>
              <w:widowControl w:val="0"/>
              <w:kinsoku/>
              <w:wordWrap/>
              <w:overflowPunct/>
              <w:topLinePunct w:val="0"/>
              <w:autoSpaceDE/>
              <w:autoSpaceDN/>
              <w:bidi w:val="0"/>
              <w:adjustRightInd/>
              <w:snapToGrid/>
              <w:spacing w:line="360" w:lineRule="exact"/>
              <w:ind w:left="224"/>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序</w:t>
            </w:r>
            <w:r>
              <w:rPr>
                <w:rFonts w:hint="eastAsia" w:ascii="宋体" w:hAnsi="宋体" w:eastAsia="宋体" w:cs="宋体"/>
                <w:color w:val="000000" w:themeColor="text1"/>
                <w:spacing w:val="45"/>
                <w:sz w:val="21"/>
                <w:szCs w:val="21"/>
                <w14:textFill>
                  <w14:solidFill>
                    <w14:schemeClr w14:val="tx1"/>
                  </w14:solidFill>
                </w14:textFill>
              </w:rPr>
              <w:t xml:space="preserve">  </w:t>
            </w:r>
            <w:r>
              <w:rPr>
                <w:rFonts w:hint="eastAsia" w:ascii="宋体" w:hAnsi="宋体" w:eastAsia="宋体" w:cs="宋体"/>
                <w:b/>
                <w:bCs/>
                <w:color w:val="000000" w:themeColor="text1"/>
                <w:spacing w:val="6"/>
                <w:sz w:val="21"/>
                <w:szCs w:val="21"/>
                <w14:textFill>
                  <w14:solidFill>
                    <w14:schemeClr w14:val="tx1"/>
                  </w14:solidFill>
                </w14:textFill>
              </w:rPr>
              <w:t>号</w:t>
            </w:r>
          </w:p>
        </w:tc>
        <w:tc>
          <w:tcPr>
            <w:tcW w:w="1883" w:type="pct"/>
            <w:noWrap w:val="0"/>
            <w:vAlign w:val="center"/>
          </w:tcPr>
          <w:p w14:paraId="45C53FA8">
            <w:pPr>
              <w:pStyle w:val="26"/>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检查内容</w:t>
            </w:r>
          </w:p>
        </w:tc>
        <w:tc>
          <w:tcPr>
            <w:tcW w:w="1217" w:type="pct"/>
            <w:noWrap w:val="0"/>
            <w:vAlign w:val="center"/>
          </w:tcPr>
          <w:p w14:paraId="3DD5C02F">
            <w:pPr>
              <w:pStyle w:val="26"/>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依据标准</w:t>
            </w:r>
          </w:p>
        </w:tc>
        <w:tc>
          <w:tcPr>
            <w:tcW w:w="1013" w:type="pct"/>
            <w:noWrap w:val="0"/>
            <w:vAlign w:val="center"/>
          </w:tcPr>
          <w:p w14:paraId="00796C6E">
            <w:pPr>
              <w:pStyle w:val="26"/>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检查情况</w:t>
            </w:r>
          </w:p>
        </w:tc>
        <w:tc>
          <w:tcPr>
            <w:tcW w:w="488" w:type="pct"/>
            <w:noWrap w:val="0"/>
            <w:vAlign w:val="center"/>
          </w:tcPr>
          <w:p w14:paraId="0BF69E3C">
            <w:pPr>
              <w:pStyle w:val="26"/>
              <w:keepNext w:val="0"/>
              <w:keepLines w:val="0"/>
              <w:pageBreakBefore w:val="0"/>
              <w:widowControl w:val="0"/>
              <w:kinsoku/>
              <w:wordWrap/>
              <w:overflowPunct/>
              <w:topLinePunct w:val="0"/>
              <w:autoSpaceDE/>
              <w:autoSpaceDN/>
              <w:bidi w:val="0"/>
              <w:adjustRightInd/>
              <w:snapToGrid/>
              <w:spacing w:line="360" w:lineRule="exact"/>
              <w:ind w:left="158" w:right="147" w:hanging="5"/>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3"/>
                <w:sz w:val="21"/>
                <w:szCs w:val="21"/>
                <w14:textFill>
                  <w14:solidFill>
                    <w14:schemeClr w14:val="tx1"/>
                  </w14:solidFill>
                </w14:textFill>
              </w:rPr>
              <w:t>检查</w:t>
            </w:r>
            <w:r>
              <w:rPr>
                <w:rFonts w:hint="eastAsia" w:ascii="宋体" w:hAnsi="宋体" w:eastAsia="宋体" w:cs="宋体"/>
                <w:color w:val="000000" w:themeColor="text1"/>
                <w:sz w:val="21"/>
                <w:szCs w:val="21"/>
                <w14:textFill>
                  <w14:solidFill>
                    <w14:schemeClr w14:val="tx1"/>
                  </w14:solidFill>
                </w14:textFill>
              </w:rPr>
              <w:t xml:space="preserve"> </w:t>
            </w:r>
            <w:r>
              <w:rPr>
                <w:rFonts w:hint="eastAsia" w:ascii="宋体" w:hAnsi="宋体" w:eastAsia="宋体" w:cs="宋体"/>
                <w:b/>
                <w:bCs/>
                <w:color w:val="000000" w:themeColor="text1"/>
                <w:spacing w:val="1"/>
                <w:sz w:val="21"/>
                <w:szCs w:val="21"/>
                <w14:textFill>
                  <w14:solidFill>
                    <w14:schemeClr w14:val="tx1"/>
                  </w14:solidFill>
                </w14:textFill>
              </w:rPr>
              <w:t>结果</w:t>
            </w:r>
          </w:p>
        </w:tc>
      </w:tr>
      <w:tr w14:paraId="0033C4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5" w:hRule="atLeast"/>
        </w:trPr>
        <w:tc>
          <w:tcPr>
            <w:tcW w:w="396" w:type="pct"/>
            <w:noWrap w:val="0"/>
            <w:vAlign w:val="top"/>
          </w:tcPr>
          <w:p w14:paraId="07D751E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3964266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41B57320">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1883" w:type="pct"/>
            <w:noWrap w:val="0"/>
            <w:vAlign w:val="top"/>
          </w:tcPr>
          <w:p w14:paraId="04BEB37B">
            <w:pPr>
              <w:pStyle w:val="26"/>
              <w:keepNext w:val="0"/>
              <w:keepLines w:val="0"/>
              <w:pageBreakBefore w:val="0"/>
              <w:widowControl w:val="0"/>
              <w:kinsoku/>
              <w:wordWrap/>
              <w:overflowPunct/>
              <w:topLinePunct w:val="0"/>
              <w:autoSpaceDE/>
              <w:autoSpaceDN/>
              <w:bidi w:val="0"/>
              <w:adjustRightInd/>
              <w:snapToGrid/>
              <w:spacing w:line="360" w:lineRule="exact"/>
              <w:ind w:left="113" w:right="105"/>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光伏电站宜设置安全防护设施，该设施</w:t>
            </w:r>
            <w:r>
              <w:rPr>
                <w:rFonts w:hint="eastAsia" w:ascii="宋体" w:hAnsi="宋体" w:eastAsia="宋体" w:cs="宋体"/>
                <w:color w:val="000000" w:themeColor="text1"/>
                <w:spacing w:val="7"/>
                <w:sz w:val="21"/>
                <w:szCs w:val="21"/>
                <w14:textFill>
                  <w14:solidFill>
                    <w14:schemeClr w14:val="tx1"/>
                  </w14:solidFill>
                </w14:textFill>
              </w:rPr>
              <w:t>宜包括</w:t>
            </w:r>
            <w:r>
              <w:rPr>
                <w:rFonts w:hint="eastAsia" w:ascii="宋体" w:hAnsi="宋体" w:eastAsia="宋体" w:cs="宋体"/>
                <w:color w:val="000000" w:themeColor="text1"/>
                <w:spacing w:val="7"/>
                <w:sz w:val="21"/>
                <w:szCs w:val="21"/>
                <w:lang w:eastAsia="zh-CN"/>
                <w14:textFill>
                  <w14:solidFill>
                    <w14:schemeClr w14:val="tx1"/>
                  </w14:solidFill>
                </w14:textFill>
              </w:rPr>
              <w:t>：</w:t>
            </w:r>
            <w:r>
              <w:rPr>
                <w:rFonts w:hint="eastAsia" w:ascii="宋体" w:hAnsi="宋体" w:eastAsia="宋体" w:cs="宋体"/>
                <w:color w:val="000000" w:themeColor="text1"/>
                <w:spacing w:val="7"/>
                <w:sz w:val="21"/>
                <w:szCs w:val="21"/>
                <w14:textFill>
                  <w14:solidFill>
                    <w14:schemeClr w14:val="tx1"/>
                  </w14:solidFill>
                </w14:textFill>
              </w:rPr>
              <w:t>入侵报警系统、视频安防系统和出入口控制系统等，并能相互联动。</w:t>
            </w:r>
          </w:p>
        </w:tc>
        <w:tc>
          <w:tcPr>
            <w:tcW w:w="1217" w:type="pct"/>
            <w:noWrap w:val="0"/>
            <w:vAlign w:val="top"/>
          </w:tcPr>
          <w:p w14:paraId="5B6967AB">
            <w:pPr>
              <w:pStyle w:val="26"/>
              <w:keepNext w:val="0"/>
              <w:keepLines w:val="0"/>
              <w:pageBreakBefore w:val="0"/>
              <w:widowControl w:val="0"/>
              <w:kinsoku/>
              <w:wordWrap/>
              <w:overflowPunct/>
              <w:topLinePunct w:val="0"/>
              <w:autoSpaceDE/>
              <w:autoSpaceDN/>
              <w:bidi w:val="0"/>
              <w:adjustRightInd/>
              <w:snapToGrid/>
              <w:spacing w:line="360" w:lineRule="exact"/>
              <w:ind w:left="118"/>
              <w:jc w:val="center"/>
              <w:textAlignment w:val="auto"/>
              <w:rPr>
                <w:rFonts w:hint="eastAsia" w:ascii="宋体" w:hAnsi="宋体" w:eastAsia="宋体" w:cs="宋体"/>
                <w:color w:val="000000" w:themeColor="text1"/>
                <w:spacing w:val="8"/>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《光伏发电站设计</w:t>
            </w:r>
          </w:p>
          <w:p w14:paraId="035778A9">
            <w:pPr>
              <w:pStyle w:val="26"/>
              <w:keepNext w:val="0"/>
              <w:keepLines w:val="0"/>
              <w:pageBreakBefore w:val="0"/>
              <w:widowControl w:val="0"/>
              <w:kinsoku/>
              <w:wordWrap/>
              <w:overflowPunct/>
              <w:topLinePunct w:val="0"/>
              <w:autoSpaceDE/>
              <w:autoSpaceDN/>
              <w:bidi w:val="0"/>
              <w:adjustRightInd/>
              <w:snapToGrid/>
              <w:spacing w:line="360" w:lineRule="exact"/>
              <w:ind w:left="118"/>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规</w:t>
            </w:r>
            <w:r>
              <w:rPr>
                <w:rFonts w:hint="eastAsia" w:ascii="宋体" w:hAnsi="宋体" w:eastAsia="宋体" w:cs="宋体"/>
                <w:color w:val="000000" w:themeColor="text1"/>
                <w:spacing w:val="-8"/>
                <w:sz w:val="21"/>
                <w:szCs w:val="21"/>
                <w14:textFill>
                  <w14:solidFill>
                    <w14:schemeClr w14:val="tx1"/>
                  </w14:solidFill>
                </w14:textFill>
              </w:rPr>
              <w:t>范》（GB</w:t>
            </w:r>
            <w:r>
              <w:rPr>
                <w:rFonts w:hint="eastAsia" w:ascii="宋体" w:hAnsi="宋体" w:eastAsia="宋体" w:cs="宋体"/>
                <w:color w:val="000000" w:themeColor="text1"/>
                <w:spacing w:val="23"/>
                <w:sz w:val="21"/>
                <w:szCs w:val="21"/>
                <w14:textFill>
                  <w14:solidFill>
                    <w14:schemeClr w14:val="tx1"/>
                  </w14:solidFill>
                </w14:textFill>
              </w:rPr>
              <w:t xml:space="preserve"> </w:t>
            </w:r>
            <w:r>
              <w:rPr>
                <w:rFonts w:hint="eastAsia" w:ascii="宋体" w:hAnsi="宋体" w:eastAsia="宋体" w:cs="宋体"/>
                <w:color w:val="000000" w:themeColor="text1"/>
                <w:spacing w:val="-8"/>
                <w:sz w:val="21"/>
                <w:szCs w:val="21"/>
                <w14:textFill>
                  <w14:solidFill>
                    <w14:schemeClr w14:val="tx1"/>
                  </w14:solidFill>
                </w14:textFill>
              </w:rPr>
              <w:t>50797-2012）</w:t>
            </w:r>
          </w:p>
          <w:p w14:paraId="47A55E09">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2"/>
                <w:sz w:val="21"/>
                <w:szCs w:val="21"/>
                <w14:textFill>
                  <w14:solidFill>
                    <w14:schemeClr w14:val="tx1"/>
                  </w14:solidFill>
                </w14:textFill>
              </w:rPr>
              <w:t>7.3.1</w:t>
            </w:r>
          </w:p>
        </w:tc>
        <w:tc>
          <w:tcPr>
            <w:tcW w:w="1013" w:type="pct"/>
            <w:noWrap w:val="0"/>
            <w:vAlign w:val="top"/>
          </w:tcPr>
          <w:p w14:paraId="5DF85C78">
            <w:pPr>
              <w:pStyle w:val="26"/>
              <w:keepNext w:val="0"/>
              <w:keepLines w:val="0"/>
              <w:pageBreakBefore w:val="0"/>
              <w:widowControl w:val="0"/>
              <w:kinsoku/>
              <w:wordWrap/>
              <w:overflowPunct/>
              <w:topLinePunct w:val="0"/>
              <w:autoSpaceDE/>
              <w:autoSpaceDN/>
              <w:bidi w:val="0"/>
              <w:adjustRightInd/>
              <w:snapToGrid/>
              <w:spacing w:line="360" w:lineRule="exact"/>
              <w:ind w:left="115" w:right="139" w:hanging="2"/>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场区建设有视频安防系统，并能与入侵报警系统相互联</w:t>
            </w:r>
            <w:r>
              <w:rPr>
                <w:rFonts w:hint="eastAsia" w:ascii="宋体" w:hAnsi="宋体" w:eastAsia="宋体" w:cs="宋体"/>
                <w:color w:val="000000" w:themeColor="text1"/>
                <w:sz w:val="21"/>
                <w:szCs w:val="21"/>
                <w14:textFill>
                  <w14:solidFill>
                    <w14:schemeClr w14:val="tx1"/>
                  </w14:solidFill>
                </w14:textFill>
              </w:rPr>
              <w:t>动。</w:t>
            </w:r>
          </w:p>
        </w:tc>
        <w:tc>
          <w:tcPr>
            <w:tcW w:w="488" w:type="pct"/>
            <w:noWrap w:val="0"/>
            <w:vAlign w:val="top"/>
          </w:tcPr>
          <w:p w14:paraId="1BC491C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1B398B4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19E7709C">
            <w:pPr>
              <w:pStyle w:val="26"/>
              <w:keepNext w:val="0"/>
              <w:keepLines w:val="0"/>
              <w:pageBreakBefore w:val="0"/>
              <w:widowControl w:val="0"/>
              <w:kinsoku/>
              <w:wordWrap/>
              <w:overflowPunct/>
              <w:topLinePunct w:val="0"/>
              <w:autoSpaceDE/>
              <w:autoSpaceDN/>
              <w:bidi w:val="0"/>
              <w:adjustRightInd/>
              <w:snapToGrid/>
              <w:spacing w:line="360" w:lineRule="exact"/>
              <w:ind w:left="157"/>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符合</w:t>
            </w:r>
          </w:p>
        </w:tc>
      </w:tr>
      <w:tr w14:paraId="475EC0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2" w:hRule="atLeast"/>
        </w:trPr>
        <w:tc>
          <w:tcPr>
            <w:tcW w:w="396" w:type="pct"/>
            <w:noWrap w:val="0"/>
            <w:vAlign w:val="top"/>
          </w:tcPr>
          <w:p w14:paraId="3936989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5883C40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618C26B4">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1883" w:type="pct"/>
            <w:noWrap w:val="0"/>
            <w:vAlign w:val="top"/>
          </w:tcPr>
          <w:p w14:paraId="48B7237C">
            <w:pPr>
              <w:pStyle w:val="26"/>
              <w:keepNext w:val="0"/>
              <w:keepLines w:val="0"/>
              <w:pageBreakBefore w:val="0"/>
              <w:widowControl w:val="0"/>
              <w:kinsoku/>
              <w:wordWrap/>
              <w:overflowPunct/>
              <w:topLinePunct w:val="0"/>
              <w:autoSpaceDE/>
              <w:autoSpaceDN/>
              <w:bidi w:val="0"/>
              <w:adjustRightInd/>
              <w:snapToGrid/>
              <w:spacing w:line="360" w:lineRule="exact"/>
              <w:ind w:right="295"/>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9"/>
                <w:sz w:val="21"/>
                <w:szCs w:val="21"/>
                <w14:textFill>
                  <w14:solidFill>
                    <w14:schemeClr w14:val="tx1"/>
                  </w14:solidFill>
                </w14:textFill>
              </w:rPr>
              <w:t>安装于室外的安全防护设施应采取防</w:t>
            </w:r>
            <w:r>
              <w:rPr>
                <w:rFonts w:hint="eastAsia" w:ascii="宋体" w:hAnsi="宋体" w:eastAsia="宋体" w:cs="宋体"/>
                <w:color w:val="000000" w:themeColor="text1"/>
                <w:sz w:val="21"/>
                <w:szCs w:val="21"/>
                <w14:textFill>
                  <w14:solidFill>
                    <w14:schemeClr w14:val="tx1"/>
                  </w14:solidFill>
                </w14:textFill>
              </w:rPr>
              <w:t xml:space="preserve"> </w:t>
            </w:r>
            <w:r>
              <w:rPr>
                <w:rFonts w:hint="eastAsia" w:ascii="宋体" w:hAnsi="宋体" w:eastAsia="宋体" w:cs="宋体"/>
                <w:color w:val="000000" w:themeColor="text1"/>
                <w:spacing w:val="8"/>
                <w:sz w:val="21"/>
                <w:szCs w:val="21"/>
                <w14:textFill>
                  <w14:solidFill>
                    <w14:schemeClr w14:val="tx1"/>
                  </w14:solidFill>
                </w14:textFill>
              </w:rPr>
              <w:t>雷、防尘、防雨、防冻等措施。</w:t>
            </w:r>
          </w:p>
        </w:tc>
        <w:tc>
          <w:tcPr>
            <w:tcW w:w="1217" w:type="pct"/>
            <w:noWrap w:val="0"/>
            <w:vAlign w:val="top"/>
          </w:tcPr>
          <w:p w14:paraId="7EC56B25">
            <w:pPr>
              <w:pStyle w:val="26"/>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《光伏发电站设计规</w:t>
            </w:r>
            <w:r>
              <w:rPr>
                <w:rFonts w:hint="eastAsia" w:ascii="宋体" w:hAnsi="宋体" w:eastAsia="宋体" w:cs="宋体"/>
                <w:color w:val="000000" w:themeColor="text1"/>
                <w:spacing w:val="-8"/>
                <w:sz w:val="21"/>
                <w:szCs w:val="21"/>
                <w14:textFill>
                  <w14:solidFill>
                    <w14:schemeClr w14:val="tx1"/>
                  </w14:solidFill>
                </w14:textFill>
              </w:rPr>
              <w:t>范》（GB</w:t>
            </w:r>
            <w:r>
              <w:rPr>
                <w:rFonts w:hint="eastAsia" w:ascii="宋体" w:hAnsi="宋体" w:eastAsia="宋体" w:cs="宋体"/>
                <w:color w:val="000000" w:themeColor="text1"/>
                <w:spacing w:val="23"/>
                <w:sz w:val="21"/>
                <w:szCs w:val="21"/>
                <w14:textFill>
                  <w14:solidFill>
                    <w14:schemeClr w14:val="tx1"/>
                  </w14:solidFill>
                </w14:textFill>
              </w:rPr>
              <w:t xml:space="preserve"> </w:t>
            </w:r>
            <w:r>
              <w:rPr>
                <w:rFonts w:hint="eastAsia" w:ascii="宋体" w:hAnsi="宋体" w:eastAsia="宋体" w:cs="宋体"/>
                <w:color w:val="000000" w:themeColor="text1"/>
                <w:spacing w:val="-8"/>
                <w:sz w:val="21"/>
                <w:szCs w:val="21"/>
                <w14:textFill>
                  <w14:solidFill>
                    <w14:schemeClr w14:val="tx1"/>
                  </w14:solidFill>
                </w14:textFill>
              </w:rPr>
              <w:t>50797-2012）</w:t>
            </w:r>
          </w:p>
          <w:p w14:paraId="33813212">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2"/>
                <w:sz w:val="21"/>
                <w:szCs w:val="21"/>
                <w14:textFill>
                  <w14:solidFill>
                    <w14:schemeClr w14:val="tx1"/>
                  </w14:solidFill>
                </w14:textFill>
              </w:rPr>
              <w:t>7.3.2</w:t>
            </w:r>
          </w:p>
        </w:tc>
        <w:tc>
          <w:tcPr>
            <w:tcW w:w="1013" w:type="pct"/>
            <w:noWrap w:val="0"/>
            <w:vAlign w:val="top"/>
          </w:tcPr>
          <w:p w14:paraId="13CB6D8B">
            <w:pPr>
              <w:pStyle w:val="26"/>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现场设置符合要求</w:t>
            </w:r>
          </w:p>
        </w:tc>
        <w:tc>
          <w:tcPr>
            <w:tcW w:w="488" w:type="pct"/>
            <w:noWrap w:val="0"/>
            <w:vAlign w:val="top"/>
          </w:tcPr>
          <w:p w14:paraId="0B9B05CE">
            <w:pPr>
              <w:pStyle w:val="26"/>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符合</w:t>
            </w:r>
          </w:p>
        </w:tc>
      </w:tr>
      <w:tr w14:paraId="0395F6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46" w:hRule="atLeast"/>
        </w:trPr>
        <w:tc>
          <w:tcPr>
            <w:tcW w:w="396" w:type="pct"/>
            <w:noWrap w:val="0"/>
            <w:vAlign w:val="top"/>
          </w:tcPr>
          <w:p w14:paraId="5F13BCA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176CD57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67DBAA5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42BDA32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51E95C2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1DE9A8D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4E2F274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05D7765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3D68470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00C9AAA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7B6BEDE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026570C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1E0F07F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2519021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71F2E78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3CDC778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0CD71A2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4EF3EAF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7A0DDCC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11CDF954">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1883" w:type="pct"/>
            <w:noWrap w:val="0"/>
            <w:vAlign w:val="top"/>
          </w:tcPr>
          <w:p w14:paraId="3EFF5CC4">
            <w:pPr>
              <w:pStyle w:val="26"/>
              <w:keepNext w:val="0"/>
              <w:keepLines w:val="0"/>
              <w:pageBreakBefore w:val="0"/>
              <w:widowControl w:val="0"/>
              <w:kinsoku/>
              <w:wordWrap/>
              <w:overflowPunct/>
              <w:topLinePunct w:val="0"/>
              <w:autoSpaceDE/>
              <w:autoSpaceDN/>
              <w:bidi w:val="0"/>
              <w:adjustRightInd/>
              <w:snapToGrid/>
              <w:spacing w:line="360" w:lineRule="exact"/>
              <w:ind w:left="114" w:right="295" w:hanging="2"/>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9"/>
                <w:sz w:val="21"/>
                <w:szCs w:val="21"/>
                <w14:textFill>
                  <w14:solidFill>
                    <w14:schemeClr w14:val="tx1"/>
                  </w14:solidFill>
                </w14:textFill>
              </w:rPr>
              <w:t>视频安防监控系统设计应符合下列要</w:t>
            </w:r>
            <w:r>
              <w:rPr>
                <w:rFonts w:hint="eastAsia" w:ascii="宋体" w:hAnsi="宋体" w:eastAsia="宋体" w:cs="宋体"/>
                <w:color w:val="000000" w:themeColor="text1"/>
                <w:spacing w:val="-1"/>
                <w:sz w:val="21"/>
                <w:szCs w:val="21"/>
                <w14:textFill>
                  <w14:solidFill>
                    <w14:schemeClr w14:val="tx1"/>
                  </w14:solidFill>
                </w14:textFill>
              </w:rPr>
              <w:t>求：</w:t>
            </w:r>
          </w:p>
          <w:p w14:paraId="6FE0E3C2">
            <w:pPr>
              <w:pStyle w:val="26"/>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13" w:leftChars="0" w:right="105" w:rightChars="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lang w:eastAsia="zh-CN"/>
                <w14:textFill>
                  <w14:solidFill>
                    <w14:schemeClr w14:val="tx1"/>
                  </w14:solidFill>
                </w14:textFill>
              </w:rPr>
              <w:t>（</w:t>
            </w:r>
            <w:r>
              <w:rPr>
                <w:rFonts w:hint="eastAsia" w:ascii="宋体" w:hAnsi="宋体" w:eastAsia="宋体" w:cs="宋体"/>
                <w:color w:val="000000" w:themeColor="text1"/>
                <w:spacing w:val="8"/>
                <w:sz w:val="21"/>
                <w:szCs w:val="21"/>
                <w:lang w:val="en-US" w:eastAsia="zh-CN"/>
                <w14:textFill>
                  <w14:solidFill>
                    <w14:schemeClr w14:val="tx1"/>
                  </w14:solidFill>
                </w14:textFill>
              </w:rPr>
              <w:t>1</w:t>
            </w:r>
            <w:r>
              <w:rPr>
                <w:rFonts w:hint="eastAsia" w:ascii="宋体" w:hAnsi="宋体" w:eastAsia="宋体" w:cs="宋体"/>
                <w:color w:val="000000" w:themeColor="text1"/>
                <w:spacing w:val="8"/>
                <w:sz w:val="21"/>
                <w:szCs w:val="21"/>
                <w:lang w:eastAsia="zh-CN"/>
                <w14:textFill>
                  <w14:solidFill>
                    <w14:schemeClr w14:val="tx1"/>
                  </w14:solidFill>
                </w14:textFill>
              </w:rPr>
              <w:t>）</w:t>
            </w:r>
            <w:r>
              <w:rPr>
                <w:rFonts w:hint="eastAsia" w:ascii="宋体" w:hAnsi="宋体" w:eastAsia="宋体" w:cs="宋体"/>
                <w:color w:val="000000" w:themeColor="text1"/>
                <w:spacing w:val="8"/>
                <w:sz w:val="21"/>
                <w:szCs w:val="21"/>
                <w14:textFill>
                  <w14:solidFill>
                    <w14:schemeClr w14:val="tx1"/>
                  </w14:solidFill>
                </w14:textFill>
              </w:rPr>
              <w:t>视频安防监控系统设置应符合现行</w:t>
            </w:r>
            <w:r>
              <w:rPr>
                <w:rFonts w:hint="eastAsia" w:ascii="宋体" w:hAnsi="宋体" w:eastAsia="宋体" w:cs="宋体"/>
                <w:color w:val="000000" w:themeColor="text1"/>
                <w:spacing w:val="2"/>
                <w:sz w:val="21"/>
                <w:szCs w:val="21"/>
                <w14:textFill>
                  <w14:solidFill>
                    <w14:schemeClr w14:val="tx1"/>
                  </w14:solidFill>
                </w14:textFill>
              </w:rPr>
              <w:t xml:space="preserve">  </w:t>
            </w:r>
            <w:r>
              <w:rPr>
                <w:rFonts w:hint="eastAsia" w:ascii="宋体" w:hAnsi="宋体" w:eastAsia="宋体" w:cs="宋体"/>
                <w:color w:val="000000" w:themeColor="text1"/>
                <w:spacing w:val="8"/>
                <w:sz w:val="21"/>
                <w:szCs w:val="21"/>
                <w14:textFill>
                  <w14:solidFill>
                    <w14:schemeClr w14:val="tx1"/>
                  </w14:solidFill>
                </w14:textFill>
              </w:rPr>
              <w:t>国家标准《视频安防监控系统工程设计</w:t>
            </w:r>
            <w:r>
              <w:rPr>
                <w:rFonts w:hint="eastAsia" w:ascii="宋体" w:hAnsi="宋体" w:eastAsia="宋体" w:cs="宋体"/>
                <w:color w:val="000000" w:themeColor="text1"/>
                <w:spacing w:val="1"/>
                <w:sz w:val="21"/>
                <w:szCs w:val="21"/>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规范》GB</w:t>
            </w:r>
            <w:r>
              <w:rPr>
                <w:rFonts w:hint="eastAsia" w:ascii="宋体" w:hAnsi="宋体" w:eastAsia="宋体" w:cs="宋体"/>
                <w:color w:val="000000" w:themeColor="text1"/>
                <w:spacing w:val="30"/>
                <w:sz w:val="21"/>
                <w:szCs w:val="21"/>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50395</w:t>
            </w:r>
            <w:r>
              <w:rPr>
                <w:rFonts w:hint="eastAsia" w:ascii="宋体" w:hAnsi="宋体" w:eastAsia="宋体" w:cs="宋体"/>
                <w:color w:val="000000" w:themeColor="text1"/>
                <w:spacing w:val="29"/>
                <w:w w:val="101"/>
                <w:sz w:val="21"/>
                <w:szCs w:val="21"/>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 xml:space="preserve">的规定，并应具有对图 </w:t>
            </w:r>
            <w:r>
              <w:rPr>
                <w:rFonts w:hint="eastAsia" w:ascii="宋体" w:hAnsi="宋体" w:eastAsia="宋体" w:cs="宋体"/>
                <w:color w:val="000000" w:themeColor="text1"/>
                <w:spacing w:val="8"/>
                <w:sz w:val="21"/>
                <w:szCs w:val="21"/>
                <w14:textFill>
                  <w14:solidFill>
                    <w14:schemeClr w14:val="tx1"/>
                  </w14:solidFill>
                </w14:textFill>
              </w:rPr>
              <w:t>像信号的分配、切换、存储、还原、远</w:t>
            </w:r>
            <w:r>
              <w:rPr>
                <w:rFonts w:hint="eastAsia" w:ascii="宋体" w:hAnsi="宋体" w:eastAsia="宋体" w:cs="宋体"/>
                <w:color w:val="000000" w:themeColor="text1"/>
                <w:spacing w:val="6"/>
                <w:sz w:val="21"/>
                <w:szCs w:val="21"/>
                <w14:textFill>
                  <w14:solidFill>
                    <w14:schemeClr w14:val="tx1"/>
                  </w14:solidFill>
                </w14:textFill>
              </w:rPr>
              <w:t>传等功能。</w:t>
            </w:r>
          </w:p>
          <w:p w14:paraId="5232405A">
            <w:pPr>
              <w:pStyle w:val="26"/>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13" w:leftChars="0" w:right="35" w:rightChars="0"/>
              <w:jc w:val="both"/>
              <w:textAlignment w:val="auto"/>
              <w:rPr>
                <w:rFonts w:hint="eastAsia" w:ascii="宋体" w:hAnsi="宋体" w:eastAsia="宋体" w:cs="宋体"/>
                <w:color w:val="000000" w:themeColor="text1"/>
                <w:spacing w:val="9"/>
                <w:sz w:val="21"/>
                <w:szCs w:val="21"/>
                <w14:textFill>
                  <w14:solidFill>
                    <w14:schemeClr w14:val="tx1"/>
                  </w14:solidFill>
                </w14:textFill>
              </w:rPr>
            </w:pPr>
            <w:r>
              <w:rPr>
                <w:rFonts w:hint="eastAsia" w:ascii="宋体" w:hAnsi="宋体" w:eastAsia="宋体" w:cs="宋体"/>
                <w:color w:val="000000" w:themeColor="text1"/>
                <w:spacing w:val="9"/>
                <w:sz w:val="21"/>
                <w:szCs w:val="21"/>
                <w:lang w:eastAsia="zh-CN"/>
                <w14:textFill>
                  <w14:solidFill>
                    <w14:schemeClr w14:val="tx1"/>
                  </w14:solidFill>
                </w14:textFill>
              </w:rPr>
              <w:t>（</w:t>
            </w:r>
            <w:r>
              <w:rPr>
                <w:rFonts w:hint="eastAsia" w:ascii="宋体" w:hAnsi="宋体" w:eastAsia="宋体" w:cs="宋体"/>
                <w:color w:val="000000" w:themeColor="text1"/>
                <w:spacing w:val="9"/>
                <w:sz w:val="21"/>
                <w:szCs w:val="21"/>
                <w:lang w:val="en-US" w:eastAsia="zh-CN"/>
                <w14:textFill>
                  <w14:solidFill>
                    <w14:schemeClr w14:val="tx1"/>
                  </w14:solidFill>
                </w14:textFill>
              </w:rPr>
              <w:t>2</w:t>
            </w:r>
            <w:r>
              <w:rPr>
                <w:rFonts w:hint="eastAsia" w:ascii="宋体" w:hAnsi="宋体" w:eastAsia="宋体" w:cs="宋体"/>
                <w:color w:val="000000" w:themeColor="text1"/>
                <w:spacing w:val="9"/>
                <w:sz w:val="21"/>
                <w:szCs w:val="21"/>
                <w:lang w:eastAsia="zh-CN"/>
                <w14:textFill>
                  <w14:solidFill>
                    <w14:schemeClr w14:val="tx1"/>
                  </w14:solidFill>
                </w14:textFill>
              </w:rPr>
              <w:t>）</w:t>
            </w:r>
            <w:r>
              <w:rPr>
                <w:rFonts w:hint="eastAsia" w:ascii="宋体" w:hAnsi="宋体" w:eastAsia="宋体" w:cs="宋体"/>
                <w:color w:val="000000" w:themeColor="text1"/>
                <w:spacing w:val="9"/>
                <w:sz w:val="21"/>
                <w:szCs w:val="21"/>
                <w14:textFill>
                  <w14:solidFill>
                    <w14:schemeClr w14:val="tx1"/>
                  </w14:solidFill>
                </w14:textFill>
              </w:rPr>
              <w:t>系统设计应满足监控区域有效覆盖、</w:t>
            </w:r>
            <w:r>
              <w:rPr>
                <w:rFonts w:hint="eastAsia" w:ascii="宋体" w:hAnsi="宋体" w:eastAsia="宋体" w:cs="宋体"/>
                <w:color w:val="000000" w:themeColor="text1"/>
                <w:sz w:val="21"/>
                <w:szCs w:val="21"/>
                <w14:textFill>
                  <w14:solidFill>
                    <w14:schemeClr w14:val="tx1"/>
                  </w14:solidFill>
                </w14:textFill>
              </w:rPr>
              <w:t>布局合理、图像清晰、控制有效的要求。</w:t>
            </w:r>
            <w:r>
              <w:rPr>
                <w:rFonts w:hint="eastAsia" w:ascii="宋体" w:hAnsi="宋体" w:eastAsia="宋体" w:cs="宋体"/>
                <w:color w:val="000000" w:themeColor="text1"/>
                <w:spacing w:val="9"/>
                <w:sz w:val="21"/>
                <w:szCs w:val="21"/>
                <w14:textFill>
                  <w14:solidFill>
                    <w14:schemeClr w14:val="tx1"/>
                  </w14:solidFill>
                </w14:textFill>
              </w:rPr>
              <w:t xml:space="preserve"> </w:t>
            </w:r>
          </w:p>
          <w:p w14:paraId="626D54F0">
            <w:pPr>
              <w:pStyle w:val="26"/>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13" w:leftChars="0" w:right="35" w:rightChars="0"/>
              <w:jc w:val="both"/>
              <w:textAlignment w:val="auto"/>
              <w:rPr>
                <w:rFonts w:hint="eastAsia" w:ascii="宋体" w:hAnsi="宋体" w:eastAsia="宋体" w:cs="宋体"/>
                <w:color w:val="000000" w:themeColor="text1"/>
                <w:spacing w:val="9"/>
                <w:sz w:val="21"/>
                <w:szCs w:val="21"/>
                <w14:textFill>
                  <w14:solidFill>
                    <w14:schemeClr w14:val="tx1"/>
                  </w14:solidFill>
                </w14:textFill>
              </w:rPr>
            </w:pPr>
            <w:r>
              <w:rPr>
                <w:rFonts w:hint="eastAsia" w:ascii="宋体" w:hAnsi="宋体" w:eastAsia="宋体" w:cs="宋体"/>
                <w:color w:val="000000" w:themeColor="text1"/>
                <w:spacing w:val="5"/>
                <w:sz w:val="21"/>
                <w:szCs w:val="21"/>
                <w:lang w:eastAsia="zh-CN"/>
                <w14:textFill>
                  <w14:solidFill>
                    <w14:schemeClr w14:val="tx1"/>
                  </w14:solidFill>
                </w14:textFill>
              </w:rPr>
              <w:t>（</w:t>
            </w:r>
            <w:r>
              <w:rPr>
                <w:rFonts w:hint="eastAsia" w:ascii="宋体" w:hAnsi="宋体" w:eastAsia="宋体" w:cs="宋体"/>
                <w:color w:val="000000" w:themeColor="text1"/>
                <w:spacing w:val="5"/>
                <w:sz w:val="21"/>
                <w:szCs w:val="21"/>
                <w:lang w:val="en-US" w:eastAsia="zh-CN"/>
                <w14:textFill>
                  <w14:solidFill>
                    <w14:schemeClr w14:val="tx1"/>
                  </w14:solidFill>
                </w14:textFill>
              </w:rPr>
              <w:t>3</w:t>
            </w:r>
            <w:r>
              <w:rPr>
                <w:rFonts w:hint="eastAsia" w:ascii="宋体" w:hAnsi="宋体" w:eastAsia="宋体" w:cs="宋体"/>
                <w:color w:val="000000" w:themeColor="text1"/>
                <w:spacing w:val="5"/>
                <w:sz w:val="21"/>
                <w:szCs w:val="21"/>
                <w:lang w:eastAsia="zh-CN"/>
                <w14:textFill>
                  <w14:solidFill>
                    <w14:schemeClr w14:val="tx1"/>
                  </w14:solidFill>
                </w14:textFill>
              </w:rPr>
              <w:t>）</w:t>
            </w:r>
            <w:r>
              <w:rPr>
                <w:rFonts w:hint="eastAsia" w:ascii="宋体" w:hAnsi="宋体" w:eastAsia="宋体" w:cs="宋体"/>
                <w:color w:val="000000" w:themeColor="text1"/>
                <w:spacing w:val="5"/>
                <w:sz w:val="21"/>
                <w:szCs w:val="21"/>
                <w14:textFill>
                  <w14:solidFill>
                    <w14:schemeClr w14:val="tx1"/>
                  </w14:solidFill>
                </w14:textFill>
              </w:rPr>
              <w:t>视频监控系统宜与灯光系统联动。监</w:t>
            </w:r>
            <w:r>
              <w:rPr>
                <w:rFonts w:hint="eastAsia" w:ascii="宋体" w:hAnsi="宋体" w:eastAsia="宋体" w:cs="宋体"/>
                <w:color w:val="000000" w:themeColor="text1"/>
                <w:spacing w:val="10"/>
                <w:sz w:val="21"/>
                <w:szCs w:val="21"/>
                <w14:textFill>
                  <w14:solidFill>
                    <w14:schemeClr w14:val="tx1"/>
                  </w14:solidFill>
                </w14:textFill>
              </w:rPr>
              <w:t xml:space="preserve"> </w:t>
            </w:r>
            <w:r>
              <w:rPr>
                <w:rFonts w:hint="eastAsia" w:ascii="宋体" w:hAnsi="宋体" w:eastAsia="宋体" w:cs="宋体"/>
                <w:color w:val="000000" w:themeColor="text1"/>
                <w:spacing w:val="9"/>
                <w:sz w:val="21"/>
                <w:szCs w:val="21"/>
                <w14:textFill>
                  <w14:solidFill>
                    <w14:schemeClr w14:val="tx1"/>
                  </w14:solidFill>
                </w14:textFill>
              </w:rPr>
              <w:t>视场所的最低环境照度应高于摄像机</w:t>
            </w:r>
            <w:r>
              <w:rPr>
                <w:rFonts w:hint="eastAsia" w:ascii="宋体" w:hAnsi="宋体" w:eastAsia="宋体" w:cs="宋体"/>
                <w:color w:val="000000" w:themeColor="text1"/>
                <w:spacing w:val="7"/>
                <w:sz w:val="21"/>
                <w:szCs w:val="21"/>
                <w14:textFill>
                  <w14:solidFill>
                    <w14:schemeClr w14:val="tx1"/>
                  </w14:solidFill>
                </w14:textFill>
              </w:rPr>
              <w:t>要求最低照度（灵敏度）的</w:t>
            </w:r>
            <w:r>
              <w:rPr>
                <w:rFonts w:hint="eastAsia" w:ascii="宋体" w:hAnsi="宋体" w:eastAsia="宋体" w:cs="宋体"/>
                <w:color w:val="000000" w:themeColor="text1"/>
                <w:spacing w:val="-23"/>
                <w:sz w:val="21"/>
                <w:szCs w:val="21"/>
                <w14:textFill>
                  <w14:solidFill>
                    <w14:schemeClr w14:val="tx1"/>
                  </w14:solidFill>
                </w14:textFill>
              </w:rPr>
              <w:t xml:space="preserve"> </w:t>
            </w:r>
            <w:r>
              <w:rPr>
                <w:rFonts w:hint="eastAsia" w:ascii="宋体" w:hAnsi="宋体" w:eastAsia="宋体" w:cs="宋体"/>
                <w:color w:val="000000" w:themeColor="text1"/>
                <w:spacing w:val="7"/>
                <w:sz w:val="21"/>
                <w:szCs w:val="21"/>
                <w14:textFill>
                  <w14:solidFill>
                    <w14:schemeClr w14:val="tx1"/>
                  </w14:solidFill>
                </w14:textFill>
              </w:rPr>
              <w:t>10 倍，当</w:t>
            </w:r>
            <w:r>
              <w:rPr>
                <w:rFonts w:hint="eastAsia" w:ascii="宋体" w:hAnsi="宋体" w:eastAsia="宋体" w:cs="宋体"/>
                <w:color w:val="000000" w:themeColor="text1"/>
                <w:spacing w:val="9"/>
                <w:sz w:val="21"/>
                <w:szCs w:val="21"/>
                <w14:textFill>
                  <w14:solidFill>
                    <w14:schemeClr w14:val="tx1"/>
                  </w14:solidFill>
                </w14:textFill>
              </w:rPr>
              <w:t>被监视场所照度低于所采用摄像机要</w:t>
            </w:r>
            <w:r>
              <w:rPr>
                <w:rFonts w:hint="eastAsia" w:ascii="宋体" w:hAnsi="宋体" w:eastAsia="宋体" w:cs="宋体"/>
                <w:color w:val="000000" w:themeColor="text1"/>
                <w:spacing w:val="8"/>
                <w:sz w:val="21"/>
                <w:szCs w:val="21"/>
                <w14:textFill>
                  <w14:solidFill>
                    <w14:schemeClr w14:val="tx1"/>
                  </w14:solidFill>
                </w14:textFill>
              </w:rPr>
              <w:t>求的最低照度时，应在摄像机防护罩上</w:t>
            </w:r>
            <w:r>
              <w:rPr>
                <w:rFonts w:hint="eastAsia" w:ascii="宋体" w:hAnsi="宋体" w:eastAsia="宋体" w:cs="宋体"/>
                <w:color w:val="000000" w:themeColor="text1"/>
                <w:sz w:val="21"/>
                <w:szCs w:val="21"/>
                <w14:textFill>
                  <w14:solidFill>
                    <w14:schemeClr w14:val="tx1"/>
                  </w14:solidFill>
                </w14:textFill>
              </w:rPr>
              <w:t xml:space="preserve"> 或附近加装辅助照明（应急照明）设施。</w:t>
            </w:r>
            <w:r>
              <w:rPr>
                <w:rFonts w:hint="eastAsia" w:ascii="宋体" w:hAnsi="宋体" w:eastAsia="宋体" w:cs="宋体"/>
                <w:color w:val="000000" w:themeColor="text1"/>
                <w:spacing w:val="9"/>
                <w:sz w:val="21"/>
                <w:szCs w:val="21"/>
                <w14:textFill>
                  <w14:solidFill>
                    <w14:schemeClr w14:val="tx1"/>
                  </w14:solidFill>
                </w14:textFill>
              </w:rPr>
              <w:t xml:space="preserve"> </w:t>
            </w:r>
          </w:p>
          <w:p w14:paraId="6BD7C800">
            <w:pPr>
              <w:pStyle w:val="26"/>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13" w:leftChars="0" w:right="35" w:rightChars="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(4)摄像机、解码器等宜由控制中心专线</w:t>
            </w:r>
            <w:r>
              <w:rPr>
                <w:rFonts w:hint="eastAsia" w:ascii="宋体" w:hAnsi="宋体" w:eastAsia="宋体" w:cs="宋体"/>
                <w:color w:val="000000" w:themeColor="text1"/>
                <w:spacing w:val="7"/>
                <w:sz w:val="21"/>
                <w:szCs w:val="21"/>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集中供电。距控制中心（机房）较远时，</w:t>
            </w:r>
            <w:r>
              <w:rPr>
                <w:rFonts w:hint="eastAsia" w:ascii="宋体" w:hAnsi="宋体" w:eastAsia="宋体" w:cs="宋体"/>
                <w:color w:val="000000" w:themeColor="text1"/>
                <w:spacing w:val="8"/>
                <w:sz w:val="21"/>
                <w:szCs w:val="21"/>
                <w14:textFill>
                  <w14:solidFill>
                    <w14:schemeClr w14:val="tx1"/>
                  </w14:solidFill>
                </w14:textFill>
              </w:rPr>
              <w:t>可就地供电，但控制中心应能对其进行</w:t>
            </w:r>
            <w:r>
              <w:rPr>
                <w:rFonts w:hint="eastAsia" w:ascii="宋体" w:hAnsi="宋体" w:eastAsia="宋体" w:cs="宋体"/>
                <w:color w:val="000000" w:themeColor="text1"/>
                <w:spacing w:val="5"/>
                <w:sz w:val="21"/>
                <w:szCs w:val="21"/>
                <w14:textFill>
                  <w14:solidFill>
                    <w14:schemeClr w14:val="tx1"/>
                  </w14:solidFill>
                </w14:textFill>
              </w:rPr>
              <w:t>开关控制。</w:t>
            </w:r>
          </w:p>
        </w:tc>
        <w:tc>
          <w:tcPr>
            <w:tcW w:w="1217" w:type="pct"/>
            <w:noWrap w:val="0"/>
            <w:vAlign w:val="top"/>
          </w:tcPr>
          <w:p w14:paraId="4C7D3C5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70129A7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423D49A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7786B37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2301AD9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52A30C7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3182314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3ACF2CC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1CFA91F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29224F9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75892F40">
            <w:pPr>
              <w:pStyle w:val="26"/>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《光伏发电站设计规</w:t>
            </w:r>
            <w:r>
              <w:rPr>
                <w:rFonts w:hint="eastAsia" w:ascii="宋体" w:hAnsi="宋体" w:eastAsia="宋体" w:cs="宋体"/>
                <w:color w:val="000000" w:themeColor="text1"/>
                <w:spacing w:val="-8"/>
                <w:sz w:val="21"/>
                <w:szCs w:val="21"/>
                <w14:textFill>
                  <w14:solidFill>
                    <w14:schemeClr w14:val="tx1"/>
                  </w14:solidFill>
                </w14:textFill>
              </w:rPr>
              <w:t>范》（GB</w:t>
            </w:r>
            <w:r>
              <w:rPr>
                <w:rFonts w:hint="eastAsia" w:ascii="宋体" w:hAnsi="宋体" w:eastAsia="宋体" w:cs="宋体"/>
                <w:color w:val="000000" w:themeColor="text1"/>
                <w:spacing w:val="23"/>
                <w:sz w:val="21"/>
                <w:szCs w:val="21"/>
                <w14:textFill>
                  <w14:solidFill>
                    <w14:schemeClr w14:val="tx1"/>
                  </w14:solidFill>
                </w14:textFill>
              </w:rPr>
              <w:t xml:space="preserve"> </w:t>
            </w:r>
            <w:r>
              <w:rPr>
                <w:rFonts w:hint="eastAsia" w:ascii="宋体" w:hAnsi="宋体" w:eastAsia="宋体" w:cs="宋体"/>
                <w:color w:val="000000" w:themeColor="text1"/>
                <w:spacing w:val="-8"/>
                <w:sz w:val="21"/>
                <w:szCs w:val="21"/>
                <w14:textFill>
                  <w14:solidFill>
                    <w14:schemeClr w14:val="tx1"/>
                  </w14:solidFill>
                </w14:textFill>
              </w:rPr>
              <w:t>50797-2012）</w:t>
            </w:r>
          </w:p>
          <w:p w14:paraId="718AB338">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2"/>
                <w:sz w:val="21"/>
                <w:szCs w:val="21"/>
                <w14:textFill>
                  <w14:solidFill>
                    <w14:schemeClr w14:val="tx1"/>
                  </w14:solidFill>
                </w14:textFill>
              </w:rPr>
              <w:t>7.3.4</w:t>
            </w:r>
          </w:p>
        </w:tc>
        <w:tc>
          <w:tcPr>
            <w:tcW w:w="1013" w:type="pct"/>
            <w:noWrap w:val="0"/>
            <w:vAlign w:val="top"/>
          </w:tcPr>
          <w:p w14:paraId="38D96291">
            <w:pPr>
              <w:pStyle w:val="26"/>
              <w:keepNext w:val="0"/>
              <w:keepLines w:val="0"/>
              <w:pageBreakBefore w:val="0"/>
              <w:widowControl w:val="0"/>
              <w:kinsoku/>
              <w:wordWrap/>
              <w:overflowPunct/>
              <w:topLinePunct w:val="0"/>
              <w:autoSpaceDE/>
              <w:autoSpaceDN/>
              <w:bidi w:val="0"/>
              <w:adjustRightInd/>
              <w:snapToGrid/>
              <w:spacing w:line="360" w:lineRule="exact"/>
              <w:ind w:right="123"/>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视频安防监控系统</w:t>
            </w:r>
            <w:r>
              <w:rPr>
                <w:rFonts w:hint="eastAsia" w:ascii="宋体" w:hAnsi="宋体" w:eastAsia="宋体" w:cs="宋体"/>
                <w:color w:val="000000" w:themeColor="text1"/>
                <w:spacing w:val="9"/>
                <w:sz w:val="21"/>
                <w:szCs w:val="21"/>
                <w14:textFill>
                  <w14:solidFill>
                    <w14:schemeClr w14:val="tx1"/>
                  </w14:solidFill>
                </w14:textFill>
              </w:rPr>
              <w:t>设置具有对图像信</w:t>
            </w:r>
            <w:r>
              <w:rPr>
                <w:rFonts w:hint="eastAsia" w:ascii="宋体" w:hAnsi="宋体" w:eastAsia="宋体" w:cs="宋体"/>
                <w:color w:val="000000" w:themeColor="text1"/>
                <w:spacing w:val="11"/>
                <w:sz w:val="21"/>
                <w:szCs w:val="21"/>
                <w14:textFill>
                  <w14:solidFill>
                    <w14:schemeClr w14:val="tx1"/>
                  </w14:solidFill>
                </w14:textFill>
              </w:rPr>
              <w:t>号的分配、切换、</w:t>
            </w:r>
            <w:r>
              <w:rPr>
                <w:rFonts w:hint="eastAsia" w:ascii="宋体" w:hAnsi="宋体" w:eastAsia="宋体" w:cs="宋体"/>
                <w:color w:val="000000" w:themeColor="text1"/>
                <w:spacing w:val="9"/>
                <w:sz w:val="21"/>
                <w:szCs w:val="21"/>
                <w14:textFill>
                  <w14:solidFill>
                    <w14:schemeClr w14:val="tx1"/>
                  </w14:solidFill>
                </w14:textFill>
              </w:rPr>
              <w:t>存储、还原</w:t>
            </w:r>
            <w:r>
              <w:rPr>
                <w:rFonts w:hint="eastAsia" w:cs="宋体"/>
                <w:color w:val="000000" w:themeColor="text1"/>
                <w:spacing w:val="9"/>
                <w:sz w:val="21"/>
                <w:szCs w:val="21"/>
                <w:lang w:eastAsia="zh-CN"/>
                <w14:textFill>
                  <w14:solidFill>
                    <w14:schemeClr w14:val="tx1"/>
                  </w14:solidFill>
                </w14:textFill>
              </w:rPr>
              <w:t>、</w:t>
            </w:r>
            <w:r>
              <w:rPr>
                <w:rFonts w:hint="eastAsia" w:ascii="宋体" w:hAnsi="宋体" w:eastAsia="宋体" w:cs="宋体"/>
                <w:color w:val="000000" w:themeColor="text1"/>
                <w:spacing w:val="9"/>
                <w:sz w:val="21"/>
                <w:szCs w:val="21"/>
                <w14:textFill>
                  <w14:solidFill>
                    <w14:schemeClr w14:val="tx1"/>
                  </w14:solidFill>
                </w14:textFill>
              </w:rPr>
              <w:t>远传等功能。监控区域有效覆盖、布局合理、图像清晰、控制有效。具有红外夜视功能。有现场</w:t>
            </w:r>
            <w:r>
              <w:rPr>
                <w:rFonts w:hint="eastAsia" w:ascii="宋体" w:hAnsi="宋体" w:eastAsia="宋体" w:cs="宋体"/>
                <w:color w:val="000000" w:themeColor="text1"/>
                <w:sz w:val="21"/>
                <w:szCs w:val="21"/>
                <w14:textFill>
                  <w14:solidFill>
                    <w14:schemeClr w14:val="tx1"/>
                  </w14:solidFill>
                </w14:textFill>
              </w:rPr>
              <w:t>UPS</w:t>
            </w:r>
            <w:r>
              <w:rPr>
                <w:rFonts w:hint="eastAsia" w:ascii="宋体" w:hAnsi="宋体" w:eastAsia="宋体" w:cs="宋体"/>
                <w:color w:val="000000" w:themeColor="text1"/>
                <w:spacing w:val="10"/>
                <w:sz w:val="21"/>
                <w:szCs w:val="21"/>
                <w14:textFill>
                  <w14:solidFill>
                    <w14:schemeClr w14:val="tx1"/>
                  </w14:solidFill>
                </w14:textFill>
              </w:rPr>
              <w:t>就地供电。控</w:t>
            </w:r>
            <w:r>
              <w:rPr>
                <w:rFonts w:hint="eastAsia" w:ascii="宋体" w:hAnsi="宋体" w:eastAsia="宋体" w:cs="宋体"/>
                <w:color w:val="000000" w:themeColor="text1"/>
                <w:spacing w:val="9"/>
                <w:sz w:val="21"/>
                <w:szCs w:val="21"/>
                <w14:textFill>
                  <w14:solidFill>
                    <w14:schemeClr w14:val="tx1"/>
                  </w14:solidFill>
                </w14:textFill>
              </w:rPr>
              <w:t>制中心应能对其进</w:t>
            </w:r>
            <w:r>
              <w:rPr>
                <w:rFonts w:hint="eastAsia" w:ascii="宋体" w:hAnsi="宋体" w:eastAsia="宋体" w:cs="宋体"/>
                <w:color w:val="000000" w:themeColor="text1"/>
                <w:spacing w:val="7"/>
                <w:sz w:val="21"/>
                <w:szCs w:val="21"/>
                <w14:textFill>
                  <w14:solidFill>
                    <w14:schemeClr w14:val="tx1"/>
                  </w14:solidFill>
                </w14:textFill>
              </w:rPr>
              <w:t>行开关控制。</w:t>
            </w:r>
          </w:p>
        </w:tc>
        <w:tc>
          <w:tcPr>
            <w:tcW w:w="488" w:type="pct"/>
            <w:noWrap w:val="0"/>
            <w:vAlign w:val="top"/>
          </w:tcPr>
          <w:p w14:paraId="7E478F6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r>
    </w:tbl>
    <w:p w14:paraId="513136FC">
      <w:pPr>
        <w:keepNext w:val="0"/>
        <w:keepLines w:val="0"/>
        <w:pageBreakBefore w:val="0"/>
        <w:widowControl w:val="0"/>
        <w:kinsoku/>
        <w:wordWrap/>
        <w:overflowPunct/>
        <w:topLinePunct w:val="0"/>
        <w:autoSpaceDE/>
        <w:autoSpaceDN/>
        <w:bidi w:val="0"/>
        <w:adjustRightInd/>
        <w:snapToGrid/>
        <w:spacing w:line="420" w:lineRule="exact"/>
        <w:ind w:left="0" w:leftChars="0" w:firstLine="568" w:firstLineChars="200"/>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spacing w:val="2"/>
          <w:sz w:val="28"/>
          <w:szCs w:val="28"/>
          <w14:textFill>
            <w14:solidFill>
              <w14:schemeClr w14:val="tx1"/>
            </w14:solidFill>
          </w14:textFill>
        </w:rPr>
        <w:t>评价分析：针对</w:t>
      </w:r>
      <w:r>
        <w:rPr>
          <w:rFonts w:hint="eastAsia" w:ascii="宋体" w:hAnsi="宋体" w:cs="宋体"/>
          <w:color w:val="000000" w:themeColor="text1"/>
          <w:spacing w:val="2"/>
          <w:sz w:val="28"/>
          <w:szCs w:val="28"/>
          <w:lang w:val="en-US" w:eastAsia="zh-CN"/>
          <w14:textFill>
            <w14:solidFill>
              <w14:schemeClr w14:val="tx1"/>
            </w14:solidFill>
          </w14:textFill>
        </w:rPr>
        <w:t>视频安防</w:t>
      </w:r>
      <w:r>
        <w:rPr>
          <w:rFonts w:hint="eastAsia" w:ascii="宋体" w:hAnsi="宋体" w:eastAsia="宋体" w:cs="宋体"/>
          <w:color w:val="000000" w:themeColor="text1"/>
          <w:spacing w:val="2"/>
          <w:sz w:val="28"/>
          <w:szCs w:val="28"/>
          <w14:textFill>
            <w14:solidFill>
              <w14:schemeClr w14:val="tx1"/>
            </w14:solidFill>
          </w14:textFill>
        </w:rPr>
        <w:t>系统</w:t>
      </w:r>
      <w:r>
        <w:rPr>
          <w:rFonts w:hint="eastAsia" w:ascii="宋体" w:hAnsi="宋体" w:eastAsia="宋体" w:cs="宋体"/>
          <w:color w:val="000000" w:themeColor="text1"/>
          <w:spacing w:val="2"/>
          <w:sz w:val="28"/>
          <w:szCs w:val="28"/>
          <w:lang w:val="en-US" w:eastAsia="zh-CN"/>
          <w14:textFill>
            <w14:solidFill>
              <w14:schemeClr w14:val="tx1"/>
            </w14:solidFill>
          </w14:textFill>
        </w:rPr>
        <w:t>子单元</w:t>
      </w:r>
      <w:r>
        <w:rPr>
          <w:rFonts w:hint="eastAsia" w:ascii="宋体" w:hAnsi="宋体" w:eastAsia="宋体" w:cs="宋体"/>
          <w:color w:val="000000" w:themeColor="text1"/>
          <w:spacing w:val="2"/>
          <w:sz w:val="28"/>
          <w:szCs w:val="28"/>
          <w14:textFill>
            <w14:solidFill>
              <w14:schemeClr w14:val="tx1"/>
            </w14:solidFill>
          </w14:textFill>
        </w:rPr>
        <w:t>安全检查表内的</w:t>
      </w:r>
      <w:r>
        <w:rPr>
          <w:rFonts w:hint="eastAsia" w:ascii="宋体" w:hAnsi="宋体" w:cs="宋体"/>
          <w:color w:val="000000" w:themeColor="text1"/>
          <w:spacing w:val="2"/>
          <w:sz w:val="28"/>
          <w:szCs w:val="28"/>
          <w:lang w:val="en-US" w:eastAsia="zh-CN"/>
          <w14:textFill>
            <w14:solidFill>
              <w14:schemeClr w14:val="tx1"/>
            </w14:solidFill>
          </w14:textFill>
        </w:rPr>
        <w:t>3</w:t>
      </w:r>
      <w:r>
        <w:rPr>
          <w:rFonts w:hint="eastAsia" w:ascii="宋体" w:hAnsi="宋体" w:eastAsia="宋体" w:cs="宋体"/>
          <w:color w:val="000000" w:themeColor="text1"/>
          <w:spacing w:val="2"/>
          <w:sz w:val="28"/>
          <w:szCs w:val="28"/>
          <w14:textFill>
            <w14:solidFill>
              <w14:schemeClr w14:val="tx1"/>
            </w14:solidFill>
          </w14:textFill>
        </w:rPr>
        <w:t>项内容，其中</w:t>
      </w:r>
      <w:r>
        <w:rPr>
          <w:rFonts w:hint="eastAsia" w:ascii="宋体" w:hAnsi="宋体" w:cs="宋体"/>
          <w:color w:val="000000" w:themeColor="text1"/>
          <w:spacing w:val="2"/>
          <w:sz w:val="28"/>
          <w:szCs w:val="28"/>
          <w:lang w:val="en-US" w:eastAsia="zh-CN"/>
          <w14:textFill>
            <w14:solidFill>
              <w14:schemeClr w14:val="tx1"/>
            </w14:solidFill>
          </w14:textFill>
        </w:rPr>
        <w:t>3</w:t>
      </w:r>
      <w:r>
        <w:rPr>
          <w:rFonts w:hint="eastAsia" w:ascii="宋体" w:hAnsi="宋体" w:eastAsia="宋体" w:cs="宋体"/>
          <w:color w:val="000000" w:themeColor="text1"/>
          <w:spacing w:val="2"/>
          <w:sz w:val="28"/>
          <w:szCs w:val="28"/>
          <w14:textFill>
            <w14:solidFill>
              <w14:schemeClr w14:val="tx1"/>
            </w14:solidFill>
          </w14:textFill>
        </w:rPr>
        <w:t>项合格，0</w:t>
      </w:r>
      <w:r>
        <w:rPr>
          <w:rFonts w:hint="eastAsia" w:ascii="宋体" w:hAnsi="宋体" w:eastAsia="宋体" w:cs="宋体"/>
          <w:color w:val="000000" w:themeColor="text1"/>
          <w:spacing w:val="2"/>
          <w:sz w:val="28"/>
          <w:szCs w:val="28"/>
          <w:lang w:val="en-US" w:eastAsia="zh-CN"/>
          <w14:textFill>
            <w14:solidFill>
              <w14:schemeClr w14:val="tx1"/>
            </w14:solidFill>
          </w14:textFill>
        </w:rPr>
        <w:t>不合格。</w:t>
      </w:r>
    </w:p>
    <w:p w14:paraId="71971C38">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5.6.4.2子单元小结</w:t>
      </w:r>
    </w:p>
    <w:p w14:paraId="65C9B8E7">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视频安防系统子单元符合《光伏发电站设计规范》（GB 50797-2012）</w:t>
      </w:r>
      <w:r>
        <w:rPr>
          <w:rFonts w:hint="eastAsia" w:ascii="宋体" w:hAnsi="宋体" w:cs="宋体"/>
          <w:color w:val="000000" w:themeColor="text1"/>
          <w:sz w:val="28"/>
          <w:szCs w:val="28"/>
          <w:lang w:val="en-US" w:eastAsia="zh-CN"/>
          <w14:textFill>
            <w14:solidFill>
              <w14:schemeClr w14:val="tx1"/>
            </w14:solidFill>
          </w14:textFill>
        </w:rPr>
        <w:t>要求。</w:t>
      </w:r>
    </w:p>
    <w:p w14:paraId="02608154">
      <w:pPr>
        <w:pageBreakBefore w:val="0"/>
        <w:widowControl w:val="0"/>
        <w:numPr>
          <w:ilvl w:val="3"/>
          <w:numId w:val="0"/>
        </w:numPr>
        <w:tabs>
          <w:tab w:val="left" w:pos="420"/>
        </w:tabs>
        <w:kinsoku/>
        <w:wordWrap/>
        <w:overflowPunct/>
        <w:topLinePunct w:val="0"/>
        <w:autoSpaceDE/>
        <w:autoSpaceDN/>
        <w:bidi w:val="0"/>
        <w:spacing w:line="420" w:lineRule="exact"/>
        <w:ind w:leftChars="0"/>
        <w:textAlignment w:val="auto"/>
        <w:outlineLvl w:val="9"/>
        <w:rPr>
          <w:rFonts w:hint="eastAsia" w:ascii="宋体" w:hAnsi="宋体" w:eastAsia="宋体" w:cs="宋体"/>
          <w:b/>
          <w:bCs/>
          <w:color w:val="000000" w:themeColor="text1"/>
          <w:sz w:val="28"/>
          <w:szCs w:val="28"/>
          <w14:textFill>
            <w14:solidFill>
              <w14:schemeClr w14:val="tx1"/>
            </w14:solidFill>
          </w14:textFill>
        </w:rPr>
      </w:pPr>
      <w:bookmarkStart w:id="462" w:name="_Toc22298"/>
      <w:r>
        <w:rPr>
          <w:rFonts w:hint="eastAsia" w:ascii="宋体" w:hAnsi="宋体" w:eastAsia="宋体" w:cs="宋体"/>
          <w:b/>
          <w:bCs/>
          <w:color w:val="000000" w:themeColor="text1"/>
          <w:sz w:val="28"/>
          <w:szCs w:val="28"/>
          <w:lang w:val="en-US" w:eastAsia="zh-CN"/>
          <w14:textFill>
            <w14:solidFill>
              <w14:schemeClr w14:val="tx1"/>
            </w14:solidFill>
          </w14:textFill>
        </w:rPr>
        <w:t>5.6.4.3</w:t>
      </w:r>
      <w:r>
        <w:rPr>
          <w:rFonts w:hint="eastAsia" w:ascii="宋体" w:hAnsi="宋体" w:eastAsia="宋体" w:cs="宋体"/>
          <w:b/>
          <w:bCs/>
          <w:color w:val="000000" w:themeColor="text1"/>
          <w:sz w:val="28"/>
          <w:szCs w:val="28"/>
          <w14:textFill>
            <w14:solidFill>
              <w14:schemeClr w14:val="tx1"/>
            </w14:solidFill>
          </w14:textFill>
        </w:rPr>
        <w:t>单元小结</w:t>
      </w:r>
      <w:bookmarkEnd w:id="462"/>
    </w:p>
    <w:p w14:paraId="649EB67F">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光伏电站设置了相应消防器材</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光伏</w:t>
      </w:r>
      <w:r>
        <w:rPr>
          <w:rFonts w:hint="eastAsia" w:ascii="宋体" w:hAnsi="宋体" w:eastAsia="宋体" w:cs="宋体"/>
          <w:color w:val="000000" w:themeColor="text1"/>
          <w:sz w:val="28"/>
          <w:szCs w:val="28"/>
          <w14:textFill>
            <w14:solidFill>
              <w14:schemeClr w14:val="tx1"/>
            </w14:solidFill>
          </w14:textFill>
        </w:rPr>
        <w:t>场区公路等均设置了排水沟，</w:t>
      </w:r>
      <w:r>
        <w:rPr>
          <w:color w:val="000000" w:themeColor="text1"/>
          <w:spacing w:val="-1"/>
          <w:sz w:val="28"/>
          <w:szCs w:val="28"/>
          <w14:textFill>
            <w14:solidFill>
              <w14:schemeClr w14:val="tx1"/>
            </w14:solidFill>
          </w14:textFill>
        </w:rPr>
        <w:t>场区通信能够得到保障，场区设置有符合要求的视频安防系统。</w:t>
      </w:r>
    </w:p>
    <w:p w14:paraId="1926C04F">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公用工程及辅助设施验收单元符合《消防法</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建筑设计防火规范</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2018年版）</w:t>
      </w:r>
      <w:r>
        <w:rPr>
          <w:rFonts w:hint="eastAsia" w:ascii="宋体" w:hAnsi="宋体" w:eastAsia="宋体" w:cs="宋体"/>
          <w:color w:val="000000" w:themeColor="text1"/>
          <w:sz w:val="28"/>
          <w:szCs w:val="28"/>
          <w14:textFill>
            <w14:solidFill>
              <w14:schemeClr w14:val="tx1"/>
            </w14:solidFill>
          </w14:textFill>
        </w:rPr>
        <w:t>》（GB50016</w:t>
      </w:r>
      <w:r>
        <w:rPr>
          <w:rFonts w:hint="eastAsia" w:ascii="宋体" w:hAnsi="宋体" w:cs="宋体"/>
          <w:color w:val="000000" w:themeColor="text1"/>
          <w:sz w:val="28"/>
          <w:szCs w:val="28"/>
          <w:lang w:val="en-US"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2014）、《建筑灭火器配置设计规范》（GB50140-2005）</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《光伏发电站设计规范》（GB 50797-2012）</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zh-CN"/>
          <w14:textFill>
            <w14:solidFill>
              <w14:schemeClr w14:val="tx1"/>
            </w14:solidFill>
          </w14:textFill>
        </w:rPr>
        <w:t>《华能澜沧江（景洪）新能源有限公司</w:t>
      </w:r>
      <w:r>
        <w:rPr>
          <w:rFonts w:hint="eastAsia" w:ascii="宋体" w:hAnsi="宋体" w:cs="宋体"/>
          <w:color w:val="000000" w:themeColor="text1"/>
          <w:sz w:val="28"/>
          <w:szCs w:val="28"/>
          <w:lang w:val="en-US" w:eastAsia="zh-CN"/>
          <w14:textFill>
            <w14:solidFill>
              <w14:schemeClr w14:val="tx1"/>
            </w14:solidFill>
          </w14:textFill>
        </w:rPr>
        <w:t>景讷乡大寨村云盘</w:t>
      </w:r>
      <w:r>
        <w:rPr>
          <w:rFonts w:hint="eastAsia" w:ascii="宋体" w:hAnsi="宋体" w:eastAsia="宋体" w:cs="宋体"/>
          <w:color w:val="000000" w:themeColor="text1"/>
          <w:sz w:val="28"/>
          <w:szCs w:val="28"/>
          <w:lang w:val="zh-CN"/>
          <w14:textFill>
            <w14:solidFill>
              <w14:schemeClr w14:val="tx1"/>
            </w14:solidFill>
          </w14:textFill>
        </w:rPr>
        <w:t>光伏电站</w:t>
      </w:r>
      <w:r>
        <w:rPr>
          <w:rFonts w:hint="eastAsia" w:ascii="宋体" w:hAnsi="宋体" w:eastAsia="宋体" w:cs="宋体"/>
          <w:color w:val="000000" w:themeColor="text1"/>
          <w:sz w:val="28"/>
          <w:szCs w:val="28"/>
          <w:lang w:val="en-US" w:eastAsia="zh-CN"/>
          <w14:textFill>
            <w14:solidFill>
              <w14:schemeClr w14:val="tx1"/>
            </w14:solidFill>
          </w14:textFill>
        </w:rPr>
        <w:t>安全设施设计</w:t>
      </w:r>
      <w:r>
        <w:rPr>
          <w:rFonts w:hint="eastAsia" w:ascii="宋体" w:hAnsi="宋体" w:eastAsia="宋体" w:cs="宋体"/>
          <w:color w:val="000000" w:themeColor="text1"/>
          <w:sz w:val="28"/>
          <w:szCs w:val="28"/>
          <w:lang w:val="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等相关要求。</w:t>
      </w:r>
    </w:p>
    <w:p w14:paraId="05AFDA70">
      <w:pPr>
        <w:pStyle w:val="3"/>
        <w:pageBreakBefore w:val="0"/>
        <w:widowControl w:val="0"/>
        <w:tabs>
          <w:tab w:val="left" w:pos="0"/>
        </w:tabs>
        <w:kinsoku/>
        <w:wordWrap/>
        <w:overflowPunct/>
        <w:topLinePunct w:val="0"/>
        <w:autoSpaceDE/>
        <w:autoSpaceDN/>
        <w:bidi w:val="0"/>
        <w:spacing w:line="420" w:lineRule="exact"/>
        <w:textAlignment w:val="auto"/>
        <w:rPr>
          <w:rFonts w:hint="eastAsia" w:ascii="宋体" w:hAnsi="宋体" w:eastAsia="宋体" w:cs="宋体"/>
          <w:color w:val="000000" w:themeColor="text1"/>
          <w:sz w:val="32"/>
          <w:szCs w:val="32"/>
          <w14:textFill>
            <w14:solidFill>
              <w14:schemeClr w14:val="tx1"/>
            </w14:solidFill>
          </w14:textFill>
        </w:rPr>
      </w:pPr>
      <w:bookmarkStart w:id="463" w:name="_Toc13927"/>
      <w:bookmarkStart w:id="464" w:name="_Toc4873"/>
      <w:bookmarkStart w:id="465" w:name="_Toc19180"/>
      <w:bookmarkStart w:id="466" w:name="_Toc19047"/>
      <w:r>
        <w:rPr>
          <w:rFonts w:hint="eastAsia" w:ascii="宋体" w:hAnsi="宋体" w:eastAsia="宋体" w:cs="宋体"/>
          <w:color w:val="000000" w:themeColor="text1"/>
          <w:sz w:val="32"/>
          <w:szCs w:val="32"/>
          <w:lang w:val="en-US" w:eastAsia="zh-CN"/>
          <w14:textFill>
            <w14:solidFill>
              <w14:schemeClr w14:val="tx1"/>
            </w14:solidFill>
          </w14:textFill>
        </w:rPr>
        <w:t>5.7</w:t>
      </w:r>
      <w:r>
        <w:rPr>
          <w:rFonts w:hint="eastAsia" w:ascii="宋体" w:hAnsi="宋体" w:eastAsia="宋体" w:cs="宋体"/>
          <w:sz w:val="32"/>
          <w:szCs w:val="32"/>
        </w:rPr>
        <w:t>重大</w:t>
      </w:r>
      <w:r>
        <w:rPr>
          <w:rFonts w:hint="eastAsia" w:ascii="宋体" w:hAnsi="宋体" w:eastAsia="宋体" w:cs="宋体"/>
          <w:sz w:val="32"/>
          <w:szCs w:val="32"/>
          <w:lang w:val="en-US" w:eastAsia="zh-CN"/>
        </w:rPr>
        <w:t>电力</w:t>
      </w:r>
      <w:r>
        <w:rPr>
          <w:rFonts w:hint="eastAsia" w:ascii="宋体" w:hAnsi="宋体" w:eastAsia="宋体" w:cs="宋体"/>
          <w:sz w:val="32"/>
          <w:szCs w:val="32"/>
        </w:rPr>
        <w:t>安全事故隐患判定单元</w:t>
      </w:r>
      <w:bookmarkEnd w:id="463"/>
    </w:p>
    <w:p w14:paraId="157538AC">
      <w:pPr>
        <w:keepLines w:val="0"/>
        <w:pageBreakBefore w:val="0"/>
        <w:widowControl w:val="0"/>
        <w:kinsoku/>
        <w:wordWrap/>
        <w:overflowPunct/>
        <w:topLinePunct w:val="0"/>
        <w:autoSpaceDE/>
        <w:autoSpaceDN/>
        <w:bidi w:val="0"/>
        <w:spacing w:line="420" w:lineRule="exact"/>
        <w:ind w:firstLine="480"/>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根据国家能源局综合司关于印发《重大电力安全隐患判定标准（试行）》的通知（国能综通安全〔2022〕123号）对本项目进行重大电力安全隐患判定。</w:t>
      </w:r>
    </w:p>
    <w:p w14:paraId="29AD71B2">
      <w:pPr>
        <w:keepLines w:val="0"/>
        <w:pageBreakBefore w:val="0"/>
        <w:widowControl w:val="0"/>
        <w:tabs>
          <w:tab w:val="left" w:pos="0"/>
        </w:tabs>
        <w:kinsoku/>
        <w:wordWrap/>
        <w:overflowPunct/>
        <w:topLinePunct w:val="0"/>
        <w:autoSpaceDE/>
        <w:autoSpaceDN/>
        <w:bidi w:val="0"/>
        <w:spacing w:line="420" w:lineRule="exact"/>
        <w:ind w:firstLine="560" w:firstLineChars="200"/>
        <w:textAlignment w:val="auto"/>
        <w:outlineLvl w:val="9"/>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auto"/>
          <w:sz w:val="28"/>
          <w:szCs w:val="28"/>
        </w:rPr>
        <w:t>根据《重大电力安全隐患判定标准（试行）》第三条，本判定标准所指电力设备设施范围为330千伏及以上电网设备设施，单机容量300兆瓦及以上的燃煤发电机组和水力发电机组、单套容量200兆瓦及以上的燃气发电机组、核电常规岛及核电厂配套输变电设施、容量300兆瓦及以上风力发电场和光伏发电站。本工程额定容量为</w:t>
      </w:r>
      <w:r>
        <w:rPr>
          <w:rFonts w:hint="eastAsia" w:ascii="宋体" w:hAnsi="宋体" w:eastAsia="宋体" w:cs="宋体"/>
          <w:b w:val="0"/>
          <w:bCs w:val="0"/>
          <w:color w:val="auto"/>
          <w:sz w:val="28"/>
          <w:szCs w:val="28"/>
          <w:lang w:val="en-US" w:eastAsia="zh-CN"/>
        </w:rPr>
        <w:t>110MW</w:t>
      </w:r>
      <w:r>
        <w:rPr>
          <w:rFonts w:hint="eastAsia" w:ascii="宋体" w:hAnsi="宋体" w:eastAsia="宋体" w:cs="宋体"/>
          <w:b w:val="0"/>
          <w:bCs w:val="0"/>
          <w:color w:val="auto"/>
          <w:sz w:val="28"/>
          <w:szCs w:val="28"/>
        </w:rPr>
        <w:t>光伏发电站，不涉及《重大电力安全隐患判定标准（试行）》的内容。</w:t>
      </w:r>
    </w:p>
    <w:p w14:paraId="694E1A63">
      <w:pPr>
        <w:pStyle w:val="40"/>
        <w:pageBreakBefore w:val="0"/>
        <w:widowControl w:val="0"/>
        <w:kinsoku/>
        <w:wordWrap/>
        <w:overflowPunct/>
        <w:topLinePunct w:val="0"/>
        <w:autoSpaceDE/>
        <w:autoSpaceDN/>
        <w:bidi w:val="0"/>
        <w:spacing w:line="420" w:lineRule="exact"/>
        <w:ind w:firstLine="0" w:firstLineChars="0"/>
        <w:jc w:val="center"/>
        <w:textAlignment w:val="auto"/>
        <w:outlineLvl w:val="9"/>
        <w:rPr>
          <w:rFonts w:hint="eastAsia" w:ascii="宋体" w:eastAsia="宋体"/>
          <w:b/>
          <w:bCs/>
          <w:color w:val="auto"/>
          <w:sz w:val="24"/>
        </w:rPr>
      </w:pPr>
      <w:r>
        <w:rPr>
          <w:rFonts w:hint="eastAsia" w:ascii="宋体" w:eastAsia="宋体"/>
          <w:b/>
          <w:bCs/>
          <w:color w:val="auto"/>
          <w:sz w:val="24"/>
          <w:szCs w:val="24"/>
        </w:rPr>
        <w:t>表5-</w:t>
      </w:r>
      <w:r>
        <w:rPr>
          <w:rFonts w:hint="eastAsia" w:ascii="宋体" w:eastAsia="宋体"/>
          <w:b/>
          <w:bCs/>
          <w:color w:val="auto"/>
          <w:sz w:val="24"/>
          <w:szCs w:val="24"/>
          <w:lang w:val="en-US" w:eastAsia="zh-CN"/>
        </w:rPr>
        <w:t>7</w:t>
      </w:r>
      <w:r>
        <w:rPr>
          <w:rFonts w:hint="eastAsia" w:ascii="宋体" w:eastAsia="宋体"/>
          <w:b/>
          <w:bCs/>
          <w:color w:val="auto"/>
          <w:sz w:val="24"/>
        </w:rPr>
        <w:t>重大电力</w:t>
      </w:r>
      <w:r>
        <w:rPr>
          <w:rFonts w:hint="eastAsia" w:ascii="宋体" w:eastAsia="宋体"/>
          <w:b/>
          <w:bCs/>
          <w:color w:val="auto"/>
          <w:sz w:val="24"/>
          <w:lang w:eastAsia="zh-CN"/>
        </w:rPr>
        <w:t>安全</w:t>
      </w:r>
      <w:r>
        <w:rPr>
          <w:rFonts w:hint="eastAsia" w:ascii="宋体" w:eastAsia="宋体"/>
          <w:b/>
          <w:bCs/>
          <w:color w:val="auto"/>
          <w:sz w:val="24"/>
        </w:rPr>
        <w:t>隐患判定标准检查表</w:t>
      </w:r>
    </w:p>
    <w:tbl>
      <w:tblPr>
        <w:tblStyle w:val="21"/>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4395"/>
        <w:gridCol w:w="1770"/>
        <w:gridCol w:w="1506"/>
        <w:gridCol w:w="744"/>
      </w:tblGrid>
      <w:tr w14:paraId="5A16D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blHeader/>
        </w:trPr>
        <w:tc>
          <w:tcPr>
            <w:tcW w:w="382" w:type="pct"/>
            <w:tcBorders>
              <w:top w:val="single" w:color="auto" w:sz="4" w:space="0"/>
              <w:left w:val="single" w:color="auto" w:sz="4" w:space="0"/>
              <w:bottom w:val="single" w:color="auto" w:sz="4" w:space="0"/>
              <w:right w:val="single" w:color="auto" w:sz="4" w:space="0"/>
            </w:tcBorders>
            <w:noWrap w:val="0"/>
            <w:vAlign w:val="center"/>
          </w:tcPr>
          <w:p w14:paraId="2875D09D">
            <w:pPr>
              <w:pageBreakBefore w:val="0"/>
              <w:widowControl w:val="0"/>
              <w:tabs>
                <w:tab w:val="left" w:pos="525"/>
              </w:tabs>
              <w:kinsoku/>
              <w:overflowPunct/>
              <w:bidi w:val="0"/>
              <w:adjustRightInd w:val="0"/>
              <w:snapToGrid w:val="0"/>
              <w:spacing w:line="420" w:lineRule="exact"/>
              <w:ind w:firstLine="0" w:firstLineChars="0"/>
              <w:jc w:val="center"/>
              <w:textAlignment w:val="auto"/>
              <w:rPr>
                <w:b/>
                <w:color w:val="auto"/>
                <w:szCs w:val="21"/>
                <w:lang w:eastAsia="en-US" w:bidi="en-US"/>
              </w:rPr>
            </w:pPr>
            <w:r>
              <w:rPr>
                <w:rFonts w:hint="eastAsia"/>
                <w:b/>
                <w:color w:val="auto"/>
                <w:szCs w:val="21"/>
              </w:rPr>
              <w:t>序号</w:t>
            </w:r>
          </w:p>
        </w:tc>
        <w:tc>
          <w:tcPr>
            <w:tcW w:w="2411" w:type="pct"/>
            <w:tcBorders>
              <w:top w:val="single" w:color="auto" w:sz="4" w:space="0"/>
              <w:left w:val="single" w:color="auto" w:sz="4" w:space="0"/>
              <w:bottom w:val="single" w:color="auto" w:sz="4" w:space="0"/>
              <w:right w:val="single" w:color="auto" w:sz="4" w:space="0"/>
            </w:tcBorders>
            <w:noWrap w:val="0"/>
            <w:vAlign w:val="center"/>
          </w:tcPr>
          <w:p w14:paraId="083119E4">
            <w:pPr>
              <w:pageBreakBefore w:val="0"/>
              <w:widowControl w:val="0"/>
              <w:tabs>
                <w:tab w:val="left" w:pos="525"/>
              </w:tabs>
              <w:kinsoku/>
              <w:overflowPunct/>
              <w:bidi w:val="0"/>
              <w:adjustRightInd w:val="0"/>
              <w:snapToGrid w:val="0"/>
              <w:spacing w:line="420" w:lineRule="exact"/>
              <w:ind w:firstLine="0" w:firstLineChars="0"/>
              <w:jc w:val="both"/>
              <w:textAlignment w:val="auto"/>
              <w:rPr>
                <w:b/>
                <w:color w:val="auto"/>
                <w:szCs w:val="21"/>
                <w:lang w:eastAsia="en-US" w:bidi="en-US"/>
              </w:rPr>
            </w:pPr>
            <w:r>
              <w:rPr>
                <w:rFonts w:hint="eastAsia"/>
                <w:b/>
                <w:color w:val="auto"/>
                <w:szCs w:val="21"/>
              </w:rPr>
              <w:t>检查内容</w:t>
            </w:r>
          </w:p>
        </w:tc>
        <w:tc>
          <w:tcPr>
            <w:tcW w:w="971" w:type="pct"/>
            <w:tcBorders>
              <w:top w:val="single" w:color="auto" w:sz="4" w:space="0"/>
              <w:left w:val="single" w:color="auto" w:sz="4" w:space="0"/>
              <w:bottom w:val="single" w:color="auto" w:sz="4" w:space="0"/>
              <w:right w:val="single" w:color="auto" w:sz="4" w:space="0"/>
            </w:tcBorders>
            <w:noWrap w:val="0"/>
            <w:vAlign w:val="center"/>
          </w:tcPr>
          <w:p w14:paraId="5ABD797C">
            <w:pPr>
              <w:pageBreakBefore w:val="0"/>
              <w:widowControl w:val="0"/>
              <w:tabs>
                <w:tab w:val="left" w:pos="525"/>
              </w:tabs>
              <w:kinsoku/>
              <w:overflowPunct/>
              <w:bidi w:val="0"/>
              <w:adjustRightInd w:val="0"/>
              <w:snapToGrid w:val="0"/>
              <w:spacing w:line="420" w:lineRule="exact"/>
              <w:ind w:firstLine="0" w:firstLineChars="0"/>
              <w:jc w:val="both"/>
              <w:textAlignment w:val="auto"/>
              <w:rPr>
                <w:b/>
                <w:color w:val="auto"/>
                <w:szCs w:val="21"/>
                <w:lang w:eastAsia="en-US" w:bidi="en-US"/>
              </w:rPr>
            </w:pPr>
            <w:r>
              <w:rPr>
                <w:rFonts w:hint="eastAsia"/>
                <w:b/>
                <w:color w:val="auto"/>
                <w:szCs w:val="21"/>
              </w:rPr>
              <w:t>依据标准</w:t>
            </w:r>
          </w:p>
        </w:tc>
        <w:tc>
          <w:tcPr>
            <w:tcW w:w="826" w:type="pct"/>
            <w:tcBorders>
              <w:top w:val="single" w:color="auto" w:sz="4" w:space="0"/>
              <w:left w:val="single" w:color="auto" w:sz="4" w:space="0"/>
              <w:bottom w:val="single" w:color="auto" w:sz="4" w:space="0"/>
              <w:right w:val="single" w:color="auto" w:sz="4" w:space="0"/>
            </w:tcBorders>
            <w:noWrap w:val="0"/>
            <w:vAlign w:val="center"/>
          </w:tcPr>
          <w:p w14:paraId="13DD9B77">
            <w:pPr>
              <w:pageBreakBefore w:val="0"/>
              <w:widowControl w:val="0"/>
              <w:tabs>
                <w:tab w:val="left" w:pos="525"/>
              </w:tabs>
              <w:kinsoku/>
              <w:overflowPunct/>
              <w:bidi w:val="0"/>
              <w:adjustRightInd w:val="0"/>
              <w:snapToGrid w:val="0"/>
              <w:spacing w:line="420" w:lineRule="exact"/>
              <w:ind w:firstLine="0" w:firstLineChars="0"/>
              <w:jc w:val="both"/>
              <w:textAlignment w:val="auto"/>
              <w:rPr>
                <w:b/>
                <w:color w:val="auto"/>
                <w:szCs w:val="21"/>
                <w:lang w:eastAsia="en-US" w:bidi="en-US"/>
              </w:rPr>
            </w:pPr>
            <w:r>
              <w:rPr>
                <w:rFonts w:hint="eastAsia"/>
                <w:b/>
                <w:color w:val="auto"/>
                <w:szCs w:val="21"/>
              </w:rPr>
              <w:t>实际情况</w:t>
            </w:r>
          </w:p>
        </w:tc>
        <w:tc>
          <w:tcPr>
            <w:tcW w:w="408" w:type="pct"/>
            <w:tcBorders>
              <w:top w:val="single" w:color="auto" w:sz="4" w:space="0"/>
              <w:left w:val="single" w:color="auto" w:sz="4" w:space="0"/>
              <w:bottom w:val="single" w:color="auto" w:sz="4" w:space="0"/>
              <w:right w:val="single" w:color="auto" w:sz="4" w:space="0"/>
            </w:tcBorders>
            <w:noWrap w:val="0"/>
            <w:vAlign w:val="center"/>
          </w:tcPr>
          <w:p w14:paraId="57C7C94D">
            <w:pPr>
              <w:pageBreakBefore w:val="0"/>
              <w:widowControl w:val="0"/>
              <w:tabs>
                <w:tab w:val="left" w:pos="525"/>
              </w:tabs>
              <w:kinsoku/>
              <w:overflowPunct/>
              <w:bidi w:val="0"/>
              <w:adjustRightInd w:val="0"/>
              <w:snapToGrid w:val="0"/>
              <w:spacing w:line="420" w:lineRule="exact"/>
              <w:ind w:firstLine="0" w:firstLineChars="0"/>
              <w:jc w:val="both"/>
              <w:textAlignment w:val="auto"/>
              <w:rPr>
                <w:b/>
                <w:color w:val="auto"/>
                <w:szCs w:val="21"/>
                <w:lang w:eastAsia="en-US" w:bidi="en-US"/>
              </w:rPr>
            </w:pPr>
            <w:r>
              <w:rPr>
                <w:rFonts w:hint="eastAsia"/>
                <w:b/>
                <w:color w:val="auto"/>
                <w:szCs w:val="21"/>
              </w:rPr>
              <w:t>结果</w:t>
            </w:r>
          </w:p>
        </w:tc>
      </w:tr>
      <w:tr w14:paraId="1F00A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82" w:type="pct"/>
            <w:tcBorders>
              <w:top w:val="single" w:color="auto" w:sz="4" w:space="0"/>
              <w:left w:val="single" w:color="auto" w:sz="4" w:space="0"/>
              <w:bottom w:val="single" w:color="auto" w:sz="4" w:space="0"/>
              <w:right w:val="single" w:color="auto" w:sz="4" w:space="0"/>
            </w:tcBorders>
            <w:noWrap w:val="0"/>
            <w:vAlign w:val="center"/>
          </w:tcPr>
          <w:p w14:paraId="1B5FD4B1">
            <w:pPr>
              <w:pageBreakBefore w:val="0"/>
              <w:widowControl w:val="0"/>
              <w:tabs>
                <w:tab w:val="left" w:pos="525"/>
              </w:tabs>
              <w:kinsoku/>
              <w:overflowPunct/>
              <w:bidi w:val="0"/>
              <w:adjustRightInd w:val="0"/>
              <w:snapToGrid w:val="0"/>
              <w:spacing w:line="420" w:lineRule="exact"/>
              <w:ind w:firstLine="0" w:firstLineChars="0"/>
              <w:jc w:val="center"/>
              <w:textAlignment w:val="auto"/>
              <w:rPr>
                <w:rFonts w:hint="eastAsia" w:eastAsia="宋体"/>
                <w:color w:val="auto"/>
                <w:szCs w:val="21"/>
                <w:lang w:val="en-US" w:eastAsia="zh-CN" w:bidi="en-US"/>
              </w:rPr>
            </w:pPr>
            <w:r>
              <w:rPr>
                <w:rFonts w:hint="eastAsia"/>
                <w:color w:val="auto"/>
                <w:szCs w:val="21"/>
                <w:lang w:val="en-US" w:eastAsia="zh-CN" w:bidi="en-US"/>
              </w:rPr>
              <w:t>1</w:t>
            </w:r>
          </w:p>
        </w:tc>
        <w:tc>
          <w:tcPr>
            <w:tcW w:w="2411" w:type="pct"/>
            <w:tcBorders>
              <w:top w:val="single" w:color="auto" w:sz="4" w:space="0"/>
              <w:left w:val="single" w:color="auto" w:sz="4" w:space="0"/>
              <w:bottom w:val="single" w:color="auto" w:sz="4" w:space="0"/>
              <w:right w:val="single" w:color="auto" w:sz="4" w:space="0"/>
            </w:tcBorders>
            <w:noWrap w:val="0"/>
            <w:vAlign w:val="center"/>
          </w:tcPr>
          <w:p w14:paraId="0316F7B3">
            <w:pPr>
              <w:pageBreakBefore w:val="0"/>
              <w:widowControl w:val="0"/>
              <w:kinsoku/>
              <w:wordWrap w:val="0"/>
              <w:overflowPunct/>
              <w:bidi w:val="0"/>
              <w:spacing w:line="420" w:lineRule="exact"/>
              <w:ind w:firstLine="0" w:firstLineChars="0"/>
              <w:textAlignment w:val="auto"/>
              <w:rPr>
                <w:rFonts w:hint="eastAsia"/>
                <w:color w:val="auto"/>
                <w:kern w:val="2"/>
                <w:sz w:val="21"/>
                <w:szCs w:val="21"/>
                <w:lang w:val="en-US" w:eastAsia="zh-CN" w:bidi="ar-SA"/>
              </w:rPr>
            </w:pPr>
            <w:r>
              <w:rPr>
                <w:rFonts w:hint="eastAsia"/>
                <w:color w:val="auto"/>
                <w:szCs w:val="21"/>
              </w:rPr>
              <w:t>本判定标准所指电力设备设施范围为330千伏及以上电网设备设施，单机容量300兆瓦及以上的燃煤发电机组和水力发电机组、单套容量200兆瓦及以上的燃气发电机组、核电常规岛及核电厂配套输变电设施、</w:t>
            </w:r>
            <w:r>
              <w:rPr>
                <w:rFonts w:hint="eastAsia"/>
                <w:color w:val="auto"/>
                <w:szCs w:val="21"/>
                <w:highlight w:val="none"/>
              </w:rPr>
              <w:t>容量300兆瓦及以上风力发电场和光伏发电站；所</w:t>
            </w:r>
            <w:r>
              <w:rPr>
                <w:rFonts w:hint="eastAsia"/>
                <w:color w:val="auto"/>
                <w:szCs w:val="21"/>
              </w:rPr>
              <w:t>指施工作业工程为《电力建设工程施工安全管理导则》（NB/T10096-2018）规定的超过一定规模的危险性较大的分部分项工程。特殊情形在具体条款中另行规定。</w:t>
            </w:r>
          </w:p>
        </w:tc>
        <w:tc>
          <w:tcPr>
            <w:tcW w:w="971" w:type="pct"/>
            <w:tcBorders>
              <w:top w:val="single" w:color="auto" w:sz="4" w:space="0"/>
              <w:left w:val="single" w:color="auto" w:sz="4" w:space="0"/>
              <w:bottom w:val="single" w:color="auto" w:sz="4" w:space="0"/>
              <w:right w:val="single" w:color="auto" w:sz="4" w:space="0"/>
            </w:tcBorders>
            <w:noWrap w:val="0"/>
            <w:vAlign w:val="center"/>
          </w:tcPr>
          <w:p w14:paraId="3FB136A3">
            <w:pPr>
              <w:pageBreakBefore w:val="0"/>
              <w:widowControl w:val="0"/>
              <w:kinsoku/>
              <w:overflowPunct/>
              <w:bidi w:val="0"/>
              <w:spacing w:line="420" w:lineRule="exact"/>
              <w:ind w:firstLine="0" w:firstLineChars="0"/>
              <w:textAlignment w:val="auto"/>
              <w:rPr>
                <w:rFonts w:hint="eastAsia"/>
                <w:color w:val="auto"/>
                <w:kern w:val="2"/>
                <w:sz w:val="21"/>
                <w:szCs w:val="21"/>
                <w:lang w:val="en-US" w:eastAsia="zh-CN" w:bidi="ar-SA"/>
              </w:rPr>
            </w:pPr>
            <w:r>
              <w:rPr>
                <w:rFonts w:hint="eastAsia"/>
                <w:color w:val="auto"/>
                <w:szCs w:val="21"/>
              </w:rPr>
              <w:t>重大电力安全隐患判定标准（试行）国能综通安全〔2022〕123号第三条</w:t>
            </w:r>
          </w:p>
        </w:tc>
        <w:tc>
          <w:tcPr>
            <w:tcW w:w="826" w:type="pct"/>
            <w:tcBorders>
              <w:top w:val="single" w:color="auto" w:sz="4" w:space="0"/>
              <w:left w:val="single" w:color="auto" w:sz="4" w:space="0"/>
              <w:bottom w:val="single" w:color="auto" w:sz="4" w:space="0"/>
              <w:right w:val="single" w:color="auto" w:sz="4" w:space="0"/>
            </w:tcBorders>
            <w:noWrap w:val="0"/>
            <w:vAlign w:val="center"/>
          </w:tcPr>
          <w:p w14:paraId="326D88CB">
            <w:pPr>
              <w:pageBreakBefore w:val="0"/>
              <w:widowControl w:val="0"/>
              <w:kinsoku/>
              <w:overflowPunct/>
              <w:bidi w:val="0"/>
              <w:spacing w:line="420" w:lineRule="exact"/>
              <w:ind w:firstLine="0" w:firstLineChars="0"/>
              <w:textAlignment w:val="auto"/>
              <w:rPr>
                <w:rFonts w:hint="eastAsia" w:ascii="宋体" w:hAnsi="宋体"/>
                <w:color w:val="auto"/>
                <w:kern w:val="2"/>
                <w:sz w:val="21"/>
                <w:szCs w:val="21"/>
                <w:lang w:val="en-US" w:eastAsia="zh-CN" w:bidi="ar-SA"/>
              </w:rPr>
            </w:pPr>
            <w:r>
              <w:rPr>
                <w:rFonts w:hint="eastAsia" w:ascii="宋体" w:hAnsi="宋体"/>
                <w:color w:val="auto"/>
                <w:szCs w:val="21"/>
              </w:rPr>
              <w:t>本光伏项目额定容量为</w:t>
            </w:r>
            <w:r>
              <w:rPr>
                <w:rFonts w:hint="eastAsia" w:ascii="宋体" w:hAnsi="宋体"/>
                <w:color w:val="auto"/>
                <w:szCs w:val="21"/>
                <w:lang w:val="en-US" w:eastAsia="zh-CN"/>
              </w:rPr>
              <w:t>110MW</w:t>
            </w:r>
            <w:r>
              <w:rPr>
                <w:rFonts w:hint="eastAsia" w:ascii="宋体" w:hAnsi="宋体"/>
                <w:color w:val="auto"/>
                <w:szCs w:val="21"/>
              </w:rPr>
              <w:t>，因此不涉及</w:t>
            </w:r>
            <w:r>
              <w:rPr>
                <w:rFonts w:hint="eastAsia"/>
                <w:color w:val="auto"/>
                <w:szCs w:val="21"/>
              </w:rPr>
              <w:t>重大电力安全隐患。</w:t>
            </w:r>
          </w:p>
        </w:tc>
        <w:tc>
          <w:tcPr>
            <w:tcW w:w="408" w:type="pct"/>
            <w:tcBorders>
              <w:top w:val="single" w:color="auto" w:sz="4" w:space="0"/>
              <w:left w:val="single" w:color="auto" w:sz="4" w:space="0"/>
              <w:bottom w:val="single" w:color="auto" w:sz="4" w:space="0"/>
              <w:right w:val="single" w:color="auto" w:sz="4" w:space="0"/>
            </w:tcBorders>
            <w:noWrap w:val="0"/>
            <w:vAlign w:val="center"/>
          </w:tcPr>
          <w:p w14:paraId="397FF8EF">
            <w:pPr>
              <w:pageBreakBefore w:val="0"/>
              <w:widowControl w:val="0"/>
              <w:kinsoku/>
              <w:overflowPunct/>
              <w:bidi w:val="0"/>
              <w:spacing w:line="420" w:lineRule="exact"/>
              <w:ind w:firstLine="0" w:firstLineChars="0"/>
              <w:jc w:val="center"/>
              <w:textAlignment w:val="auto"/>
              <w:rPr>
                <w:rFonts w:hint="eastAsia" w:eastAsia="宋体"/>
                <w:color w:val="auto"/>
                <w:kern w:val="2"/>
                <w:sz w:val="21"/>
                <w:szCs w:val="21"/>
                <w:lang w:val="en-US" w:eastAsia="zh-CN" w:bidi="ar-SA"/>
              </w:rPr>
            </w:pPr>
            <w:r>
              <w:rPr>
                <w:rFonts w:hint="eastAsia"/>
                <w:color w:val="auto"/>
                <w:szCs w:val="21"/>
                <w:lang w:val="en-US" w:eastAsia="zh-CN"/>
              </w:rPr>
              <w:t>不存在</w:t>
            </w:r>
          </w:p>
        </w:tc>
      </w:tr>
    </w:tbl>
    <w:p w14:paraId="2C715519">
      <w:pPr>
        <w:pageBreakBefore w:val="0"/>
        <w:widowControl w:val="0"/>
        <w:kinsoku/>
        <w:wordWrap/>
        <w:overflowPunct/>
        <w:topLinePunct w:val="0"/>
        <w:autoSpaceDE/>
        <w:autoSpaceDN/>
        <w:bidi w:val="0"/>
        <w:spacing w:line="420" w:lineRule="exact"/>
        <w:ind w:firstLine="48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Times New Roman"/>
          <w:color w:val="auto"/>
          <w:sz w:val="28"/>
          <w:szCs w:val="28"/>
        </w:rPr>
        <w:t>经检查本项目不存在重大电力安全隐患。</w:t>
      </w:r>
    </w:p>
    <w:p w14:paraId="0DFBF4FC">
      <w:pPr>
        <w:pStyle w:val="3"/>
        <w:pageBreakBefore w:val="0"/>
        <w:widowControl w:val="0"/>
        <w:tabs>
          <w:tab w:val="left" w:pos="0"/>
        </w:tabs>
        <w:kinsoku/>
        <w:wordWrap/>
        <w:overflowPunct/>
        <w:topLinePunct w:val="0"/>
        <w:autoSpaceDE/>
        <w:autoSpaceDN/>
        <w:bidi w:val="0"/>
        <w:spacing w:line="420" w:lineRule="exact"/>
        <w:textAlignment w:val="auto"/>
        <w:rPr>
          <w:rFonts w:hint="eastAsia" w:ascii="宋体" w:hAnsi="宋体" w:eastAsia="宋体" w:cs="宋体"/>
          <w:color w:val="000000" w:themeColor="text1"/>
          <w:sz w:val="32"/>
          <w:szCs w:val="32"/>
          <w14:textFill>
            <w14:solidFill>
              <w14:schemeClr w14:val="tx1"/>
            </w14:solidFill>
          </w14:textFill>
        </w:rPr>
      </w:pPr>
      <w:bookmarkStart w:id="467" w:name="_Toc19964"/>
      <w:r>
        <w:rPr>
          <w:rFonts w:hint="eastAsia" w:ascii="宋体" w:hAnsi="宋体" w:eastAsia="宋体" w:cs="宋体"/>
          <w:color w:val="000000" w:themeColor="text1"/>
          <w:sz w:val="32"/>
          <w:szCs w:val="32"/>
          <w:lang w:val="en-US" w:eastAsia="zh-CN"/>
          <w14:textFill>
            <w14:solidFill>
              <w14:schemeClr w14:val="tx1"/>
            </w14:solidFill>
          </w14:textFill>
        </w:rPr>
        <w:t>5.8</w:t>
      </w:r>
      <w:r>
        <w:rPr>
          <w:rFonts w:hint="eastAsia" w:ascii="宋体" w:hAnsi="宋体" w:eastAsia="宋体" w:cs="宋体"/>
          <w:color w:val="000000" w:themeColor="text1"/>
          <w:sz w:val="32"/>
          <w:szCs w:val="32"/>
          <w14:textFill>
            <w14:solidFill>
              <w14:schemeClr w14:val="tx1"/>
            </w14:solidFill>
          </w14:textFill>
        </w:rPr>
        <w:t>安全管理单元</w:t>
      </w:r>
      <w:bookmarkEnd w:id="464"/>
      <w:bookmarkEnd w:id="465"/>
      <w:bookmarkEnd w:id="466"/>
      <w:bookmarkEnd w:id="467"/>
    </w:p>
    <w:p w14:paraId="3EF06286">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468" w:name="_Toc9154"/>
      <w:bookmarkStart w:id="469" w:name="_Toc246"/>
      <w:r>
        <w:rPr>
          <w:rFonts w:hint="eastAsia" w:ascii="宋体" w:hAnsi="宋体" w:eastAsia="宋体" w:cs="宋体"/>
          <w:b/>
          <w:bCs w:val="0"/>
          <w:color w:val="000000" w:themeColor="text1"/>
          <w:sz w:val="30"/>
          <w:szCs w:val="30"/>
          <w:lang w:val="en-US" w:eastAsia="zh-CN"/>
          <w14:textFill>
            <w14:solidFill>
              <w14:schemeClr w14:val="tx1"/>
            </w14:solidFill>
          </w14:textFill>
        </w:rPr>
        <w:t>5.8.1</w:t>
      </w:r>
      <w:r>
        <w:rPr>
          <w:rFonts w:hint="eastAsia" w:ascii="宋体" w:hAnsi="宋体" w:eastAsia="宋体" w:cs="宋体"/>
          <w:b/>
          <w:bCs w:val="0"/>
          <w:color w:val="000000" w:themeColor="text1"/>
          <w:sz w:val="30"/>
          <w:szCs w:val="30"/>
          <w14:textFill>
            <w14:solidFill>
              <w14:schemeClr w14:val="tx1"/>
            </w14:solidFill>
          </w14:textFill>
        </w:rPr>
        <w:t>安全生产管理检查表</w:t>
      </w:r>
      <w:bookmarkEnd w:id="468"/>
      <w:bookmarkEnd w:id="469"/>
    </w:p>
    <w:p w14:paraId="775A1EB9">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根据《中华人民共和国安全生产法》等</w:t>
      </w:r>
      <w:r>
        <w:rPr>
          <w:rFonts w:hint="eastAsia"/>
          <w:color w:val="000000" w:themeColor="text1"/>
          <w:sz w:val="28"/>
          <w:szCs w:val="28"/>
          <w:lang w:eastAsia="zh-CN"/>
          <w14:textFill>
            <w14:solidFill>
              <w14:schemeClr w14:val="tx1"/>
            </w14:solidFill>
          </w14:textFill>
        </w:rPr>
        <w:t>法律法规</w:t>
      </w:r>
      <w:r>
        <w:rPr>
          <w:rFonts w:hint="eastAsia"/>
          <w:color w:val="000000" w:themeColor="text1"/>
          <w:sz w:val="28"/>
          <w:szCs w:val="28"/>
          <w14:textFill>
            <w14:solidFill>
              <w14:schemeClr w14:val="tx1"/>
            </w14:solidFill>
          </w14:textFill>
        </w:rPr>
        <w:t>及标准的规定，评价组对该公司安全管理组织机构、安全生产管理制度、运行规程、事故应急救援预案、特种作业人员培训及日常安全管理等安全检查。</w:t>
      </w:r>
    </w:p>
    <w:p w14:paraId="01C5379F">
      <w:pPr>
        <w:pStyle w:val="8"/>
        <w:keepNext w:val="0"/>
        <w:keepLines w:val="0"/>
        <w:pageBreakBefore w:val="0"/>
        <w:widowControl w:val="0"/>
        <w:kinsoku/>
        <w:wordWrap/>
        <w:overflowPunct/>
        <w:topLinePunct w:val="0"/>
        <w:autoSpaceDE/>
        <w:autoSpaceDN/>
        <w:bidi w:val="0"/>
        <w:spacing w:line="420" w:lineRule="exact"/>
        <w:textAlignment w:val="auto"/>
        <w:rPr>
          <w:color w:val="000000" w:themeColor="text1"/>
          <w14:textFill>
            <w14:solidFill>
              <w14:schemeClr w14:val="tx1"/>
            </w14:solidFill>
          </w14:textFill>
        </w:rPr>
      </w:pPr>
      <w:r>
        <w:rPr>
          <w:color w:val="000000" w:themeColor="text1"/>
          <w14:textFill>
            <w14:solidFill>
              <w14:schemeClr w14:val="tx1"/>
            </w14:solidFill>
          </w14:textFill>
        </w:rPr>
        <w:t xml:space="preserve">表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7</w:t>
      </w:r>
      <w:r>
        <w:rPr>
          <w:rFonts w:ascii="宋体" w:hAnsi="宋体"/>
          <w:color w:val="000000" w:themeColor="text1"/>
          <w:sz w:val="24"/>
          <w:szCs w:val="24"/>
          <w14:textFill>
            <w14:solidFill>
              <w14:schemeClr w14:val="tx1"/>
            </w14:solidFill>
          </w14:textFill>
        </w:rPr>
        <w:t>安全管理安全检查表</w:t>
      </w:r>
    </w:p>
    <w:tbl>
      <w:tblPr>
        <w:tblStyle w:val="21"/>
        <w:tblW w:w="91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4308"/>
        <w:gridCol w:w="1639"/>
        <w:gridCol w:w="1612"/>
        <w:gridCol w:w="734"/>
      </w:tblGrid>
      <w:tr w14:paraId="65FA0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24329D71">
            <w:pPr>
              <w:pStyle w:val="30"/>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序号</w:t>
            </w:r>
          </w:p>
        </w:tc>
        <w:tc>
          <w:tcPr>
            <w:tcW w:w="4308" w:type="dxa"/>
            <w:tcBorders>
              <w:top w:val="single" w:color="auto" w:sz="4" w:space="0"/>
              <w:left w:val="single" w:color="auto" w:sz="4" w:space="0"/>
              <w:bottom w:val="single" w:color="auto" w:sz="4" w:space="0"/>
              <w:right w:val="single" w:color="auto" w:sz="4" w:space="0"/>
            </w:tcBorders>
            <w:noWrap w:val="0"/>
            <w:vAlign w:val="center"/>
          </w:tcPr>
          <w:p w14:paraId="415FAC5F">
            <w:pPr>
              <w:pStyle w:val="30"/>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检查项目</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2365F09E">
            <w:pPr>
              <w:pStyle w:val="30"/>
              <w:keepNext w:val="0"/>
              <w:keepLines w:val="0"/>
              <w:pageBreakBefore w:val="0"/>
              <w:widowControl w:val="0"/>
              <w:kinsoku/>
              <w:bidi w:val="0"/>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依据标准条款</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22CFE1BF">
            <w:pPr>
              <w:pStyle w:val="30"/>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实际情况</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6AD89873">
            <w:pPr>
              <w:pStyle w:val="30"/>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检查结果</w:t>
            </w:r>
          </w:p>
        </w:tc>
      </w:tr>
      <w:tr w14:paraId="2B298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1A344275">
            <w:pPr>
              <w:pStyle w:val="30"/>
              <w:keepNext w:val="0"/>
              <w:keepLines w:val="0"/>
              <w:pageBreakBefore w:val="0"/>
              <w:widowControl w:val="0"/>
              <w:numPr>
                <w:ilvl w:val="0"/>
                <w:numId w:val="41"/>
              </w:numPr>
              <w:tabs>
                <w:tab w:val="clear" w:pos="0"/>
              </w:tabs>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0F0BBC3D">
            <w:pPr>
              <w:pStyle w:val="30"/>
              <w:keepNext w:val="0"/>
              <w:keepLines w:val="0"/>
              <w:pageBreakBefore w:val="0"/>
              <w:widowControl w:val="0"/>
              <w:kinsoku/>
              <w:bidi w:val="0"/>
              <w:ind w:left="0" w:leftChars="0" w:right="0" w:rightChars="0" w:firstLine="0" w:firstLineChars="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安全生产管理机构</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2E05B6BC">
            <w:pPr>
              <w:pStyle w:val="30"/>
              <w:keepNext w:val="0"/>
              <w:keepLines w:val="0"/>
              <w:pageBreakBefore w:val="0"/>
              <w:widowControl w:val="0"/>
              <w:kinsoku/>
              <w:bidi w:val="0"/>
              <w:rPr>
                <w:rFonts w:hint="eastAsia"/>
                <w:color w:val="000000" w:themeColor="text1"/>
                <w14:textFill>
                  <w14:solidFill>
                    <w14:schemeClr w14:val="tx1"/>
                  </w14:solidFill>
                </w14:textFill>
              </w:rPr>
            </w:pPr>
          </w:p>
        </w:tc>
        <w:tc>
          <w:tcPr>
            <w:tcW w:w="1612" w:type="dxa"/>
            <w:tcBorders>
              <w:top w:val="single" w:color="auto" w:sz="4" w:space="0"/>
              <w:left w:val="single" w:color="auto" w:sz="4" w:space="0"/>
              <w:bottom w:val="single" w:color="auto" w:sz="4" w:space="0"/>
              <w:right w:val="single" w:color="auto" w:sz="4" w:space="0"/>
            </w:tcBorders>
            <w:noWrap w:val="0"/>
            <w:vAlign w:val="center"/>
          </w:tcPr>
          <w:p w14:paraId="41F60D6A">
            <w:pPr>
              <w:pStyle w:val="30"/>
              <w:keepNext w:val="0"/>
              <w:keepLines w:val="0"/>
              <w:pageBreakBefore w:val="0"/>
              <w:widowControl w:val="0"/>
              <w:kinsoku/>
              <w:bidi w:val="0"/>
              <w:rPr>
                <w:color w:val="000000" w:themeColor="text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noWrap w:val="0"/>
            <w:vAlign w:val="center"/>
          </w:tcPr>
          <w:p w14:paraId="30AFDC0B">
            <w:pPr>
              <w:pStyle w:val="30"/>
              <w:keepNext w:val="0"/>
              <w:keepLines w:val="0"/>
              <w:pageBreakBefore w:val="0"/>
              <w:widowControl w:val="0"/>
              <w:kinsoku/>
              <w:bidi w:val="0"/>
              <w:rPr>
                <w:color w:val="000000" w:themeColor="text1"/>
                <w14:textFill>
                  <w14:solidFill>
                    <w14:schemeClr w14:val="tx1"/>
                  </w14:solidFill>
                </w14:textFill>
              </w:rPr>
            </w:pPr>
          </w:p>
        </w:tc>
      </w:tr>
      <w:tr w14:paraId="7CA64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529DC4F8">
            <w:pPr>
              <w:pStyle w:val="30"/>
              <w:keepNext w:val="0"/>
              <w:keepLines w:val="0"/>
              <w:pageBreakBefore w:val="0"/>
              <w:widowControl w:val="0"/>
              <w:numPr>
                <w:ilvl w:val="0"/>
                <w:numId w:val="42"/>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3B52CFB6">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矿山、金属冶炼、建筑施工、运输单位和危险物品的生产、经营、储存、装卸单位，应当设置安全生产管理机构或者配备专职安全生产管理人员。</w:t>
            </w:r>
          </w:p>
          <w:p w14:paraId="3D856060">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前款规定以外的其他生产经营单位，从业人员超过一百人的，应当设置安全生产管理机构或者配备专职安全生产管理人员；从业人员在一百人以下的，应当配备专职或者兼职的安全生产管理人员。</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74BD1060">
            <w:pPr>
              <w:pStyle w:val="30"/>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第二十四条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0EF7FC72">
            <w:pPr>
              <w:pStyle w:val="30"/>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本电站属前款规定以外的单位，从业人员100人以下，成立了安全生产委员会，</w:t>
            </w:r>
            <w:r>
              <w:rPr>
                <w:rFonts w:hint="eastAsia"/>
                <w:color w:val="000000" w:themeColor="text1"/>
                <w:lang w:val="en-US" w:eastAsia="zh-CN"/>
                <w14:textFill>
                  <w14:solidFill>
                    <w14:schemeClr w14:val="tx1"/>
                  </w14:solidFill>
                </w14:textFill>
              </w:rPr>
              <w:t>配备了</w:t>
            </w:r>
            <w:r>
              <w:rPr>
                <w:rFonts w:hint="eastAsia"/>
                <w:color w:val="000000" w:themeColor="text1"/>
                <w14:textFill>
                  <w14:solidFill>
                    <w14:schemeClr w14:val="tx1"/>
                  </w14:solidFill>
                </w14:textFill>
              </w:rPr>
              <w:t>兼职安全员。</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7EC9E16D">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172E3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25E561BE">
            <w:pPr>
              <w:pStyle w:val="30"/>
              <w:keepNext w:val="0"/>
              <w:keepLines w:val="0"/>
              <w:pageBreakBefore w:val="0"/>
              <w:widowControl w:val="0"/>
              <w:numPr>
                <w:ilvl w:val="0"/>
                <w:numId w:val="42"/>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4DDD38EF">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生产经营单位的安全生产管理机构以及安全生产管理人员履行下列职责</w:t>
            </w:r>
            <w:r>
              <w:rPr>
                <w:rFonts w:hint="eastAsia"/>
                <w:color w:val="000000" w:themeColor="text1"/>
                <w:lang w:eastAsia="zh-CN"/>
                <w14:textFill>
                  <w14:solidFill>
                    <w14:schemeClr w14:val="tx1"/>
                  </w14:solidFill>
                </w14:textFill>
              </w:rPr>
              <w:t>：</w:t>
            </w:r>
          </w:p>
          <w:p w14:paraId="03CC79E3">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（一）组织或者参与拟订本单位安全生产规章制度、操作规程和生产安全事故应急救援预案；</w:t>
            </w:r>
          </w:p>
          <w:p w14:paraId="3A039C4D">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（二）组织或者参与本单位安全生产教育和培训，如实记录安全生产教育和培训情况；</w:t>
            </w:r>
          </w:p>
          <w:p w14:paraId="61748757">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（三）组织开展危险源辨识和评估，督促落实本单位重大危险源的安全管理措施；</w:t>
            </w:r>
          </w:p>
          <w:p w14:paraId="61AA6DFD">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（四）组织或者参与本单位应急救援演练；</w:t>
            </w:r>
          </w:p>
          <w:p w14:paraId="50842D29">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（五）检查本单位的安全生产状况，及时排查生产安全事故隐患，提出改进安全生产管理的建议；</w:t>
            </w:r>
          </w:p>
          <w:p w14:paraId="4D91D428">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（六）制止和纠正违章指挥、强令冒险作业、违反操作规程的行为；</w:t>
            </w:r>
          </w:p>
          <w:p w14:paraId="58EB666B">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（七）督促落实本单位安全生产整改措施。</w:t>
            </w:r>
          </w:p>
          <w:p w14:paraId="7480F936">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生产经营单位可以设置专职安全生产分管负责人，协助本单位主要负责人履行安全生产管理职责。</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004785C4">
            <w:pPr>
              <w:pStyle w:val="30"/>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第二十五条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15D44747">
            <w:pPr>
              <w:pStyle w:val="30"/>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安委会、</w:t>
            </w:r>
            <w:r>
              <w:rPr>
                <w:rFonts w:hint="eastAsia"/>
                <w:color w:val="000000" w:themeColor="text1"/>
                <w:lang w:val="en-US" w:eastAsia="zh-CN"/>
                <w14:textFill>
                  <w14:solidFill>
                    <w14:schemeClr w14:val="tx1"/>
                  </w14:solidFill>
                </w14:textFill>
              </w:rPr>
              <w:t>安全生产管理人员</w:t>
            </w:r>
            <w:r>
              <w:rPr>
                <w:rFonts w:hint="eastAsia"/>
                <w:color w:val="000000" w:themeColor="text1"/>
                <w14:textFill>
                  <w14:solidFill>
                    <w14:schemeClr w14:val="tx1"/>
                  </w14:solidFill>
                </w14:textFill>
              </w:rPr>
              <w:t>履行相应职责；并完善运行规程、应急预案。</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1B2D3D31">
            <w:pPr>
              <w:pStyle w:val="30"/>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1A56C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1F96CB8A">
            <w:pPr>
              <w:pStyle w:val="30"/>
              <w:keepNext w:val="0"/>
              <w:keepLines w:val="0"/>
              <w:pageBreakBefore w:val="0"/>
              <w:widowControl w:val="0"/>
              <w:numPr>
                <w:ilvl w:val="0"/>
                <w:numId w:val="42"/>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7A9554F7">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生产经营单位的主要负责人和安全生产管理人员必须具备与本单位所从事的生产经营活动相应的安全生产知识和管理能力。</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778C0547">
            <w:pPr>
              <w:pStyle w:val="30"/>
              <w:keepNext w:val="0"/>
              <w:keepLines w:val="0"/>
              <w:pageBreakBefore w:val="0"/>
              <w:widowControl w:val="0"/>
              <w:kinsoku/>
              <w:bidi w:val="0"/>
              <w:jc w:val="both"/>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第二十</w:t>
            </w:r>
            <w:r>
              <w:rPr>
                <w:rFonts w:hint="eastAsia"/>
                <w:color w:val="000000" w:themeColor="text1"/>
                <w:lang w:val="en-US" w:eastAsia="zh-CN"/>
                <w14:textFill>
                  <w14:solidFill>
                    <w14:schemeClr w14:val="tx1"/>
                  </w14:solidFill>
                </w14:textFill>
              </w:rPr>
              <w:t>七</w:t>
            </w:r>
            <w:r>
              <w:rPr>
                <w:rFonts w:hint="eastAsia"/>
                <w:color w:val="000000" w:themeColor="text1"/>
                <w14:textFill>
                  <w14:solidFill>
                    <w14:schemeClr w14:val="tx1"/>
                  </w14:solidFill>
                </w14:textFill>
              </w:rPr>
              <w:t>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43B97EA8">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主要负责人和安全生产管理人员</w:t>
            </w:r>
            <w:r>
              <w:rPr>
                <w:rFonts w:hint="eastAsia"/>
                <w:color w:val="000000" w:themeColor="text1"/>
                <w:lang w:val="en-US" w:eastAsia="zh-CN"/>
                <w14:textFill>
                  <w14:solidFill>
                    <w14:schemeClr w14:val="tx1"/>
                  </w14:solidFill>
                </w14:textFill>
              </w:rPr>
              <w:t>取得</w:t>
            </w:r>
            <w:r>
              <w:rPr>
                <w:rFonts w:hint="eastAsia"/>
                <w:color w:val="000000" w:themeColor="text1"/>
                <w14:textFill>
                  <w14:solidFill>
                    <w14:schemeClr w14:val="tx1"/>
                  </w14:solidFill>
                </w14:textFill>
              </w:rPr>
              <w:t>安全</w:t>
            </w:r>
            <w:r>
              <w:rPr>
                <w:rFonts w:hint="eastAsia"/>
                <w:color w:val="000000" w:themeColor="text1"/>
                <w:lang w:val="en-US" w:eastAsia="zh-CN"/>
                <w14:textFill>
                  <w14:solidFill>
                    <w14:schemeClr w14:val="tx1"/>
                  </w14:solidFill>
                </w14:textFill>
              </w:rPr>
              <w:t>生产知识和</w:t>
            </w:r>
            <w:r>
              <w:rPr>
                <w:rFonts w:hint="eastAsia"/>
                <w:color w:val="000000" w:themeColor="text1"/>
                <w14:textFill>
                  <w14:solidFill>
                    <w14:schemeClr w14:val="tx1"/>
                  </w14:solidFill>
                </w14:textFill>
              </w:rPr>
              <w:t>管理</w:t>
            </w:r>
            <w:r>
              <w:rPr>
                <w:rFonts w:hint="eastAsia"/>
                <w:color w:val="000000" w:themeColor="text1"/>
                <w:lang w:val="en-US" w:eastAsia="zh-CN"/>
                <w14:textFill>
                  <w14:solidFill>
                    <w14:schemeClr w14:val="tx1"/>
                  </w14:solidFill>
                </w14:textFill>
              </w:rPr>
              <w:t>能力培训合格</w:t>
            </w:r>
            <w:r>
              <w:rPr>
                <w:rFonts w:hint="eastAsia"/>
                <w:color w:val="000000" w:themeColor="text1"/>
                <w14:textFill>
                  <w14:solidFill>
                    <w14:schemeClr w14:val="tx1"/>
                  </w14:solidFill>
                </w14:textFill>
              </w:rPr>
              <w:t>证。</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7C35ECF9">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520E5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0D434A84">
            <w:pPr>
              <w:pStyle w:val="30"/>
              <w:keepNext w:val="0"/>
              <w:keepLines w:val="0"/>
              <w:pageBreakBefore w:val="0"/>
              <w:widowControl w:val="0"/>
              <w:numPr>
                <w:ilvl w:val="0"/>
                <w:numId w:val="41"/>
              </w:numPr>
              <w:tabs>
                <w:tab w:val="clear" w:pos="0"/>
              </w:tabs>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482EA157">
            <w:pPr>
              <w:pStyle w:val="30"/>
              <w:keepNext w:val="0"/>
              <w:keepLines w:val="0"/>
              <w:pageBreakBefore w:val="0"/>
              <w:widowControl w:val="0"/>
              <w:kinsoku/>
              <w:bidi w:val="0"/>
              <w:ind w:left="0" w:leftChars="0" w:right="0" w:rightChars="0" w:firstLine="0" w:firstLineChars="0"/>
              <w:jc w:val="both"/>
              <w:rPr>
                <w:color w:val="000000" w:themeColor="text1"/>
                <w14:textFill>
                  <w14:solidFill>
                    <w14:schemeClr w14:val="tx1"/>
                  </w14:solidFill>
                </w14:textFill>
              </w:rPr>
            </w:pPr>
            <w:r>
              <w:rPr>
                <w:color w:val="000000" w:themeColor="text1"/>
                <w14:textFill>
                  <w14:solidFill>
                    <w14:schemeClr w14:val="tx1"/>
                  </w14:solidFill>
                </w14:textFill>
              </w:rPr>
              <w:t>规程和规章制度</w:t>
            </w:r>
            <w:r>
              <w:rPr>
                <w:rFonts w:hint="eastAsia"/>
                <w:color w:val="000000" w:themeColor="text1"/>
                <w14:textFill>
                  <w14:solidFill>
                    <w14:schemeClr w14:val="tx1"/>
                  </w14:solidFill>
                </w14:textFill>
              </w:rPr>
              <w:t>、安全生产责任制</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2EB0FA5C">
            <w:pPr>
              <w:pStyle w:val="30"/>
              <w:keepNext w:val="0"/>
              <w:keepLines w:val="0"/>
              <w:pageBreakBefore w:val="0"/>
              <w:widowControl w:val="0"/>
              <w:kinsoku/>
              <w:bidi w:val="0"/>
              <w:rPr>
                <w:rFonts w:hint="eastAsia"/>
                <w:color w:val="000000" w:themeColor="text1"/>
                <w14:textFill>
                  <w14:solidFill>
                    <w14:schemeClr w14:val="tx1"/>
                  </w14:solidFill>
                </w14:textFill>
              </w:rPr>
            </w:pPr>
          </w:p>
        </w:tc>
        <w:tc>
          <w:tcPr>
            <w:tcW w:w="1612" w:type="dxa"/>
            <w:tcBorders>
              <w:top w:val="single" w:color="auto" w:sz="4" w:space="0"/>
              <w:left w:val="single" w:color="auto" w:sz="4" w:space="0"/>
              <w:bottom w:val="single" w:color="auto" w:sz="4" w:space="0"/>
              <w:right w:val="single" w:color="auto" w:sz="4" w:space="0"/>
            </w:tcBorders>
            <w:noWrap w:val="0"/>
            <w:vAlign w:val="center"/>
          </w:tcPr>
          <w:p w14:paraId="22361BBB">
            <w:pPr>
              <w:pStyle w:val="30"/>
              <w:keepNext w:val="0"/>
              <w:keepLines w:val="0"/>
              <w:pageBreakBefore w:val="0"/>
              <w:widowControl w:val="0"/>
              <w:kinsoku/>
              <w:bidi w:val="0"/>
              <w:rPr>
                <w:color w:val="000000" w:themeColor="text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noWrap w:val="0"/>
            <w:vAlign w:val="center"/>
          </w:tcPr>
          <w:p w14:paraId="379926FA">
            <w:pPr>
              <w:pStyle w:val="30"/>
              <w:keepNext w:val="0"/>
              <w:keepLines w:val="0"/>
              <w:pageBreakBefore w:val="0"/>
              <w:widowControl w:val="0"/>
              <w:kinsoku/>
              <w:bidi w:val="0"/>
              <w:rPr>
                <w:color w:val="000000" w:themeColor="text1"/>
                <w14:textFill>
                  <w14:solidFill>
                    <w14:schemeClr w14:val="tx1"/>
                  </w14:solidFill>
                </w14:textFill>
              </w:rPr>
            </w:pPr>
          </w:p>
        </w:tc>
      </w:tr>
      <w:tr w14:paraId="4FA52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28D3BB69">
            <w:pPr>
              <w:pStyle w:val="30"/>
              <w:keepNext w:val="0"/>
              <w:keepLines w:val="0"/>
              <w:pageBreakBefore w:val="0"/>
              <w:widowControl w:val="0"/>
              <w:numPr>
                <w:ilvl w:val="0"/>
                <w:numId w:val="43"/>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1D7606C9">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生产经营单位的主要负责人对本单位安全生产工作负有下列职责</w:t>
            </w:r>
            <w:r>
              <w:rPr>
                <w:rFonts w:hint="eastAsia"/>
                <w:color w:val="000000" w:themeColor="text1"/>
                <w:lang w:eastAsia="zh-CN"/>
                <w14:textFill>
                  <w14:solidFill>
                    <w14:schemeClr w14:val="tx1"/>
                  </w14:solidFill>
                </w14:textFill>
              </w:rPr>
              <w:t>：</w:t>
            </w:r>
          </w:p>
          <w:p w14:paraId="1D416B60">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（一）建立健全并落实本单位全员安全生产责任制，加强安全生产标准化建设；</w:t>
            </w:r>
          </w:p>
          <w:p w14:paraId="5A14CDDA">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（二）组织制定并实施本单位安全生产规章制度和操作规程；</w:t>
            </w:r>
          </w:p>
          <w:p w14:paraId="72F6D3C6">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（三）组织制定并实施本单位安全生产教育和培训计划；</w:t>
            </w:r>
          </w:p>
          <w:p w14:paraId="09160EA3">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（四）保证本单位安全生产投入的有效实施；</w:t>
            </w:r>
          </w:p>
          <w:p w14:paraId="615D525A">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（五）组织建立并落实安全风险分级管控和隐患排查治理双重预防工作机制，督促、检查本单位的安全生产工作，及时消除生产安全事故隐患；</w:t>
            </w:r>
          </w:p>
          <w:p w14:paraId="3EA785D1">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（六）组织制定并实施本单位的生产安全事故应急救援预案；</w:t>
            </w:r>
          </w:p>
          <w:p w14:paraId="650C04F6">
            <w:pPr>
              <w:pStyle w:val="30"/>
              <w:keepNext w:val="0"/>
              <w:keepLines w:val="0"/>
              <w:pageBreakBefore w:val="0"/>
              <w:widowControl w:val="0"/>
              <w:kinsoku/>
              <w:bidi w:val="0"/>
              <w:ind w:left="0" w:leftChars="0" w:right="0" w:rightChars="0" w:firstLine="0" w:firstLineChars="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（七）及时、如实报告生产安全事故。</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57A32922">
            <w:pPr>
              <w:pStyle w:val="30"/>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第二十</w:t>
            </w:r>
            <w:r>
              <w:rPr>
                <w:rFonts w:hint="eastAsia"/>
                <w:color w:val="000000" w:themeColor="text1"/>
                <w:lang w:val="en-US" w:eastAsia="zh-CN"/>
                <w14:textFill>
                  <w14:solidFill>
                    <w14:schemeClr w14:val="tx1"/>
                  </w14:solidFill>
                </w14:textFill>
              </w:rPr>
              <w:t>一</w:t>
            </w:r>
            <w:r>
              <w:rPr>
                <w:rFonts w:hint="eastAsia"/>
                <w:color w:val="000000" w:themeColor="text1"/>
                <w14:textFill>
                  <w14:solidFill>
                    <w14:schemeClr w14:val="tx1"/>
                  </w14:solidFill>
                </w14:textFill>
              </w:rPr>
              <w:t>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0CD7F177">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电站制定了安全生产责任制度、《运行规程》，进行了安全生产教育和培训，制定了</w:t>
            </w:r>
            <w:r>
              <w:rPr>
                <w:rFonts w:hint="eastAsia"/>
                <w:color w:val="000000" w:themeColor="text1"/>
                <w:lang w:val="en-US" w:eastAsia="zh-CN"/>
                <w14:textFill>
                  <w14:solidFill>
                    <w14:schemeClr w14:val="tx1"/>
                  </w14:solidFill>
                </w14:textFill>
              </w:rPr>
              <w:t>应急救援</w:t>
            </w:r>
            <w:r>
              <w:rPr>
                <w:rFonts w:hint="eastAsia"/>
                <w:color w:val="000000" w:themeColor="text1"/>
                <w14:textFill>
                  <w14:solidFill>
                    <w14:schemeClr w14:val="tx1"/>
                  </w14:solidFill>
                </w14:textFill>
              </w:rPr>
              <w:t>预案。</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4AA5B07B">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12A9B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1DB5EF8C">
            <w:pPr>
              <w:pStyle w:val="30"/>
              <w:keepNext w:val="0"/>
              <w:keepLines w:val="0"/>
              <w:pageBreakBefore w:val="0"/>
              <w:widowControl w:val="0"/>
              <w:numPr>
                <w:ilvl w:val="0"/>
                <w:numId w:val="43"/>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5880D13C">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生产经营单位的全员安全生产责任制应当明确各岗位的责任人员、责任范围和考核标准等内容。</w:t>
            </w:r>
          </w:p>
          <w:p w14:paraId="442DA025">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生产经营单位应当建立相应的机制，加强对全员安全生产责任制落实情况的监督考核，保证全员安全生产责任制的落实。</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058C24D3">
            <w:pPr>
              <w:pStyle w:val="30"/>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第二十二条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3046A3E7">
            <w:pPr>
              <w:pStyle w:val="30"/>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制定了安全生产责任制度，明确各岗位的责任人员。</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786F58A4">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09041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7BE3E0D3">
            <w:pPr>
              <w:pStyle w:val="30"/>
              <w:keepNext w:val="0"/>
              <w:keepLines w:val="0"/>
              <w:pageBreakBefore w:val="0"/>
              <w:widowControl w:val="0"/>
              <w:numPr>
                <w:ilvl w:val="0"/>
                <w:numId w:val="41"/>
              </w:numPr>
              <w:tabs>
                <w:tab w:val="clear" w:pos="0"/>
              </w:tabs>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3728FCB2">
            <w:pPr>
              <w:pStyle w:val="30"/>
              <w:keepNext w:val="0"/>
              <w:keepLines w:val="0"/>
              <w:pageBreakBefore w:val="0"/>
              <w:widowControl w:val="0"/>
              <w:kinsoku/>
              <w:bidi w:val="0"/>
              <w:ind w:left="0" w:leftChars="0" w:right="0" w:rightChars="0" w:firstLine="0" w:firstLineChars="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教育和培训</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43989714">
            <w:pPr>
              <w:pStyle w:val="30"/>
              <w:keepNext w:val="0"/>
              <w:keepLines w:val="0"/>
              <w:pageBreakBefore w:val="0"/>
              <w:widowControl w:val="0"/>
              <w:kinsoku/>
              <w:bidi w:val="0"/>
              <w:rPr>
                <w:rFonts w:hint="eastAsia"/>
                <w:color w:val="000000" w:themeColor="text1"/>
                <w14:textFill>
                  <w14:solidFill>
                    <w14:schemeClr w14:val="tx1"/>
                  </w14:solidFill>
                </w14:textFill>
              </w:rPr>
            </w:pPr>
          </w:p>
        </w:tc>
        <w:tc>
          <w:tcPr>
            <w:tcW w:w="1612" w:type="dxa"/>
            <w:tcBorders>
              <w:top w:val="single" w:color="auto" w:sz="4" w:space="0"/>
              <w:left w:val="single" w:color="auto" w:sz="4" w:space="0"/>
              <w:bottom w:val="single" w:color="auto" w:sz="4" w:space="0"/>
              <w:right w:val="single" w:color="auto" w:sz="4" w:space="0"/>
            </w:tcBorders>
            <w:noWrap w:val="0"/>
            <w:vAlign w:val="center"/>
          </w:tcPr>
          <w:p w14:paraId="520F3B9E">
            <w:pPr>
              <w:pStyle w:val="30"/>
              <w:keepNext w:val="0"/>
              <w:keepLines w:val="0"/>
              <w:pageBreakBefore w:val="0"/>
              <w:widowControl w:val="0"/>
              <w:kinsoku/>
              <w:bidi w:val="0"/>
              <w:rPr>
                <w:color w:val="000000" w:themeColor="text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noWrap w:val="0"/>
            <w:vAlign w:val="center"/>
          </w:tcPr>
          <w:p w14:paraId="2BF0C916">
            <w:pPr>
              <w:pStyle w:val="30"/>
              <w:keepNext w:val="0"/>
              <w:keepLines w:val="0"/>
              <w:pageBreakBefore w:val="0"/>
              <w:widowControl w:val="0"/>
              <w:kinsoku/>
              <w:bidi w:val="0"/>
              <w:rPr>
                <w:color w:val="000000" w:themeColor="text1"/>
                <w14:textFill>
                  <w14:solidFill>
                    <w14:schemeClr w14:val="tx1"/>
                  </w14:solidFill>
                </w14:textFill>
              </w:rPr>
            </w:pPr>
          </w:p>
        </w:tc>
      </w:tr>
      <w:tr w14:paraId="316DA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74C0E7BC">
            <w:pPr>
              <w:pStyle w:val="30"/>
              <w:keepNext w:val="0"/>
              <w:keepLines w:val="0"/>
              <w:pageBreakBefore w:val="0"/>
              <w:widowControl w:val="0"/>
              <w:numPr>
                <w:ilvl w:val="0"/>
                <w:numId w:val="44"/>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04487474">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14:paraId="3E8B2D33">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生产经营单位接收中等职业学校、高等学校学生实习的，应当对实习学生进行相应的安全生产教育和培训，提供必要的劳动防护用品。学校应当协助生产经营单位对实习学生进行安全生产教育和培训。</w:t>
            </w:r>
          </w:p>
          <w:p w14:paraId="0AC8FF3E">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生产经营单位应当建立安全生产教育和培训档案，如实记录安全生产教育和培训的时间、内容、参加人员以及考核结果等情况。</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5E265F19">
            <w:pPr>
              <w:pStyle w:val="30"/>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第二十</w:t>
            </w:r>
            <w:r>
              <w:rPr>
                <w:rFonts w:hint="eastAsia"/>
                <w:color w:val="000000" w:themeColor="text1"/>
                <w:lang w:val="en-US" w:eastAsia="zh-CN"/>
                <w14:textFill>
                  <w14:solidFill>
                    <w14:schemeClr w14:val="tx1"/>
                  </w14:solidFill>
                </w14:textFill>
              </w:rPr>
              <w:t>八</w:t>
            </w:r>
            <w:r>
              <w:rPr>
                <w:rFonts w:hint="eastAsia"/>
                <w:color w:val="000000" w:themeColor="text1"/>
                <w14:textFill>
                  <w14:solidFill>
                    <w14:schemeClr w14:val="tx1"/>
                  </w14:solidFill>
                </w14:textFill>
              </w:rPr>
              <w:t>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688C4D27">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公司对从业人员进行了安全生产教育和培训，保证从业人员熟悉管理制度、操作规程。</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040F9FB7">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75C6E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40B11FB4">
            <w:pPr>
              <w:pStyle w:val="30"/>
              <w:keepNext w:val="0"/>
              <w:keepLines w:val="0"/>
              <w:pageBreakBefore w:val="0"/>
              <w:widowControl w:val="0"/>
              <w:numPr>
                <w:ilvl w:val="0"/>
                <w:numId w:val="44"/>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73E3E1B6">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生产经营单位的特种作业人员必须按照国家有关规定经专门的安全作业培训，取得相应资格，方可上岗作业。</w:t>
            </w:r>
          </w:p>
          <w:p w14:paraId="405C21C4">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特种作业人员的范围由国务院安全生产监督管理部门会同国务院有关部门确定。</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11582879">
            <w:pPr>
              <w:pStyle w:val="30"/>
              <w:keepNext w:val="0"/>
              <w:keepLines w:val="0"/>
              <w:pageBreakBefore w:val="0"/>
              <w:widowControl w:val="0"/>
              <w:kinsoku/>
              <w:bidi w:val="0"/>
              <w:rPr>
                <w:rFonts w:hint="default"/>
                <w:color w:val="000000" w:themeColor="text1"/>
                <w:lang w:val="en-US"/>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第三十条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3F8D88BE">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运行作业人员等取得了电工证。</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7890134A">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66E31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2B6A8C01">
            <w:pPr>
              <w:pStyle w:val="30"/>
              <w:keepNext w:val="0"/>
              <w:keepLines w:val="0"/>
              <w:pageBreakBefore w:val="0"/>
              <w:widowControl w:val="0"/>
              <w:numPr>
                <w:ilvl w:val="0"/>
                <w:numId w:val="41"/>
              </w:numPr>
              <w:tabs>
                <w:tab w:val="clear" w:pos="0"/>
              </w:tabs>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0B844B2C">
            <w:pPr>
              <w:pStyle w:val="30"/>
              <w:keepNext w:val="0"/>
              <w:keepLines w:val="0"/>
              <w:pageBreakBefore w:val="0"/>
              <w:widowControl w:val="0"/>
              <w:kinsoku/>
              <w:bidi w:val="0"/>
              <w:ind w:left="0" w:leftChars="0" w:right="0" w:rightChars="0" w:firstLine="0" w:firstLineChars="0"/>
              <w:jc w:val="both"/>
              <w:rPr>
                <w:color w:val="000000" w:themeColor="text1"/>
                <w14:textFill>
                  <w14:solidFill>
                    <w14:schemeClr w14:val="tx1"/>
                  </w14:solidFill>
                </w14:textFill>
              </w:rPr>
            </w:pPr>
            <w:r>
              <w:rPr>
                <w:color w:val="000000" w:themeColor="text1"/>
                <w14:textFill>
                  <w14:solidFill>
                    <w14:schemeClr w14:val="tx1"/>
                  </w14:solidFill>
                </w14:textFill>
              </w:rPr>
              <w:t>应急救援</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51060A59">
            <w:pPr>
              <w:pStyle w:val="30"/>
              <w:keepNext w:val="0"/>
              <w:keepLines w:val="0"/>
              <w:pageBreakBefore w:val="0"/>
              <w:widowControl w:val="0"/>
              <w:kinsoku/>
              <w:bidi w:val="0"/>
              <w:rPr>
                <w:rFonts w:hint="eastAsia"/>
                <w:color w:val="000000" w:themeColor="text1"/>
                <w14:textFill>
                  <w14:solidFill>
                    <w14:schemeClr w14:val="tx1"/>
                  </w14:solidFill>
                </w14:textFill>
              </w:rPr>
            </w:pPr>
          </w:p>
        </w:tc>
        <w:tc>
          <w:tcPr>
            <w:tcW w:w="1612" w:type="dxa"/>
            <w:tcBorders>
              <w:top w:val="single" w:color="auto" w:sz="4" w:space="0"/>
              <w:left w:val="single" w:color="auto" w:sz="4" w:space="0"/>
              <w:bottom w:val="single" w:color="auto" w:sz="4" w:space="0"/>
              <w:right w:val="single" w:color="auto" w:sz="4" w:space="0"/>
            </w:tcBorders>
            <w:noWrap w:val="0"/>
            <w:vAlign w:val="center"/>
          </w:tcPr>
          <w:p w14:paraId="3B5C9252">
            <w:pPr>
              <w:pStyle w:val="30"/>
              <w:keepNext w:val="0"/>
              <w:keepLines w:val="0"/>
              <w:pageBreakBefore w:val="0"/>
              <w:widowControl w:val="0"/>
              <w:kinsoku/>
              <w:bidi w:val="0"/>
              <w:rPr>
                <w:color w:val="000000" w:themeColor="text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noWrap w:val="0"/>
            <w:vAlign w:val="center"/>
          </w:tcPr>
          <w:p w14:paraId="77F87590">
            <w:pPr>
              <w:pStyle w:val="30"/>
              <w:keepNext w:val="0"/>
              <w:keepLines w:val="0"/>
              <w:pageBreakBefore w:val="0"/>
              <w:widowControl w:val="0"/>
              <w:kinsoku/>
              <w:bidi w:val="0"/>
              <w:rPr>
                <w:color w:val="000000" w:themeColor="text1"/>
                <w14:textFill>
                  <w14:solidFill>
                    <w14:schemeClr w14:val="tx1"/>
                  </w14:solidFill>
                </w14:textFill>
              </w:rPr>
            </w:pPr>
          </w:p>
        </w:tc>
      </w:tr>
      <w:tr w14:paraId="2765B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2533D8FB">
            <w:pPr>
              <w:pStyle w:val="30"/>
              <w:keepNext w:val="0"/>
              <w:keepLines w:val="0"/>
              <w:pageBreakBefore w:val="0"/>
              <w:widowControl w:val="0"/>
              <w:numPr>
                <w:ilvl w:val="0"/>
                <w:numId w:val="45"/>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0C9603DF">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生产经营单位应当制定本单位生产安全事故应急救援预案，与所在地县级以上地方人民政府组织制定的生产安全事故应急救援预案相衔接，并定期组织演练。</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29988217">
            <w:pPr>
              <w:pStyle w:val="30"/>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第八十一条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7C2B0543">
            <w:pPr>
              <w:pStyle w:val="30"/>
              <w:keepNext w:val="0"/>
              <w:keepLines w:val="0"/>
              <w:pageBreakBefore w:val="0"/>
              <w:widowControl w:val="0"/>
              <w:kinsoku/>
              <w:bidi w:val="0"/>
              <w:jc w:val="both"/>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电站制定了应急预案</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进行了演练和总结</w:t>
            </w:r>
            <w:r>
              <w:rPr>
                <w:rFonts w:hint="eastAsia"/>
                <w:color w:val="000000" w:themeColor="text1"/>
                <w:lang w:eastAsia="zh-CN"/>
                <w14:textFill>
                  <w14:solidFill>
                    <w14:schemeClr w14:val="tx1"/>
                  </w14:solidFill>
                </w14:textFill>
              </w:rPr>
              <w:t>。</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6EF73BFB">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63FEF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3AB0E024">
            <w:pPr>
              <w:pStyle w:val="30"/>
              <w:keepNext w:val="0"/>
              <w:keepLines w:val="0"/>
              <w:pageBreakBefore w:val="0"/>
              <w:widowControl w:val="0"/>
              <w:numPr>
                <w:ilvl w:val="0"/>
                <w:numId w:val="45"/>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62C352EB">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危险物品的生产、经营、储存单位以及矿山、金属冶炼企业、城市轨道交通运营企业、建筑施工单位应当建立应急救援组织；生产经营规模较小的，可以不建立应急救援组织，但应当指定兼职的应急救援人员。</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36B5251F">
            <w:pPr>
              <w:pStyle w:val="30"/>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第八十</w:t>
            </w:r>
            <w:r>
              <w:rPr>
                <w:rFonts w:hint="eastAsia"/>
                <w:color w:val="000000" w:themeColor="text1"/>
                <w:lang w:val="en-US" w:eastAsia="zh-CN"/>
                <w14:textFill>
                  <w14:solidFill>
                    <w14:schemeClr w14:val="tx1"/>
                  </w14:solidFill>
                </w14:textFill>
              </w:rPr>
              <w:t>二</w:t>
            </w:r>
            <w:r>
              <w:rPr>
                <w:rFonts w:hint="eastAsia"/>
                <w:color w:val="000000" w:themeColor="text1"/>
                <w14:textFill>
                  <w14:solidFill>
                    <w14:schemeClr w14:val="tx1"/>
                  </w14:solidFill>
                </w14:textFill>
              </w:rPr>
              <w:t>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21A381CC">
            <w:pPr>
              <w:pStyle w:val="30"/>
              <w:keepNext w:val="0"/>
              <w:keepLines w:val="0"/>
              <w:pageBreakBefore w:val="0"/>
              <w:widowControl w:val="0"/>
              <w:kinsoku/>
              <w:bidi w:val="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从业人员兼职应急救援人员。</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6031ED1F">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48E0D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1F1006B7">
            <w:pPr>
              <w:pStyle w:val="30"/>
              <w:keepNext w:val="0"/>
              <w:keepLines w:val="0"/>
              <w:pageBreakBefore w:val="0"/>
              <w:widowControl w:val="0"/>
              <w:numPr>
                <w:ilvl w:val="0"/>
                <w:numId w:val="41"/>
              </w:numPr>
              <w:tabs>
                <w:tab w:val="clear" w:pos="0"/>
              </w:tabs>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7C8FEE66">
            <w:pPr>
              <w:pStyle w:val="30"/>
              <w:keepNext w:val="0"/>
              <w:keepLines w:val="0"/>
              <w:pageBreakBefore w:val="0"/>
              <w:widowControl w:val="0"/>
              <w:kinsoku/>
              <w:bidi w:val="0"/>
              <w:ind w:left="0" w:leftChars="0" w:right="0" w:rightChars="0" w:firstLine="0" w:firstLineChars="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安全警示标志</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3C183330">
            <w:pPr>
              <w:pStyle w:val="30"/>
              <w:keepNext w:val="0"/>
              <w:keepLines w:val="0"/>
              <w:pageBreakBefore w:val="0"/>
              <w:widowControl w:val="0"/>
              <w:kinsoku/>
              <w:bidi w:val="0"/>
              <w:rPr>
                <w:rFonts w:hint="eastAsia"/>
                <w:color w:val="000000" w:themeColor="text1"/>
                <w14:textFill>
                  <w14:solidFill>
                    <w14:schemeClr w14:val="tx1"/>
                  </w14:solidFill>
                </w14:textFill>
              </w:rPr>
            </w:pPr>
          </w:p>
        </w:tc>
        <w:tc>
          <w:tcPr>
            <w:tcW w:w="1612" w:type="dxa"/>
            <w:tcBorders>
              <w:top w:val="single" w:color="auto" w:sz="4" w:space="0"/>
              <w:left w:val="single" w:color="auto" w:sz="4" w:space="0"/>
              <w:bottom w:val="single" w:color="auto" w:sz="4" w:space="0"/>
              <w:right w:val="single" w:color="auto" w:sz="4" w:space="0"/>
            </w:tcBorders>
            <w:noWrap w:val="0"/>
            <w:vAlign w:val="center"/>
          </w:tcPr>
          <w:p w14:paraId="5B54A81F">
            <w:pPr>
              <w:pStyle w:val="30"/>
              <w:keepNext w:val="0"/>
              <w:keepLines w:val="0"/>
              <w:pageBreakBefore w:val="0"/>
              <w:widowControl w:val="0"/>
              <w:kinsoku/>
              <w:bidi w:val="0"/>
              <w:rPr>
                <w:color w:val="000000" w:themeColor="text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noWrap w:val="0"/>
            <w:vAlign w:val="center"/>
          </w:tcPr>
          <w:p w14:paraId="20BFC15A">
            <w:pPr>
              <w:pStyle w:val="30"/>
              <w:keepNext w:val="0"/>
              <w:keepLines w:val="0"/>
              <w:pageBreakBefore w:val="0"/>
              <w:widowControl w:val="0"/>
              <w:kinsoku/>
              <w:bidi w:val="0"/>
              <w:rPr>
                <w:color w:val="000000" w:themeColor="text1"/>
                <w14:textFill>
                  <w14:solidFill>
                    <w14:schemeClr w14:val="tx1"/>
                  </w14:solidFill>
                </w14:textFill>
              </w:rPr>
            </w:pPr>
          </w:p>
        </w:tc>
      </w:tr>
      <w:tr w14:paraId="17D66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7E7C3252">
            <w:pPr>
              <w:pStyle w:val="30"/>
              <w:keepNext w:val="0"/>
              <w:keepLines w:val="0"/>
              <w:pageBreakBefore w:val="0"/>
              <w:widowControl w:val="0"/>
              <w:numPr>
                <w:ilvl w:val="0"/>
                <w:numId w:val="46"/>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180BAA8C">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生产经营单位应当在有较大危险因素的生产经营场所和有关设施、设备上，设置明显的安全警示标志。</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11F4B33C">
            <w:pPr>
              <w:pStyle w:val="30"/>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）第三十五条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7058EE7F">
            <w:pPr>
              <w:pStyle w:val="30"/>
              <w:keepNext w:val="0"/>
              <w:keepLines w:val="0"/>
              <w:pageBreakBefore w:val="0"/>
              <w:widowControl w:val="0"/>
              <w:kinsoku/>
              <w:bidi w:val="0"/>
              <w:jc w:val="both"/>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光伏场区</w:t>
            </w:r>
            <w:r>
              <w:rPr>
                <w:rFonts w:hint="eastAsia"/>
                <w:color w:val="000000" w:themeColor="text1"/>
                <w14:textFill>
                  <w14:solidFill>
                    <w14:schemeClr w14:val="tx1"/>
                  </w14:solidFill>
                </w14:textFill>
              </w:rPr>
              <w:t>设置</w:t>
            </w:r>
            <w:r>
              <w:rPr>
                <w:rFonts w:hint="eastAsia"/>
                <w:color w:val="000000" w:themeColor="text1"/>
                <w:lang w:eastAsia="zh-CN"/>
                <w14:textFill>
                  <w14:solidFill>
                    <w14:schemeClr w14:val="tx1"/>
                  </w14:solidFill>
                </w14:textFill>
              </w:rPr>
              <w:t>的</w:t>
            </w:r>
            <w:r>
              <w:rPr>
                <w:rFonts w:hint="eastAsia"/>
                <w:color w:val="000000" w:themeColor="text1"/>
                <w14:textFill>
                  <w14:solidFill>
                    <w14:schemeClr w14:val="tx1"/>
                  </w14:solidFill>
                </w14:textFill>
              </w:rPr>
              <w:t>安全警示标志</w:t>
            </w:r>
            <w:r>
              <w:rPr>
                <w:rFonts w:hint="eastAsia"/>
                <w:color w:val="000000" w:themeColor="text1"/>
                <w:lang w:val="en-US" w:eastAsia="zh-CN"/>
                <w14:textFill>
                  <w14:solidFill>
                    <w14:schemeClr w14:val="tx1"/>
                  </w14:solidFill>
                </w14:textFill>
              </w:rPr>
              <w:t>不足</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63264E1D">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不</w:t>
            </w:r>
            <w:r>
              <w:rPr>
                <w:rFonts w:hint="eastAsia"/>
                <w:color w:val="000000" w:themeColor="text1"/>
                <w14:textFill>
                  <w14:solidFill>
                    <w14:schemeClr w14:val="tx1"/>
                  </w14:solidFill>
                </w14:textFill>
              </w:rPr>
              <w:t>符合</w:t>
            </w:r>
          </w:p>
        </w:tc>
      </w:tr>
      <w:tr w14:paraId="31357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2EBA4AB5">
            <w:pPr>
              <w:pStyle w:val="30"/>
              <w:keepNext w:val="0"/>
              <w:keepLines w:val="0"/>
              <w:pageBreakBefore w:val="0"/>
              <w:widowControl w:val="0"/>
              <w:numPr>
                <w:ilvl w:val="0"/>
                <w:numId w:val="41"/>
              </w:numPr>
              <w:tabs>
                <w:tab w:val="clear" w:pos="0"/>
              </w:tabs>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7E41E5B3">
            <w:pPr>
              <w:pStyle w:val="30"/>
              <w:keepNext w:val="0"/>
              <w:keepLines w:val="0"/>
              <w:pageBreakBefore w:val="0"/>
              <w:widowControl w:val="0"/>
              <w:kinsoku/>
              <w:bidi w:val="0"/>
              <w:ind w:left="0" w:leftChars="0" w:right="0" w:rightChars="0" w:firstLine="0" w:firstLineChars="0"/>
              <w:jc w:val="both"/>
              <w:rPr>
                <w:rFonts w:hint="eastAsia"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事故隐患排查</w:t>
            </w:r>
            <w:r>
              <w:rPr>
                <w:rFonts w:hint="eastAsia"/>
                <w:color w:val="000000" w:themeColor="text1"/>
                <w:lang w:val="en-US" w:eastAsia="zh-CN"/>
                <w14:textFill>
                  <w14:solidFill>
                    <w14:schemeClr w14:val="tx1"/>
                  </w14:solidFill>
                </w14:textFill>
              </w:rPr>
              <w:t>治理</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28F0D338">
            <w:pPr>
              <w:pStyle w:val="30"/>
              <w:keepNext w:val="0"/>
              <w:keepLines w:val="0"/>
              <w:pageBreakBefore w:val="0"/>
              <w:widowControl w:val="0"/>
              <w:kinsoku/>
              <w:bidi w:val="0"/>
              <w:rPr>
                <w:rFonts w:hint="eastAsia"/>
                <w:color w:val="000000" w:themeColor="text1"/>
                <w14:textFill>
                  <w14:solidFill>
                    <w14:schemeClr w14:val="tx1"/>
                  </w14:solidFill>
                </w14:textFill>
              </w:rPr>
            </w:pPr>
          </w:p>
        </w:tc>
        <w:tc>
          <w:tcPr>
            <w:tcW w:w="1612" w:type="dxa"/>
            <w:tcBorders>
              <w:top w:val="single" w:color="auto" w:sz="4" w:space="0"/>
              <w:left w:val="single" w:color="auto" w:sz="4" w:space="0"/>
              <w:bottom w:val="single" w:color="auto" w:sz="4" w:space="0"/>
              <w:right w:val="single" w:color="auto" w:sz="4" w:space="0"/>
            </w:tcBorders>
            <w:noWrap w:val="0"/>
            <w:vAlign w:val="center"/>
          </w:tcPr>
          <w:p w14:paraId="79CC5B3D">
            <w:pPr>
              <w:pStyle w:val="30"/>
              <w:keepNext w:val="0"/>
              <w:keepLines w:val="0"/>
              <w:pageBreakBefore w:val="0"/>
              <w:widowControl w:val="0"/>
              <w:kinsoku/>
              <w:bidi w:val="0"/>
              <w:rPr>
                <w:color w:val="000000" w:themeColor="text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noWrap w:val="0"/>
            <w:vAlign w:val="center"/>
          </w:tcPr>
          <w:p w14:paraId="489B2E03">
            <w:pPr>
              <w:pStyle w:val="30"/>
              <w:keepNext w:val="0"/>
              <w:keepLines w:val="0"/>
              <w:pageBreakBefore w:val="0"/>
              <w:widowControl w:val="0"/>
              <w:kinsoku/>
              <w:bidi w:val="0"/>
              <w:rPr>
                <w:color w:val="000000" w:themeColor="text1"/>
                <w14:textFill>
                  <w14:solidFill>
                    <w14:schemeClr w14:val="tx1"/>
                  </w14:solidFill>
                </w14:textFill>
              </w:rPr>
            </w:pPr>
          </w:p>
        </w:tc>
      </w:tr>
      <w:tr w14:paraId="16CFA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18D4E924">
            <w:pPr>
              <w:pStyle w:val="30"/>
              <w:keepNext w:val="0"/>
              <w:keepLines w:val="0"/>
              <w:pageBreakBefore w:val="0"/>
              <w:widowControl w:val="0"/>
              <w:numPr>
                <w:ilvl w:val="0"/>
                <w:numId w:val="47"/>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566AF7BC">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生产经营单位应当建立健全并落实生产安全事故隐患排查治理制度，采取技术、管理措施，及时发现并消除事故隐患。</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3F906904">
            <w:pPr>
              <w:pStyle w:val="30"/>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第四十一条　</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43CD541E">
            <w:pPr>
              <w:pStyle w:val="30"/>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制定了安全生产隐患排查治理制度，进行了安全隐患排查，并对存在隐患的设施设备进行维护、保养。</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6C0DD2AC">
            <w:pPr>
              <w:pStyle w:val="30"/>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48227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78551569">
            <w:pPr>
              <w:pStyle w:val="30"/>
              <w:keepNext w:val="0"/>
              <w:keepLines w:val="0"/>
              <w:pageBreakBefore w:val="0"/>
              <w:widowControl w:val="0"/>
              <w:numPr>
                <w:ilvl w:val="0"/>
                <w:numId w:val="47"/>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59EB97D8">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生产经营单位应当教育和督促从业人员严格执行本单位的安全生产规章制度和安全操作规程；并向从业人员如实告知作业场所和工作岗位存在的危险因素、防范措施以及事故应急措施。</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524B4A63">
            <w:pPr>
              <w:pStyle w:val="30"/>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）第四十四条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18056CB6">
            <w:pPr>
              <w:pStyle w:val="30"/>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公司教育和督促从业人员严格执行本单位的规章制度和规程。</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667A0639">
            <w:pPr>
              <w:pStyle w:val="30"/>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086DD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6BD5D086">
            <w:pPr>
              <w:pStyle w:val="30"/>
              <w:keepNext w:val="0"/>
              <w:keepLines w:val="0"/>
              <w:pageBreakBefore w:val="0"/>
              <w:widowControl w:val="0"/>
              <w:numPr>
                <w:ilvl w:val="0"/>
                <w:numId w:val="47"/>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45A37107">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662E66A1">
            <w:pPr>
              <w:pStyle w:val="30"/>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）第四十</w:t>
            </w:r>
            <w:r>
              <w:rPr>
                <w:rFonts w:hint="eastAsia"/>
                <w:color w:val="000000" w:themeColor="text1"/>
                <w:lang w:val="en-US" w:eastAsia="zh-CN"/>
                <w14:textFill>
                  <w14:solidFill>
                    <w14:schemeClr w14:val="tx1"/>
                  </w14:solidFill>
                </w14:textFill>
              </w:rPr>
              <w:t>六</w:t>
            </w:r>
            <w:r>
              <w:rPr>
                <w:rFonts w:hint="eastAsia"/>
                <w:color w:val="000000" w:themeColor="text1"/>
                <w:lang w:eastAsia="zh-CN"/>
                <w14:textFill>
                  <w14:solidFill>
                    <w14:schemeClr w14:val="tx1"/>
                  </w14:solidFill>
                </w14:textFill>
              </w:rPr>
              <w:t>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0D49B49E">
            <w:pPr>
              <w:pStyle w:val="30"/>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安全员对本电站安全生产状况进行经常性检查。</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1EC53C40">
            <w:pPr>
              <w:pStyle w:val="30"/>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24793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3BD19616">
            <w:pPr>
              <w:pStyle w:val="30"/>
              <w:keepNext w:val="0"/>
              <w:keepLines w:val="0"/>
              <w:pageBreakBefore w:val="0"/>
              <w:widowControl w:val="0"/>
              <w:numPr>
                <w:ilvl w:val="0"/>
                <w:numId w:val="47"/>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7B0B9E76">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从业人员发现事故隐患或者其他不安全因素，应当立即向现场安全生产管理人员或者本单位负责人报告；接到报告的人员应当及时予以处理。</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1F14A5C1">
            <w:pPr>
              <w:pStyle w:val="30"/>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）第五十九条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7FB06FBC">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从业人员发现事故隐患或者其他不安全因素，立即向现场安全生产管理人员或者本单位负责人报告，并在今后的工作中严格执行本条规定。</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54BB9C29">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61117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7A82234F">
            <w:pPr>
              <w:pStyle w:val="30"/>
              <w:keepNext w:val="0"/>
              <w:keepLines w:val="0"/>
              <w:pageBreakBefore w:val="0"/>
              <w:widowControl w:val="0"/>
              <w:numPr>
                <w:ilvl w:val="0"/>
                <w:numId w:val="41"/>
              </w:numPr>
              <w:tabs>
                <w:tab w:val="clear" w:pos="0"/>
              </w:tabs>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1C16A1D1">
            <w:pPr>
              <w:pStyle w:val="30"/>
              <w:keepNext w:val="0"/>
              <w:keepLines w:val="0"/>
              <w:pageBreakBefore w:val="0"/>
              <w:widowControl w:val="0"/>
              <w:kinsoku/>
              <w:bidi w:val="0"/>
              <w:ind w:left="0" w:leftChars="0" w:right="0" w:rightChars="0" w:firstLine="0" w:firstLineChars="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个体防护用品</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6C243795">
            <w:pPr>
              <w:pStyle w:val="30"/>
              <w:keepNext w:val="0"/>
              <w:keepLines w:val="0"/>
              <w:pageBreakBefore w:val="0"/>
              <w:widowControl w:val="0"/>
              <w:kinsoku/>
              <w:bidi w:val="0"/>
              <w:rPr>
                <w:rFonts w:hint="eastAsia"/>
                <w:color w:val="000000" w:themeColor="text1"/>
                <w14:textFill>
                  <w14:solidFill>
                    <w14:schemeClr w14:val="tx1"/>
                  </w14:solidFill>
                </w14:textFill>
              </w:rPr>
            </w:pPr>
          </w:p>
        </w:tc>
        <w:tc>
          <w:tcPr>
            <w:tcW w:w="1612" w:type="dxa"/>
            <w:tcBorders>
              <w:top w:val="single" w:color="auto" w:sz="4" w:space="0"/>
              <w:left w:val="single" w:color="auto" w:sz="4" w:space="0"/>
              <w:bottom w:val="single" w:color="auto" w:sz="4" w:space="0"/>
              <w:right w:val="single" w:color="auto" w:sz="4" w:space="0"/>
            </w:tcBorders>
            <w:noWrap w:val="0"/>
            <w:vAlign w:val="center"/>
          </w:tcPr>
          <w:p w14:paraId="3D2E4410">
            <w:pPr>
              <w:pStyle w:val="30"/>
              <w:keepNext w:val="0"/>
              <w:keepLines w:val="0"/>
              <w:pageBreakBefore w:val="0"/>
              <w:widowControl w:val="0"/>
              <w:kinsoku/>
              <w:bidi w:val="0"/>
              <w:rPr>
                <w:color w:val="000000" w:themeColor="text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noWrap w:val="0"/>
            <w:vAlign w:val="center"/>
          </w:tcPr>
          <w:p w14:paraId="0E4F7AE6">
            <w:pPr>
              <w:pStyle w:val="30"/>
              <w:keepNext w:val="0"/>
              <w:keepLines w:val="0"/>
              <w:pageBreakBefore w:val="0"/>
              <w:widowControl w:val="0"/>
              <w:kinsoku/>
              <w:bidi w:val="0"/>
              <w:rPr>
                <w:color w:val="000000" w:themeColor="text1"/>
                <w14:textFill>
                  <w14:solidFill>
                    <w14:schemeClr w14:val="tx1"/>
                  </w14:solidFill>
                </w14:textFill>
              </w:rPr>
            </w:pPr>
          </w:p>
        </w:tc>
      </w:tr>
      <w:tr w14:paraId="50FE1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6"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680E4E85">
            <w:pPr>
              <w:pStyle w:val="30"/>
              <w:keepNext w:val="0"/>
              <w:keepLines w:val="0"/>
              <w:pageBreakBefore w:val="0"/>
              <w:widowControl w:val="0"/>
              <w:numPr>
                <w:ilvl w:val="0"/>
                <w:numId w:val="48"/>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53D442F2">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生产经营单位必须为从业人员提供符合国家标准或者行业标准的劳动防护用品，并监督、教育从业人员按照使用规则佩戴、使用。</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47590E77">
            <w:pPr>
              <w:pStyle w:val="30"/>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四十五条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577CE2EE">
            <w:pPr>
              <w:pStyle w:val="30"/>
              <w:keepNext w:val="0"/>
              <w:keepLines w:val="0"/>
              <w:pageBreakBefore w:val="0"/>
              <w:widowControl w:val="0"/>
              <w:kinsoku/>
              <w:bidi w:val="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为从业人员配备了安全帽、绝缘手套、绝缘靴等劳动防护用品。</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5C230D53">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7B106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9"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009A305D">
            <w:pPr>
              <w:pStyle w:val="30"/>
              <w:keepNext w:val="0"/>
              <w:keepLines w:val="0"/>
              <w:pageBreakBefore w:val="0"/>
              <w:widowControl w:val="0"/>
              <w:numPr>
                <w:ilvl w:val="0"/>
                <w:numId w:val="48"/>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0ABDA85E">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从业人员在作业过程中，应当严格遵守本单位的安全生产规章制度和操作规程，服从管理，正确佩戴和使用劳动防护用品。</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68221C7B">
            <w:pPr>
              <w:pStyle w:val="30"/>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五十七条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6C84E9E5">
            <w:pPr>
              <w:pStyle w:val="30"/>
              <w:keepNext w:val="0"/>
              <w:keepLines w:val="0"/>
              <w:pageBreakBefore w:val="0"/>
              <w:widowControl w:val="0"/>
              <w:kinsoku/>
              <w:bidi w:val="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从业人员在作业过程中，严格遵守本公司采用的安全生产规章制度和运行规程，服从管理，正确佩戴和使用劳动防护用品。</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6F3D8605">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0264F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4ACED36C">
            <w:pPr>
              <w:pStyle w:val="30"/>
              <w:keepNext w:val="0"/>
              <w:keepLines w:val="0"/>
              <w:pageBreakBefore w:val="0"/>
              <w:widowControl w:val="0"/>
              <w:numPr>
                <w:ilvl w:val="0"/>
                <w:numId w:val="41"/>
              </w:numPr>
              <w:tabs>
                <w:tab w:val="clear" w:pos="0"/>
              </w:tabs>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2CAC2A70">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工伤保险</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4AB026C2">
            <w:pPr>
              <w:pStyle w:val="30"/>
              <w:keepNext w:val="0"/>
              <w:keepLines w:val="0"/>
              <w:pageBreakBefore w:val="0"/>
              <w:widowControl w:val="0"/>
              <w:kinsoku/>
              <w:bidi w:val="0"/>
              <w:rPr>
                <w:color w:val="000000" w:themeColor="text1"/>
                <w14:textFill>
                  <w14:solidFill>
                    <w14:schemeClr w14:val="tx1"/>
                  </w14:solidFill>
                </w14:textFill>
              </w:rPr>
            </w:pPr>
          </w:p>
        </w:tc>
        <w:tc>
          <w:tcPr>
            <w:tcW w:w="1612" w:type="dxa"/>
            <w:tcBorders>
              <w:top w:val="single" w:color="auto" w:sz="4" w:space="0"/>
              <w:left w:val="single" w:color="auto" w:sz="4" w:space="0"/>
              <w:bottom w:val="single" w:color="auto" w:sz="4" w:space="0"/>
              <w:right w:val="single" w:color="auto" w:sz="4" w:space="0"/>
            </w:tcBorders>
            <w:noWrap w:val="0"/>
            <w:vAlign w:val="center"/>
          </w:tcPr>
          <w:p w14:paraId="0D846BF7">
            <w:pPr>
              <w:pStyle w:val="30"/>
              <w:keepNext w:val="0"/>
              <w:keepLines w:val="0"/>
              <w:pageBreakBefore w:val="0"/>
              <w:widowControl w:val="0"/>
              <w:kinsoku/>
              <w:bidi w:val="0"/>
              <w:rPr>
                <w:color w:val="000000" w:themeColor="text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noWrap w:val="0"/>
            <w:vAlign w:val="center"/>
          </w:tcPr>
          <w:p w14:paraId="6A6DD94C">
            <w:pPr>
              <w:pStyle w:val="30"/>
              <w:keepNext w:val="0"/>
              <w:keepLines w:val="0"/>
              <w:pageBreakBefore w:val="0"/>
              <w:widowControl w:val="0"/>
              <w:kinsoku/>
              <w:bidi w:val="0"/>
              <w:rPr>
                <w:color w:val="000000" w:themeColor="text1"/>
                <w14:textFill>
                  <w14:solidFill>
                    <w14:schemeClr w14:val="tx1"/>
                  </w14:solidFill>
                </w14:textFill>
              </w:rPr>
            </w:pPr>
          </w:p>
        </w:tc>
      </w:tr>
      <w:tr w14:paraId="1F5F7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565B3199">
            <w:pPr>
              <w:pStyle w:val="30"/>
              <w:keepNext w:val="0"/>
              <w:keepLines w:val="0"/>
              <w:pageBreakBefore w:val="0"/>
              <w:widowControl w:val="0"/>
              <w:numPr>
                <w:ilvl w:val="0"/>
                <w:numId w:val="49"/>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26EDCE73">
            <w:pPr>
              <w:pStyle w:val="30"/>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生产经营单位必须依法参加工伤保险，为从业人员缴纳保险费。</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3EB7BC8D">
            <w:pPr>
              <w:pStyle w:val="30"/>
              <w:keepNext w:val="0"/>
              <w:keepLines w:val="0"/>
              <w:pageBreakBefore w:val="0"/>
              <w:widowControl w:val="0"/>
              <w:kinsoku/>
              <w:bidi w:val="0"/>
              <w:jc w:val="both"/>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）五十一条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72580E62">
            <w:pPr>
              <w:pStyle w:val="30"/>
              <w:keepNext w:val="0"/>
              <w:keepLines w:val="0"/>
              <w:pageBreakBefore w:val="0"/>
              <w:widowControl w:val="0"/>
              <w:kinsoku/>
              <w:bidi w:val="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公司已为本电站工作人员购买了工伤保险。</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2E953D04">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bl>
    <w:p w14:paraId="7CA273BB">
      <w:pPr>
        <w:pageBreakBefore w:val="0"/>
        <w:widowControl w:val="0"/>
        <w:kinsoku/>
        <w:wordWrap/>
        <w:overflowPunct/>
        <w:topLinePunct w:val="0"/>
        <w:autoSpaceDE/>
        <w:autoSpaceDN/>
        <w:bidi w:val="0"/>
        <w:spacing w:line="420" w:lineRule="exact"/>
        <w:ind w:firstLine="568" w:firstLineChars="200"/>
        <w:jc w:val="left"/>
        <w:textAlignment w:val="auto"/>
        <w:rPr>
          <w:rFonts w:hint="default" w:ascii="Times New Roman" w:hAnsi="Times New Roman" w:eastAsia="宋体" w:cs="Times New Roman"/>
          <w:kern w:val="2"/>
          <w:sz w:val="21"/>
          <w:szCs w:val="24"/>
          <w:lang w:val="en-US" w:eastAsia="zh-CN" w:bidi="ar-SA"/>
        </w:rPr>
      </w:pPr>
      <w:r>
        <w:rPr>
          <w:rFonts w:hint="eastAsia" w:ascii="宋体" w:hAnsi="宋体" w:eastAsia="宋体" w:cs="宋体"/>
          <w:color w:val="000000" w:themeColor="text1"/>
          <w:spacing w:val="2"/>
          <w:sz w:val="28"/>
          <w:szCs w:val="28"/>
          <w14:textFill>
            <w14:solidFill>
              <w14:schemeClr w14:val="tx1"/>
            </w14:solidFill>
          </w14:textFill>
        </w:rPr>
        <w:t>评价分析：针对</w:t>
      </w:r>
      <w:r>
        <w:rPr>
          <w:rFonts w:hint="eastAsia" w:ascii="宋体" w:hAnsi="宋体" w:eastAsia="宋体" w:cs="宋体"/>
          <w:color w:val="000000" w:themeColor="text1"/>
          <w:sz w:val="28"/>
          <w:szCs w:val="28"/>
          <w:lang w:val="en-US" w:eastAsia="zh-CN"/>
          <w14:textFill>
            <w14:solidFill>
              <w14:schemeClr w14:val="tx1"/>
            </w14:solidFill>
          </w14:textFill>
        </w:rPr>
        <w:t>安全管理</w:t>
      </w:r>
      <w:r>
        <w:rPr>
          <w:rFonts w:hint="eastAsia" w:ascii="宋体" w:hAnsi="宋体" w:eastAsia="宋体" w:cs="宋体"/>
          <w:color w:val="000000" w:themeColor="text1"/>
          <w:sz w:val="28"/>
          <w:szCs w:val="28"/>
          <w14:textFill>
            <w14:solidFill>
              <w14:schemeClr w14:val="tx1"/>
            </w14:solidFill>
          </w14:textFill>
        </w:rPr>
        <w:t>单元</w:t>
      </w:r>
      <w:r>
        <w:rPr>
          <w:rFonts w:hint="eastAsia" w:ascii="宋体" w:hAnsi="宋体" w:eastAsia="宋体" w:cs="宋体"/>
          <w:color w:val="000000" w:themeColor="text1"/>
          <w:spacing w:val="2"/>
          <w:sz w:val="28"/>
          <w:szCs w:val="28"/>
          <w14:textFill>
            <w14:solidFill>
              <w14:schemeClr w14:val="tx1"/>
            </w14:solidFill>
          </w14:textFill>
        </w:rPr>
        <w:t>安全检查表内的</w:t>
      </w:r>
      <w:r>
        <w:rPr>
          <w:rFonts w:hint="eastAsia" w:ascii="宋体" w:hAnsi="宋体" w:eastAsia="宋体" w:cs="宋体"/>
          <w:color w:val="000000" w:themeColor="text1"/>
          <w:spacing w:val="2"/>
          <w:sz w:val="28"/>
          <w:szCs w:val="28"/>
          <w:lang w:val="en-US" w:eastAsia="zh-CN"/>
          <w14:textFill>
            <w14:solidFill>
              <w14:schemeClr w14:val="tx1"/>
            </w14:solidFill>
          </w14:textFill>
        </w:rPr>
        <w:t>17</w:t>
      </w:r>
      <w:r>
        <w:rPr>
          <w:rFonts w:hint="eastAsia" w:ascii="宋体" w:hAnsi="宋体" w:eastAsia="宋体" w:cs="宋体"/>
          <w:color w:val="000000" w:themeColor="text1"/>
          <w:spacing w:val="2"/>
          <w:sz w:val="28"/>
          <w:szCs w:val="28"/>
          <w14:textFill>
            <w14:solidFill>
              <w14:schemeClr w14:val="tx1"/>
            </w14:solidFill>
          </w14:textFill>
        </w:rPr>
        <w:t>项内容，其中</w:t>
      </w:r>
      <w:r>
        <w:rPr>
          <w:rFonts w:hint="eastAsia" w:ascii="宋体" w:hAnsi="宋体" w:eastAsia="宋体" w:cs="宋体"/>
          <w:color w:val="000000" w:themeColor="text1"/>
          <w:spacing w:val="2"/>
          <w:sz w:val="28"/>
          <w:szCs w:val="28"/>
          <w:lang w:val="en-US" w:eastAsia="zh-CN"/>
          <w14:textFill>
            <w14:solidFill>
              <w14:schemeClr w14:val="tx1"/>
            </w14:solidFill>
          </w14:textFill>
        </w:rPr>
        <w:t>1</w:t>
      </w:r>
      <w:r>
        <w:rPr>
          <w:rFonts w:hint="eastAsia" w:ascii="宋体" w:hAnsi="宋体" w:cs="宋体"/>
          <w:color w:val="000000" w:themeColor="text1"/>
          <w:spacing w:val="2"/>
          <w:sz w:val="28"/>
          <w:szCs w:val="28"/>
          <w:lang w:val="en-US" w:eastAsia="zh-CN"/>
          <w14:textFill>
            <w14:solidFill>
              <w14:schemeClr w14:val="tx1"/>
            </w14:solidFill>
          </w14:textFill>
        </w:rPr>
        <w:t>6</w:t>
      </w:r>
      <w:r>
        <w:rPr>
          <w:rFonts w:hint="eastAsia" w:ascii="宋体" w:hAnsi="宋体" w:eastAsia="宋体" w:cs="宋体"/>
          <w:color w:val="000000" w:themeColor="text1"/>
          <w:spacing w:val="-56"/>
          <w:sz w:val="28"/>
          <w:szCs w:val="28"/>
          <w14:textFill>
            <w14:solidFill>
              <w14:schemeClr w14:val="tx1"/>
            </w14:solidFill>
          </w14:textFill>
        </w:rPr>
        <w:t xml:space="preserve"> </w:t>
      </w:r>
      <w:r>
        <w:rPr>
          <w:rFonts w:hint="eastAsia" w:ascii="宋体" w:hAnsi="宋体" w:eastAsia="宋体" w:cs="宋体"/>
          <w:color w:val="000000" w:themeColor="text1"/>
          <w:spacing w:val="2"/>
          <w:sz w:val="28"/>
          <w:szCs w:val="28"/>
          <w14:textFill>
            <w14:solidFill>
              <w14:schemeClr w14:val="tx1"/>
            </w14:solidFill>
          </w14:textFill>
        </w:rPr>
        <w:t>项合格，</w:t>
      </w:r>
      <w:r>
        <w:rPr>
          <w:rFonts w:hint="eastAsia" w:ascii="宋体" w:hAnsi="宋体" w:cs="宋体"/>
          <w:color w:val="000000" w:themeColor="text1"/>
          <w:spacing w:val="2"/>
          <w:sz w:val="28"/>
          <w:szCs w:val="28"/>
          <w:lang w:val="en-US" w:eastAsia="zh-CN"/>
          <w14:textFill>
            <w14:solidFill>
              <w14:schemeClr w14:val="tx1"/>
            </w14:solidFill>
          </w14:textFill>
        </w:rPr>
        <w:t>1</w:t>
      </w:r>
      <w:r>
        <w:rPr>
          <w:rFonts w:hint="eastAsia" w:ascii="宋体" w:hAnsi="宋体" w:eastAsia="宋体" w:cs="宋体"/>
          <w:color w:val="000000" w:themeColor="text1"/>
          <w:sz w:val="28"/>
          <w:szCs w:val="28"/>
          <w:lang w:val="en-US" w:eastAsia="zh-CN"/>
          <w14:textFill>
            <w14:solidFill>
              <w14:schemeClr w14:val="tx1"/>
            </w14:solidFill>
          </w14:textFill>
        </w:rPr>
        <w:t>项不合格。</w:t>
      </w:r>
    </w:p>
    <w:p w14:paraId="07908944">
      <w:pPr>
        <w:pStyle w:val="4"/>
        <w:pageBreakBefore w:val="0"/>
        <w:widowControl w:val="0"/>
        <w:kinsoku/>
        <w:wordWrap/>
        <w:overflowPunct/>
        <w:topLinePunct w:val="0"/>
        <w:autoSpaceDE/>
        <w:autoSpaceDN/>
        <w:bidi w:val="0"/>
        <w:spacing w:line="420" w:lineRule="exact"/>
        <w:textAlignment w:val="auto"/>
        <w:rPr>
          <w:color w:val="000000" w:themeColor="text1"/>
          <w14:textFill>
            <w14:solidFill>
              <w14:schemeClr w14:val="tx1"/>
            </w14:solidFill>
          </w14:textFill>
        </w:rPr>
      </w:pPr>
      <w:bookmarkStart w:id="470" w:name="_Toc11788"/>
      <w:r>
        <w:rPr>
          <w:rFonts w:hint="eastAsia" w:ascii="宋体" w:hAnsi="宋体" w:eastAsia="宋体" w:cs="宋体"/>
          <w:b/>
          <w:bCs w:val="0"/>
          <w:color w:val="000000" w:themeColor="text1"/>
          <w:sz w:val="30"/>
          <w:szCs w:val="30"/>
          <w:lang w:val="en-US" w:eastAsia="zh-CN"/>
          <w14:textFill>
            <w14:solidFill>
              <w14:schemeClr w14:val="tx1"/>
            </w14:solidFill>
          </w14:textFill>
        </w:rPr>
        <w:t>5.8.2</w:t>
      </w:r>
      <w:r>
        <w:rPr>
          <w:rFonts w:hint="eastAsia" w:ascii="宋体" w:hAnsi="宋体" w:eastAsia="宋体" w:cs="宋体"/>
          <w:b/>
          <w:bCs w:val="0"/>
          <w:color w:val="000000" w:themeColor="text1"/>
          <w:sz w:val="30"/>
          <w:szCs w:val="30"/>
          <w14:textFill>
            <w14:solidFill>
              <w14:schemeClr w14:val="tx1"/>
            </w14:solidFill>
          </w14:textFill>
        </w:rPr>
        <w:t>安全标志安全检查表</w:t>
      </w:r>
      <w:bookmarkEnd w:id="470"/>
    </w:p>
    <w:p w14:paraId="433F74F1">
      <w:pPr>
        <w:pStyle w:val="8"/>
        <w:keepNext w:val="0"/>
        <w:keepLines w:val="0"/>
        <w:pageBreakBefore w:val="0"/>
        <w:widowControl w:val="0"/>
        <w:numPr>
          <w:ilvl w:val="0"/>
          <w:numId w:val="0"/>
        </w:numPr>
        <w:kinsoku/>
        <w:wordWrap/>
        <w:overflowPunct/>
        <w:topLinePunct w:val="0"/>
        <w:autoSpaceDE/>
        <w:autoSpaceDN/>
        <w:bidi w:val="0"/>
        <w:spacing w:line="420" w:lineRule="exact"/>
        <w:ind w:left="0" w:leftChars="0" w:firstLine="482" w:firstLineChars="200"/>
        <w:jc w:val="center"/>
        <w:textAlignment w:val="auto"/>
        <w:rPr>
          <w:rFonts w:ascii="宋体" w:hAnsi="宋体"/>
          <w:color w:val="000000" w:themeColor="text1"/>
          <w:sz w:val="24"/>
          <w:szCs w:val="24"/>
          <w14:textFill>
            <w14:solidFill>
              <w14:schemeClr w14:val="tx1"/>
            </w14:solidFill>
          </w14:textFill>
        </w:rPr>
      </w:pPr>
      <w:r>
        <w:rPr>
          <w:color w:val="000000" w:themeColor="text1"/>
          <w14:textFill>
            <w14:solidFill>
              <w14:schemeClr w14:val="tx1"/>
            </w14:solidFill>
          </w14:textFill>
        </w:rPr>
        <w:t xml:space="preserve">表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5.7.1</w:t>
      </w:r>
      <w:r>
        <w:rPr>
          <w:rFonts w:ascii="宋体" w:hAnsi="宋体"/>
          <w:color w:val="000000" w:themeColor="text1"/>
          <w:sz w:val="24"/>
          <w:szCs w:val="24"/>
          <w14:textFill>
            <w14:solidFill>
              <w14:schemeClr w14:val="tx1"/>
            </w14:solidFill>
          </w14:textFill>
        </w:rPr>
        <w:t>安全标志安全检查表</w:t>
      </w:r>
    </w:p>
    <w:tbl>
      <w:tblPr>
        <w:tblStyle w:val="2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0"/>
        <w:gridCol w:w="1043"/>
        <w:gridCol w:w="2972"/>
        <w:gridCol w:w="3154"/>
        <w:gridCol w:w="1154"/>
      </w:tblGrid>
      <w:tr w14:paraId="60777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blHeader/>
          <w:jc w:val="center"/>
        </w:trPr>
        <w:tc>
          <w:tcPr>
            <w:tcW w:w="433" w:type="pct"/>
            <w:noWrap w:val="0"/>
            <w:vAlign w:val="center"/>
          </w:tcPr>
          <w:p w14:paraId="0179D025">
            <w:pPr>
              <w:pStyle w:val="30"/>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标志名称</w:t>
            </w:r>
          </w:p>
        </w:tc>
        <w:tc>
          <w:tcPr>
            <w:tcW w:w="572" w:type="pct"/>
            <w:noWrap w:val="0"/>
            <w:vAlign w:val="center"/>
          </w:tcPr>
          <w:p w14:paraId="4FDBC49A">
            <w:pPr>
              <w:pStyle w:val="30"/>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安全色</w:t>
            </w:r>
          </w:p>
        </w:tc>
        <w:tc>
          <w:tcPr>
            <w:tcW w:w="1630" w:type="pct"/>
            <w:noWrap w:val="0"/>
            <w:vAlign w:val="center"/>
          </w:tcPr>
          <w:p w14:paraId="1899A7D7">
            <w:pPr>
              <w:pStyle w:val="30"/>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设置场所</w:t>
            </w:r>
          </w:p>
        </w:tc>
        <w:tc>
          <w:tcPr>
            <w:tcW w:w="1730" w:type="pct"/>
            <w:noWrap w:val="0"/>
            <w:vAlign w:val="center"/>
          </w:tcPr>
          <w:p w14:paraId="63F66ECE">
            <w:pPr>
              <w:pStyle w:val="30"/>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标志内容</w:t>
            </w:r>
          </w:p>
        </w:tc>
        <w:tc>
          <w:tcPr>
            <w:tcW w:w="633" w:type="pct"/>
            <w:noWrap w:val="0"/>
            <w:vAlign w:val="center"/>
          </w:tcPr>
          <w:p w14:paraId="564BD24E">
            <w:pPr>
              <w:pStyle w:val="30"/>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检查结果</w:t>
            </w:r>
          </w:p>
        </w:tc>
      </w:tr>
      <w:tr w14:paraId="1C2C4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433" w:type="pct"/>
            <w:vMerge w:val="restart"/>
            <w:noWrap w:val="0"/>
            <w:vAlign w:val="center"/>
          </w:tcPr>
          <w:p w14:paraId="66925612">
            <w:pPr>
              <w:pStyle w:val="30"/>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禁止标志</w:t>
            </w:r>
          </w:p>
        </w:tc>
        <w:tc>
          <w:tcPr>
            <w:tcW w:w="572" w:type="pct"/>
            <w:vMerge w:val="restart"/>
            <w:noWrap w:val="0"/>
            <w:vAlign w:val="center"/>
          </w:tcPr>
          <w:p w14:paraId="73DCDDD5">
            <w:pPr>
              <w:pStyle w:val="30"/>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红色</w:t>
            </w:r>
          </w:p>
        </w:tc>
        <w:tc>
          <w:tcPr>
            <w:tcW w:w="1630" w:type="pct"/>
            <w:noWrap w:val="0"/>
            <w:vAlign w:val="center"/>
          </w:tcPr>
          <w:p w14:paraId="09C4D8C1">
            <w:pPr>
              <w:pStyle w:val="30"/>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电气设备</w:t>
            </w:r>
            <w:r>
              <w:rPr>
                <w:rFonts w:hint="eastAsia"/>
                <w:color w:val="000000" w:themeColor="text1"/>
                <w14:textFill>
                  <w14:solidFill>
                    <w14:schemeClr w14:val="tx1"/>
                  </w14:solidFill>
                </w14:textFill>
              </w:rPr>
              <w:t>等</w:t>
            </w:r>
            <w:r>
              <w:rPr>
                <w:color w:val="000000" w:themeColor="text1"/>
                <w14:textFill>
                  <w14:solidFill>
                    <w14:schemeClr w14:val="tx1"/>
                  </w14:solidFill>
                </w14:textFill>
              </w:rPr>
              <w:t>防护栏杆</w:t>
            </w:r>
          </w:p>
        </w:tc>
        <w:tc>
          <w:tcPr>
            <w:tcW w:w="1730" w:type="pct"/>
            <w:noWrap w:val="0"/>
            <w:vAlign w:val="center"/>
          </w:tcPr>
          <w:p w14:paraId="414BF4E7">
            <w:pPr>
              <w:pStyle w:val="30"/>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禁止跨越</w:t>
            </w:r>
          </w:p>
        </w:tc>
        <w:tc>
          <w:tcPr>
            <w:tcW w:w="633" w:type="pct"/>
            <w:noWrap w:val="0"/>
            <w:vAlign w:val="center"/>
          </w:tcPr>
          <w:p w14:paraId="747B543C">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已</w:t>
            </w:r>
            <w:r>
              <w:rPr>
                <w:color w:val="000000" w:themeColor="text1"/>
                <w14:textFill>
                  <w14:solidFill>
                    <w14:schemeClr w14:val="tx1"/>
                  </w14:solidFill>
                </w14:textFill>
              </w:rPr>
              <w:t>设</w:t>
            </w:r>
          </w:p>
        </w:tc>
      </w:tr>
      <w:tr w14:paraId="4DD46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433" w:type="pct"/>
            <w:vMerge w:val="restart"/>
            <w:noWrap w:val="0"/>
            <w:vAlign w:val="center"/>
          </w:tcPr>
          <w:p w14:paraId="7788DD0C">
            <w:pPr>
              <w:pStyle w:val="30"/>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警告标志</w:t>
            </w:r>
          </w:p>
        </w:tc>
        <w:tc>
          <w:tcPr>
            <w:tcW w:w="572" w:type="pct"/>
            <w:vMerge w:val="restart"/>
            <w:noWrap w:val="0"/>
            <w:vAlign w:val="center"/>
          </w:tcPr>
          <w:p w14:paraId="13790393">
            <w:pPr>
              <w:pStyle w:val="30"/>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黄色</w:t>
            </w:r>
          </w:p>
        </w:tc>
        <w:tc>
          <w:tcPr>
            <w:tcW w:w="1630" w:type="pct"/>
            <w:noWrap w:val="0"/>
            <w:vAlign w:val="center"/>
          </w:tcPr>
          <w:p w14:paraId="6EB3EB47">
            <w:pPr>
              <w:pStyle w:val="30"/>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灭火装置放置处</w:t>
            </w:r>
          </w:p>
        </w:tc>
        <w:tc>
          <w:tcPr>
            <w:tcW w:w="1730" w:type="pct"/>
            <w:noWrap w:val="0"/>
            <w:vAlign w:val="center"/>
          </w:tcPr>
          <w:p w14:paraId="5F4FDF5E">
            <w:pPr>
              <w:pStyle w:val="30"/>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黄色警</w:t>
            </w:r>
            <w:r>
              <w:rPr>
                <w:rFonts w:hint="eastAsia"/>
                <w:color w:val="000000" w:themeColor="text1"/>
                <w14:textFill>
                  <w14:solidFill>
                    <w14:schemeClr w14:val="tx1"/>
                  </w14:solidFill>
                </w14:textFill>
              </w:rPr>
              <w:t>戒</w:t>
            </w:r>
            <w:r>
              <w:rPr>
                <w:color w:val="000000" w:themeColor="text1"/>
                <w14:textFill>
                  <w14:solidFill>
                    <w14:schemeClr w14:val="tx1"/>
                  </w14:solidFill>
                </w14:textFill>
              </w:rPr>
              <w:t>线</w:t>
            </w:r>
          </w:p>
        </w:tc>
        <w:tc>
          <w:tcPr>
            <w:tcW w:w="633" w:type="pct"/>
            <w:noWrap w:val="0"/>
            <w:vAlign w:val="center"/>
          </w:tcPr>
          <w:p w14:paraId="41378840">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已</w:t>
            </w:r>
            <w:r>
              <w:rPr>
                <w:color w:val="000000" w:themeColor="text1"/>
                <w14:textFill>
                  <w14:solidFill>
                    <w14:schemeClr w14:val="tx1"/>
                  </w14:solidFill>
                </w14:textFill>
              </w:rPr>
              <w:t>设</w:t>
            </w:r>
          </w:p>
        </w:tc>
      </w:tr>
      <w:tr w14:paraId="60262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433" w:type="pct"/>
            <w:vMerge w:val="continue"/>
            <w:noWrap w:val="0"/>
            <w:vAlign w:val="center"/>
          </w:tcPr>
          <w:p w14:paraId="25908EB5">
            <w:pPr>
              <w:pStyle w:val="30"/>
              <w:keepNext w:val="0"/>
              <w:keepLines w:val="0"/>
              <w:pageBreakBefore w:val="0"/>
              <w:widowControl w:val="0"/>
              <w:kinsoku/>
              <w:bidi w:val="0"/>
              <w:rPr>
                <w:b/>
                <w:bCs/>
                <w:color w:val="000000" w:themeColor="text1"/>
                <w14:textFill>
                  <w14:solidFill>
                    <w14:schemeClr w14:val="tx1"/>
                  </w14:solidFill>
                </w14:textFill>
              </w:rPr>
            </w:pPr>
          </w:p>
        </w:tc>
        <w:tc>
          <w:tcPr>
            <w:tcW w:w="572" w:type="pct"/>
            <w:vMerge w:val="continue"/>
            <w:noWrap w:val="0"/>
            <w:vAlign w:val="center"/>
          </w:tcPr>
          <w:p w14:paraId="31AD215E">
            <w:pPr>
              <w:pStyle w:val="30"/>
              <w:keepNext w:val="0"/>
              <w:keepLines w:val="0"/>
              <w:pageBreakBefore w:val="0"/>
              <w:widowControl w:val="0"/>
              <w:kinsoku/>
              <w:bidi w:val="0"/>
              <w:rPr>
                <w:color w:val="000000" w:themeColor="text1"/>
                <w14:textFill>
                  <w14:solidFill>
                    <w14:schemeClr w14:val="tx1"/>
                  </w14:solidFill>
                </w14:textFill>
              </w:rPr>
            </w:pPr>
          </w:p>
        </w:tc>
        <w:tc>
          <w:tcPr>
            <w:tcW w:w="1630" w:type="pct"/>
            <w:noWrap w:val="0"/>
            <w:vAlign w:val="center"/>
          </w:tcPr>
          <w:p w14:paraId="0B210411">
            <w:pPr>
              <w:pStyle w:val="30"/>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高度超过2.0m的钢直梯</w:t>
            </w:r>
            <w:r>
              <w:rPr>
                <w:rFonts w:hint="eastAsia"/>
                <w:color w:val="000000" w:themeColor="text1"/>
                <w14:textFill>
                  <w14:solidFill>
                    <w14:schemeClr w14:val="tx1"/>
                  </w14:solidFill>
                </w14:textFill>
              </w:rPr>
              <w:t>和操作平台</w:t>
            </w:r>
          </w:p>
        </w:tc>
        <w:tc>
          <w:tcPr>
            <w:tcW w:w="1730" w:type="pct"/>
            <w:noWrap w:val="0"/>
            <w:vAlign w:val="center"/>
          </w:tcPr>
          <w:p w14:paraId="7CC8870E">
            <w:pPr>
              <w:pStyle w:val="30"/>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当心坠落</w:t>
            </w:r>
          </w:p>
        </w:tc>
        <w:tc>
          <w:tcPr>
            <w:tcW w:w="633" w:type="pct"/>
            <w:noWrap w:val="0"/>
            <w:vAlign w:val="center"/>
          </w:tcPr>
          <w:p w14:paraId="355DF00B">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已</w:t>
            </w:r>
            <w:r>
              <w:rPr>
                <w:color w:val="000000" w:themeColor="text1"/>
                <w14:textFill>
                  <w14:solidFill>
                    <w14:schemeClr w14:val="tx1"/>
                  </w14:solidFill>
                </w14:textFill>
              </w:rPr>
              <w:t>设</w:t>
            </w:r>
          </w:p>
        </w:tc>
      </w:tr>
      <w:tr w14:paraId="59F33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433" w:type="pct"/>
            <w:vMerge w:val="continue"/>
            <w:noWrap w:val="0"/>
            <w:vAlign w:val="center"/>
          </w:tcPr>
          <w:p w14:paraId="3FB9D764">
            <w:pPr>
              <w:pStyle w:val="30"/>
              <w:keepNext w:val="0"/>
              <w:keepLines w:val="0"/>
              <w:pageBreakBefore w:val="0"/>
              <w:widowControl w:val="0"/>
              <w:kinsoku/>
              <w:bidi w:val="0"/>
              <w:rPr>
                <w:b/>
                <w:bCs/>
                <w:color w:val="000000" w:themeColor="text1"/>
                <w14:textFill>
                  <w14:solidFill>
                    <w14:schemeClr w14:val="tx1"/>
                  </w14:solidFill>
                </w14:textFill>
              </w:rPr>
            </w:pPr>
          </w:p>
        </w:tc>
        <w:tc>
          <w:tcPr>
            <w:tcW w:w="572" w:type="pct"/>
            <w:vMerge w:val="continue"/>
            <w:noWrap w:val="0"/>
            <w:vAlign w:val="center"/>
          </w:tcPr>
          <w:p w14:paraId="155AB399">
            <w:pPr>
              <w:pStyle w:val="30"/>
              <w:keepNext w:val="0"/>
              <w:keepLines w:val="0"/>
              <w:pageBreakBefore w:val="0"/>
              <w:widowControl w:val="0"/>
              <w:kinsoku/>
              <w:bidi w:val="0"/>
              <w:rPr>
                <w:color w:val="000000" w:themeColor="text1"/>
                <w14:textFill>
                  <w14:solidFill>
                    <w14:schemeClr w14:val="tx1"/>
                  </w14:solidFill>
                </w14:textFill>
              </w:rPr>
            </w:pPr>
          </w:p>
        </w:tc>
        <w:tc>
          <w:tcPr>
            <w:tcW w:w="1630" w:type="pct"/>
            <w:noWrap w:val="0"/>
            <w:vAlign w:val="center"/>
          </w:tcPr>
          <w:p w14:paraId="36093583">
            <w:pPr>
              <w:pStyle w:val="30"/>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有塌方危险的地段</w:t>
            </w:r>
          </w:p>
        </w:tc>
        <w:tc>
          <w:tcPr>
            <w:tcW w:w="1730" w:type="pct"/>
            <w:noWrap w:val="0"/>
            <w:vAlign w:val="center"/>
          </w:tcPr>
          <w:p w14:paraId="44026806">
            <w:pPr>
              <w:pStyle w:val="30"/>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当心塌方</w:t>
            </w:r>
          </w:p>
        </w:tc>
        <w:tc>
          <w:tcPr>
            <w:tcW w:w="633" w:type="pct"/>
            <w:noWrap w:val="0"/>
            <w:vAlign w:val="center"/>
          </w:tcPr>
          <w:p w14:paraId="32413C53">
            <w:pPr>
              <w:pStyle w:val="30"/>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已</w:t>
            </w:r>
            <w:r>
              <w:rPr>
                <w:color w:val="000000" w:themeColor="text1"/>
                <w14:textFill>
                  <w14:solidFill>
                    <w14:schemeClr w14:val="tx1"/>
                  </w14:solidFill>
                </w14:textFill>
              </w:rPr>
              <w:t>设</w:t>
            </w:r>
          </w:p>
        </w:tc>
      </w:tr>
      <w:tr w14:paraId="00E29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433" w:type="pct"/>
            <w:vMerge w:val="continue"/>
            <w:noWrap w:val="0"/>
            <w:vAlign w:val="center"/>
          </w:tcPr>
          <w:p w14:paraId="544A1734">
            <w:pPr>
              <w:pStyle w:val="30"/>
              <w:keepNext w:val="0"/>
              <w:keepLines w:val="0"/>
              <w:pageBreakBefore w:val="0"/>
              <w:widowControl w:val="0"/>
              <w:kinsoku/>
              <w:bidi w:val="0"/>
              <w:rPr>
                <w:b/>
                <w:bCs/>
                <w:color w:val="000000" w:themeColor="text1"/>
                <w14:textFill>
                  <w14:solidFill>
                    <w14:schemeClr w14:val="tx1"/>
                  </w14:solidFill>
                </w14:textFill>
              </w:rPr>
            </w:pPr>
          </w:p>
        </w:tc>
        <w:tc>
          <w:tcPr>
            <w:tcW w:w="572" w:type="pct"/>
            <w:vMerge w:val="continue"/>
            <w:noWrap w:val="0"/>
            <w:vAlign w:val="center"/>
          </w:tcPr>
          <w:p w14:paraId="3161DE43">
            <w:pPr>
              <w:pStyle w:val="30"/>
              <w:keepNext w:val="0"/>
              <w:keepLines w:val="0"/>
              <w:pageBreakBefore w:val="0"/>
              <w:widowControl w:val="0"/>
              <w:kinsoku/>
              <w:bidi w:val="0"/>
              <w:rPr>
                <w:color w:val="000000" w:themeColor="text1"/>
                <w14:textFill>
                  <w14:solidFill>
                    <w14:schemeClr w14:val="tx1"/>
                  </w14:solidFill>
                </w14:textFill>
              </w:rPr>
            </w:pPr>
          </w:p>
        </w:tc>
        <w:tc>
          <w:tcPr>
            <w:tcW w:w="1630" w:type="pct"/>
            <w:noWrap w:val="0"/>
            <w:vAlign w:val="center"/>
          </w:tcPr>
          <w:p w14:paraId="1E66A50F">
            <w:pPr>
              <w:pStyle w:val="30"/>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光伏方阵围栏</w:t>
            </w:r>
          </w:p>
        </w:tc>
        <w:tc>
          <w:tcPr>
            <w:tcW w:w="1730" w:type="pct"/>
            <w:noWrap w:val="0"/>
            <w:vAlign w:val="top"/>
          </w:tcPr>
          <w:p w14:paraId="3F6629CF">
            <w:pPr>
              <w:pStyle w:val="30"/>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“注意安全</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当心触电</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当心火灾”</w:t>
            </w:r>
          </w:p>
        </w:tc>
        <w:tc>
          <w:tcPr>
            <w:tcW w:w="633" w:type="pct"/>
            <w:noWrap w:val="0"/>
            <w:vAlign w:val="center"/>
          </w:tcPr>
          <w:p w14:paraId="01DF6659">
            <w:pPr>
              <w:pStyle w:val="30"/>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已</w:t>
            </w:r>
            <w:r>
              <w:rPr>
                <w:color w:val="000000" w:themeColor="text1"/>
                <w14:textFill>
                  <w14:solidFill>
                    <w14:schemeClr w14:val="tx1"/>
                  </w14:solidFill>
                </w14:textFill>
              </w:rPr>
              <w:t>设</w:t>
            </w:r>
          </w:p>
        </w:tc>
      </w:tr>
      <w:tr w14:paraId="0317D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433" w:type="pct"/>
            <w:vMerge w:val="continue"/>
            <w:noWrap w:val="0"/>
            <w:vAlign w:val="center"/>
          </w:tcPr>
          <w:p w14:paraId="688D2A08">
            <w:pPr>
              <w:pStyle w:val="30"/>
              <w:keepNext w:val="0"/>
              <w:keepLines w:val="0"/>
              <w:pageBreakBefore w:val="0"/>
              <w:widowControl w:val="0"/>
              <w:kinsoku/>
              <w:bidi w:val="0"/>
              <w:rPr>
                <w:b/>
                <w:bCs/>
                <w:color w:val="000000" w:themeColor="text1"/>
                <w14:textFill>
                  <w14:solidFill>
                    <w14:schemeClr w14:val="tx1"/>
                  </w14:solidFill>
                </w14:textFill>
              </w:rPr>
            </w:pPr>
          </w:p>
        </w:tc>
        <w:tc>
          <w:tcPr>
            <w:tcW w:w="572" w:type="pct"/>
            <w:vMerge w:val="continue"/>
            <w:noWrap w:val="0"/>
            <w:vAlign w:val="center"/>
          </w:tcPr>
          <w:p w14:paraId="2B7B6EA6">
            <w:pPr>
              <w:pStyle w:val="30"/>
              <w:keepNext w:val="0"/>
              <w:keepLines w:val="0"/>
              <w:pageBreakBefore w:val="0"/>
              <w:widowControl w:val="0"/>
              <w:kinsoku/>
              <w:bidi w:val="0"/>
              <w:rPr>
                <w:color w:val="000000" w:themeColor="text1"/>
                <w14:textFill>
                  <w14:solidFill>
                    <w14:schemeClr w14:val="tx1"/>
                  </w14:solidFill>
                </w14:textFill>
              </w:rPr>
            </w:pPr>
          </w:p>
        </w:tc>
        <w:tc>
          <w:tcPr>
            <w:tcW w:w="1630" w:type="pct"/>
            <w:noWrap w:val="0"/>
            <w:vAlign w:val="center"/>
          </w:tcPr>
          <w:p w14:paraId="7890DA32">
            <w:pPr>
              <w:pStyle w:val="30"/>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电缆沟</w:t>
            </w:r>
          </w:p>
        </w:tc>
        <w:tc>
          <w:tcPr>
            <w:tcW w:w="1730" w:type="pct"/>
            <w:noWrap w:val="0"/>
            <w:vAlign w:val="top"/>
          </w:tcPr>
          <w:p w14:paraId="7A803B8F">
            <w:pPr>
              <w:pStyle w:val="30"/>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黄色警戒线、高压危险</w:t>
            </w:r>
          </w:p>
        </w:tc>
        <w:tc>
          <w:tcPr>
            <w:tcW w:w="633" w:type="pct"/>
            <w:noWrap w:val="0"/>
            <w:vAlign w:val="center"/>
          </w:tcPr>
          <w:p w14:paraId="4BAF2412">
            <w:pPr>
              <w:pStyle w:val="30"/>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已</w:t>
            </w:r>
            <w:r>
              <w:rPr>
                <w:color w:val="000000" w:themeColor="text1"/>
                <w14:textFill>
                  <w14:solidFill>
                    <w14:schemeClr w14:val="tx1"/>
                  </w14:solidFill>
                </w14:textFill>
              </w:rPr>
              <w:t>设</w:t>
            </w:r>
          </w:p>
        </w:tc>
      </w:tr>
      <w:tr w14:paraId="5A799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433" w:type="pct"/>
            <w:vMerge w:val="restart"/>
            <w:noWrap w:val="0"/>
            <w:vAlign w:val="center"/>
          </w:tcPr>
          <w:p w14:paraId="1E6C3E59">
            <w:pPr>
              <w:pStyle w:val="30"/>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指令标志</w:t>
            </w:r>
          </w:p>
        </w:tc>
        <w:tc>
          <w:tcPr>
            <w:tcW w:w="572" w:type="pct"/>
            <w:vMerge w:val="restart"/>
            <w:noWrap w:val="0"/>
            <w:vAlign w:val="center"/>
          </w:tcPr>
          <w:p w14:paraId="29A66BAC">
            <w:pPr>
              <w:pStyle w:val="30"/>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蓝色</w:t>
            </w:r>
          </w:p>
        </w:tc>
        <w:tc>
          <w:tcPr>
            <w:tcW w:w="1630" w:type="pct"/>
            <w:noWrap w:val="0"/>
            <w:vAlign w:val="top"/>
          </w:tcPr>
          <w:p w14:paraId="4F40C42F">
            <w:pPr>
              <w:pStyle w:val="30"/>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易触电场所</w:t>
            </w:r>
          </w:p>
        </w:tc>
        <w:tc>
          <w:tcPr>
            <w:tcW w:w="1730" w:type="pct"/>
            <w:noWrap w:val="0"/>
            <w:vAlign w:val="top"/>
          </w:tcPr>
          <w:p w14:paraId="3DAFF326">
            <w:pPr>
              <w:pStyle w:val="30"/>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当心触电</w:t>
            </w:r>
          </w:p>
        </w:tc>
        <w:tc>
          <w:tcPr>
            <w:tcW w:w="633" w:type="pct"/>
            <w:noWrap w:val="0"/>
            <w:vAlign w:val="top"/>
          </w:tcPr>
          <w:p w14:paraId="209B7677">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已</w:t>
            </w:r>
            <w:r>
              <w:rPr>
                <w:color w:val="000000" w:themeColor="text1"/>
                <w14:textFill>
                  <w14:solidFill>
                    <w14:schemeClr w14:val="tx1"/>
                  </w14:solidFill>
                </w14:textFill>
              </w:rPr>
              <w:t>设</w:t>
            </w:r>
          </w:p>
        </w:tc>
      </w:tr>
      <w:tr w14:paraId="2E0DF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433" w:type="pct"/>
            <w:vMerge w:val="continue"/>
            <w:noWrap w:val="0"/>
            <w:vAlign w:val="center"/>
          </w:tcPr>
          <w:p w14:paraId="19902B53">
            <w:pPr>
              <w:pStyle w:val="30"/>
              <w:keepNext w:val="0"/>
              <w:keepLines w:val="0"/>
              <w:pageBreakBefore w:val="0"/>
              <w:widowControl w:val="0"/>
              <w:kinsoku/>
              <w:bidi w:val="0"/>
              <w:rPr>
                <w:b/>
                <w:bCs/>
                <w:color w:val="000000" w:themeColor="text1"/>
                <w14:textFill>
                  <w14:solidFill>
                    <w14:schemeClr w14:val="tx1"/>
                  </w14:solidFill>
                </w14:textFill>
              </w:rPr>
            </w:pPr>
          </w:p>
        </w:tc>
        <w:tc>
          <w:tcPr>
            <w:tcW w:w="572" w:type="pct"/>
            <w:vMerge w:val="continue"/>
            <w:noWrap w:val="0"/>
            <w:vAlign w:val="center"/>
          </w:tcPr>
          <w:p w14:paraId="403DDC03">
            <w:pPr>
              <w:pStyle w:val="30"/>
              <w:keepNext w:val="0"/>
              <w:keepLines w:val="0"/>
              <w:pageBreakBefore w:val="0"/>
              <w:widowControl w:val="0"/>
              <w:kinsoku/>
              <w:bidi w:val="0"/>
              <w:rPr>
                <w:color w:val="000000" w:themeColor="text1"/>
                <w14:textFill>
                  <w14:solidFill>
                    <w14:schemeClr w14:val="tx1"/>
                  </w14:solidFill>
                </w14:textFill>
              </w:rPr>
            </w:pPr>
          </w:p>
        </w:tc>
        <w:tc>
          <w:tcPr>
            <w:tcW w:w="1630" w:type="pct"/>
            <w:noWrap w:val="0"/>
            <w:vAlign w:val="center"/>
          </w:tcPr>
          <w:p w14:paraId="6E09857E">
            <w:pPr>
              <w:pStyle w:val="30"/>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易发生坠落危险的作业场所（高度超过2m）</w:t>
            </w:r>
          </w:p>
        </w:tc>
        <w:tc>
          <w:tcPr>
            <w:tcW w:w="1730" w:type="pct"/>
            <w:noWrap w:val="0"/>
            <w:vAlign w:val="center"/>
          </w:tcPr>
          <w:p w14:paraId="34A89F85">
            <w:pPr>
              <w:pStyle w:val="30"/>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必须系安全带</w:t>
            </w:r>
          </w:p>
        </w:tc>
        <w:tc>
          <w:tcPr>
            <w:tcW w:w="633" w:type="pct"/>
            <w:noWrap w:val="0"/>
            <w:vAlign w:val="center"/>
          </w:tcPr>
          <w:p w14:paraId="53313715">
            <w:pPr>
              <w:pStyle w:val="30"/>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已设</w:t>
            </w:r>
          </w:p>
        </w:tc>
      </w:tr>
      <w:tr w14:paraId="20659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433" w:type="pct"/>
            <w:vMerge w:val="continue"/>
            <w:noWrap w:val="0"/>
            <w:vAlign w:val="center"/>
          </w:tcPr>
          <w:p w14:paraId="39B1D08A">
            <w:pPr>
              <w:pStyle w:val="30"/>
              <w:keepNext w:val="0"/>
              <w:keepLines w:val="0"/>
              <w:pageBreakBefore w:val="0"/>
              <w:widowControl w:val="0"/>
              <w:kinsoku/>
              <w:bidi w:val="0"/>
              <w:rPr>
                <w:b/>
                <w:bCs/>
                <w:color w:val="000000" w:themeColor="text1"/>
                <w14:textFill>
                  <w14:solidFill>
                    <w14:schemeClr w14:val="tx1"/>
                  </w14:solidFill>
                </w14:textFill>
              </w:rPr>
            </w:pPr>
          </w:p>
        </w:tc>
        <w:tc>
          <w:tcPr>
            <w:tcW w:w="572" w:type="pct"/>
            <w:vMerge w:val="continue"/>
            <w:noWrap w:val="0"/>
            <w:vAlign w:val="center"/>
          </w:tcPr>
          <w:p w14:paraId="38A1589D">
            <w:pPr>
              <w:pStyle w:val="30"/>
              <w:keepNext w:val="0"/>
              <w:keepLines w:val="0"/>
              <w:pageBreakBefore w:val="0"/>
              <w:widowControl w:val="0"/>
              <w:kinsoku/>
              <w:bidi w:val="0"/>
              <w:rPr>
                <w:color w:val="000000" w:themeColor="text1"/>
                <w14:textFill>
                  <w14:solidFill>
                    <w14:schemeClr w14:val="tx1"/>
                  </w14:solidFill>
                </w14:textFill>
              </w:rPr>
            </w:pPr>
          </w:p>
        </w:tc>
        <w:tc>
          <w:tcPr>
            <w:tcW w:w="1630" w:type="pct"/>
            <w:noWrap w:val="0"/>
            <w:vAlign w:val="center"/>
          </w:tcPr>
          <w:p w14:paraId="0C1854CE">
            <w:pPr>
              <w:pStyle w:val="30"/>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消防设施</w:t>
            </w:r>
          </w:p>
        </w:tc>
        <w:tc>
          <w:tcPr>
            <w:tcW w:w="1730" w:type="pct"/>
            <w:noWrap w:val="0"/>
            <w:vAlign w:val="center"/>
          </w:tcPr>
          <w:p w14:paraId="26175DA0">
            <w:pPr>
              <w:pStyle w:val="30"/>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灭火器</w:t>
            </w:r>
          </w:p>
        </w:tc>
        <w:tc>
          <w:tcPr>
            <w:tcW w:w="633" w:type="pct"/>
            <w:noWrap w:val="0"/>
            <w:vAlign w:val="center"/>
          </w:tcPr>
          <w:p w14:paraId="23872A89">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已</w:t>
            </w:r>
            <w:r>
              <w:rPr>
                <w:color w:val="000000" w:themeColor="text1"/>
                <w14:textFill>
                  <w14:solidFill>
                    <w14:schemeClr w14:val="tx1"/>
                  </w14:solidFill>
                </w14:textFill>
              </w:rPr>
              <w:t>设</w:t>
            </w:r>
          </w:p>
        </w:tc>
      </w:tr>
      <w:tr w14:paraId="5BFAC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433" w:type="pct"/>
            <w:noWrap w:val="0"/>
            <w:vAlign w:val="center"/>
          </w:tcPr>
          <w:p w14:paraId="3F8BA40F">
            <w:pPr>
              <w:pStyle w:val="30"/>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提示标志</w:t>
            </w:r>
          </w:p>
        </w:tc>
        <w:tc>
          <w:tcPr>
            <w:tcW w:w="572" w:type="pct"/>
            <w:noWrap w:val="0"/>
            <w:vAlign w:val="center"/>
          </w:tcPr>
          <w:p w14:paraId="4267305D">
            <w:pPr>
              <w:pStyle w:val="30"/>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绿色</w:t>
            </w:r>
          </w:p>
        </w:tc>
        <w:tc>
          <w:tcPr>
            <w:tcW w:w="1630" w:type="pct"/>
            <w:noWrap w:val="0"/>
            <w:vAlign w:val="center"/>
          </w:tcPr>
          <w:p w14:paraId="50427830">
            <w:pPr>
              <w:pStyle w:val="30"/>
              <w:keepNext w:val="0"/>
              <w:keepLines w:val="0"/>
              <w:pageBreakBefore w:val="0"/>
              <w:widowControl w:val="0"/>
              <w:kinsoku/>
              <w:bidi w:val="0"/>
              <w:jc w:val="both"/>
              <w:rPr>
                <w:color w:val="000000" w:themeColor="text1"/>
                <w14:textFill>
                  <w14:solidFill>
                    <w14:schemeClr w14:val="tx1"/>
                  </w14:solidFill>
                </w14:textFill>
              </w:rPr>
            </w:pPr>
            <w:r>
              <w:rPr>
                <w:color w:val="000000" w:themeColor="text1"/>
                <w14:textFill>
                  <w14:solidFill>
                    <w14:schemeClr w14:val="tx1"/>
                  </w14:solidFill>
                </w14:textFill>
              </w:rPr>
              <w:t>主要交通道口</w:t>
            </w:r>
          </w:p>
        </w:tc>
        <w:tc>
          <w:tcPr>
            <w:tcW w:w="1730" w:type="pct"/>
            <w:noWrap w:val="0"/>
            <w:vAlign w:val="center"/>
          </w:tcPr>
          <w:p w14:paraId="03717B52">
            <w:pPr>
              <w:pStyle w:val="30"/>
              <w:keepNext w:val="0"/>
              <w:keepLines w:val="0"/>
              <w:pageBreakBefore w:val="0"/>
              <w:widowControl w:val="0"/>
              <w:kinsoku/>
              <w:bidi w:val="0"/>
              <w:jc w:val="both"/>
              <w:rPr>
                <w:color w:val="000000" w:themeColor="text1"/>
                <w14:textFill>
                  <w14:solidFill>
                    <w14:schemeClr w14:val="tx1"/>
                  </w14:solidFill>
                </w14:textFill>
              </w:rPr>
            </w:pPr>
            <w:r>
              <w:rPr>
                <w:color w:val="000000" w:themeColor="text1"/>
                <w14:textFill>
                  <w14:solidFill>
                    <w14:schemeClr w14:val="tx1"/>
                  </w14:solidFill>
                </w14:textFill>
              </w:rPr>
              <w:t>当心车辆</w:t>
            </w:r>
          </w:p>
        </w:tc>
        <w:tc>
          <w:tcPr>
            <w:tcW w:w="633" w:type="pct"/>
            <w:tcBorders>
              <w:bottom w:val="single" w:color="auto" w:sz="4" w:space="0"/>
            </w:tcBorders>
            <w:noWrap w:val="0"/>
            <w:vAlign w:val="center"/>
          </w:tcPr>
          <w:p w14:paraId="00AFA576">
            <w:pPr>
              <w:pStyle w:val="3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已</w:t>
            </w:r>
            <w:r>
              <w:rPr>
                <w:color w:val="000000" w:themeColor="text1"/>
                <w14:textFill>
                  <w14:solidFill>
                    <w14:schemeClr w14:val="tx1"/>
                  </w14:solidFill>
                </w14:textFill>
              </w:rPr>
              <w:t>设</w:t>
            </w:r>
          </w:p>
        </w:tc>
      </w:tr>
    </w:tbl>
    <w:p w14:paraId="1962EEA4">
      <w:pPr>
        <w:pStyle w:val="4"/>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471" w:name="_Toc2249"/>
      <w:bookmarkStart w:id="472" w:name="_Toc1532"/>
      <w:bookmarkStart w:id="473" w:name="_Toc30431"/>
      <w:bookmarkStart w:id="474" w:name="_Toc195424910"/>
      <w:bookmarkStart w:id="475" w:name="_Toc242850469"/>
      <w:bookmarkStart w:id="476" w:name="_Toc17255"/>
      <w:bookmarkStart w:id="477" w:name="_Toc194127802"/>
      <w:r>
        <w:rPr>
          <w:rFonts w:hint="eastAsia" w:ascii="宋体" w:hAnsi="宋体" w:eastAsia="宋体" w:cs="宋体"/>
          <w:b/>
          <w:bCs w:val="0"/>
          <w:color w:val="000000" w:themeColor="text1"/>
          <w:sz w:val="30"/>
          <w:szCs w:val="30"/>
          <w:lang w:val="en-US" w:eastAsia="zh-CN"/>
          <w14:textFill>
            <w14:solidFill>
              <w14:schemeClr w14:val="tx1"/>
            </w14:solidFill>
          </w14:textFill>
        </w:rPr>
        <w:t>5.8.3</w:t>
      </w:r>
      <w:r>
        <w:rPr>
          <w:rFonts w:hint="eastAsia" w:ascii="宋体" w:hAnsi="宋体" w:eastAsia="宋体" w:cs="宋体"/>
          <w:b/>
          <w:bCs w:val="0"/>
          <w:color w:val="000000" w:themeColor="text1"/>
          <w:sz w:val="30"/>
          <w:szCs w:val="30"/>
          <w14:textFill>
            <w14:solidFill>
              <w14:schemeClr w14:val="tx1"/>
            </w14:solidFill>
          </w14:textFill>
        </w:rPr>
        <w:t>单元小结</w:t>
      </w:r>
      <w:bookmarkEnd w:id="471"/>
      <w:bookmarkEnd w:id="472"/>
      <w:bookmarkEnd w:id="473"/>
    </w:p>
    <w:p w14:paraId="3263123B">
      <w:pPr>
        <w:pStyle w:val="10"/>
        <w:pageBreakBefore w:val="0"/>
        <w:widowControl w:val="0"/>
        <w:kinsoku/>
        <w:wordWrap/>
        <w:overflowPunct/>
        <w:topLinePunct w:val="0"/>
        <w:autoSpaceDE/>
        <w:autoSpaceDN/>
        <w:bidi w:val="0"/>
        <w:spacing w:before="268" w:line="420" w:lineRule="exact"/>
        <w:ind w:left="120" w:right="92" w:firstLine="583"/>
        <w:jc w:val="both"/>
        <w:textAlignment w:val="auto"/>
        <w:rPr>
          <w:rFonts w:ascii="Times New Roman" w:hAnsi="Times New Roman" w:eastAsia="宋体" w:cs="Times New Roman"/>
          <w:color w:val="000000" w:themeColor="text1"/>
          <w:kern w:val="2"/>
          <w:sz w:val="28"/>
          <w:szCs w:val="24"/>
          <w:lang w:val="en-US" w:eastAsia="zh-CN" w:bidi="ar-SA"/>
          <w14:textFill>
            <w14:solidFill>
              <w14:schemeClr w14:val="tx1"/>
            </w14:solidFill>
          </w14:textFill>
        </w:rPr>
      </w:pPr>
      <w:r>
        <w:rPr>
          <w:rFonts w:ascii="Times New Roman" w:hAnsi="Times New Roman" w:eastAsia="宋体" w:cs="Times New Roman"/>
          <w:color w:val="000000" w:themeColor="text1"/>
          <w:kern w:val="2"/>
          <w:sz w:val="28"/>
          <w:szCs w:val="24"/>
          <w:lang w:val="en-US" w:eastAsia="zh-CN" w:bidi="ar-SA"/>
          <w14:textFill>
            <w14:solidFill>
              <w14:schemeClr w14:val="tx1"/>
            </w14:solidFill>
          </w14:textFill>
        </w:rPr>
        <w:t>该电站按照国家</w:t>
      </w: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t>法律法规</w:t>
      </w:r>
      <w:r>
        <w:rPr>
          <w:rFonts w:ascii="Times New Roman" w:hAnsi="Times New Roman" w:eastAsia="宋体" w:cs="Times New Roman"/>
          <w:color w:val="000000" w:themeColor="text1"/>
          <w:kern w:val="2"/>
          <w:sz w:val="28"/>
          <w:szCs w:val="24"/>
          <w:lang w:val="en-US" w:eastAsia="zh-CN" w:bidi="ar-SA"/>
          <w14:textFill>
            <w14:solidFill>
              <w14:schemeClr w14:val="tx1"/>
            </w14:solidFill>
          </w14:textFill>
        </w:rPr>
        <w:t>的要求，结合自身实际，公司实行总经理领导下的站长负责制，站长对总经理负责。电站设置办公室、后勤班、 运行班、检修班等，公司从站长到班组，层层落实各自的职责，对公司的安全生产进行管理。电站设置了主要负责人和安全管理员。电站提供了特种作业人员的资格证。电站制定了安全管理制度、运行规程和检修维护规 程等安全管理规章制度。部分管理制度已在中控室上墙悬挂；制定了《生产安全事故应急预案》，并按要求组织应急演练。电站运行作业人员持电工作业证；为从业人员配备了劳保用品及安全工器具，并定期检验；配备了应急器材；危险场所设置了安全警示标志和警戒线；建立了较齐全的安全管理台账。</w:t>
      </w:r>
    </w:p>
    <w:bookmarkEnd w:id="474"/>
    <w:bookmarkEnd w:id="475"/>
    <w:bookmarkEnd w:id="476"/>
    <w:bookmarkEnd w:id="477"/>
    <w:p w14:paraId="2F03D4A7">
      <w:pPr>
        <w:keepLines w:val="0"/>
        <w:pageBreakBefore w:val="0"/>
        <w:widowControl w:val="0"/>
        <w:numPr>
          <w:ilvl w:val="0"/>
          <w:numId w:val="0"/>
        </w:numPr>
        <w:kinsoku/>
        <w:wordWrap/>
        <w:overflowPunct/>
        <w:topLinePunct w:val="0"/>
        <w:autoSpaceDE/>
        <w:autoSpaceDN/>
        <w:bidi w:val="0"/>
        <w:spacing w:line="480" w:lineRule="exact"/>
        <w:jc w:val="both"/>
        <w:textAlignment w:val="auto"/>
        <w:outlineLvl w:val="9"/>
        <w:rPr>
          <w:rFonts w:hint="eastAsia" w:ascii="Times New Roman" w:hAnsi="Times New Roman" w:eastAsia="宋体" w:cs="Times New Roman"/>
          <w:b/>
          <w:bCs/>
          <w:kern w:val="2"/>
          <w:sz w:val="32"/>
          <w:szCs w:val="32"/>
          <w:lang w:val="en-US" w:eastAsia="zh-CN" w:bidi="ar-SA"/>
        </w:rPr>
      </w:pPr>
    </w:p>
    <w:p w14:paraId="6FB03DCC">
      <w:pPr>
        <w:keepLines w:val="0"/>
        <w:pageBreakBefore w:val="0"/>
        <w:widowControl w:val="0"/>
        <w:numPr>
          <w:ilvl w:val="0"/>
          <w:numId w:val="0"/>
        </w:numPr>
        <w:kinsoku/>
        <w:wordWrap/>
        <w:overflowPunct/>
        <w:topLinePunct w:val="0"/>
        <w:autoSpaceDE/>
        <w:autoSpaceDN/>
        <w:bidi w:val="0"/>
        <w:spacing w:line="480" w:lineRule="exact"/>
        <w:jc w:val="center"/>
        <w:textAlignment w:val="auto"/>
        <w:outlineLvl w:val="9"/>
        <w:rPr>
          <w:rFonts w:hint="eastAsia" w:ascii="Times New Roman" w:hAnsi="Times New Roman" w:eastAsia="宋体" w:cs="Times New Roman"/>
          <w:b/>
          <w:bCs/>
          <w:kern w:val="2"/>
          <w:sz w:val="32"/>
          <w:szCs w:val="32"/>
          <w:lang w:val="en-US" w:eastAsia="zh-CN" w:bidi="ar-SA"/>
        </w:rPr>
      </w:pPr>
    </w:p>
    <w:p w14:paraId="624DB4B9">
      <w:pPr>
        <w:keepLines w:val="0"/>
        <w:pageBreakBefore w:val="0"/>
        <w:widowControl w:val="0"/>
        <w:numPr>
          <w:ilvl w:val="0"/>
          <w:numId w:val="0"/>
        </w:numPr>
        <w:kinsoku/>
        <w:wordWrap/>
        <w:overflowPunct/>
        <w:topLinePunct w:val="0"/>
        <w:autoSpaceDE/>
        <w:autoSpaceDN/>
        <w:bidi w:val="0"/>
        <w:spacing w:line="480" w:lineRule="exact"/>
        <w:jc w:val="center"/>
        <w:textAlignment w:val="auto"/>
        <w:outlineLvl w:val="9"/>
        <w:rPr>
          <w:rFonts w:hint="eastAsia" w:ascii="Times New Roman" w:hAnsi="Times New Roman" w:eastAsia="宋体" w:cs="Times New Roman"/>
          <w:b/>
          <w:bCs/>
          <w:kern w:val="2"/>
          <w:sz w:val="32"/>
          <w:szCs w:val="32"/>
          <w:lang w:val="en-US" w:eastAsia="zh-CN" w:bidi="ar-SA"/>
        </w:rPr>
      </w:pPr>
    </w:p>
    <w:p w14:paraId="12B3B870">
      <w:pPr>
        <w:keepLines w:val="0"/>
        <w:pageBreakBefore w:val="0"/>
        <w:widowControl w:val="0"/>
        <w:numPr>
          <w:ilvl w:val="0"/>
          <w:numId w:val="0"/>
        </w:numPr>
        <w:kinsoku/>
        <w:wordWrap/>
        <w:overflowPunct/>
        <w:topLinePunct w:val="0"/>
        <w:autoSpaceDE/>
        <w:autoSpaceDN/>
        <w:bidi w:val="0"/>
        <w:spacing w:line="480" w:lineRule="exact"/>
        <w:jc w:val="center"/>
        <w:textAlignment w:val="auto"/>
        <w:outlineLvl w:val="9"/>
        <w:rPr>
          <w:rFonts w:hint="eastAsia" w:ascii="Times New Roman" w:hAnsi="Times New Roman" w:eastAsia="宋体" w:cs="Times New Roman"/>
          <w:b/>
          <w:bCs/>
          <w:kern w:val="2"/>
          <w:sz w:val="32"/>
          <w:szCs w:val="32"/>
          <w:lang w:val="en-US" w:eastAsia="zh-CN" w:bidi="ar-SA"/>
        </w:rPr>
      </w:pPr>
    </w:p>
    <w:p w14:paraId="0BA8F64D">
      <w:pPr>
        <w:keepLines w:val="0"/>
        <w:pageBreakBefore w:val="0"/>
        <w:widowControl w:val="0"/>
        <w:numPr>
          <w:ilvl w:val="0"/>
          <w:numId w:val="0"/>
        </w:numPr>
        <w:kinsoku/>
        <w:wordWrap/>
        <w:overflowPunct/>
        <w:topLinePunct w:val="0"/>
        <w:autoSpaceDE/>
        <w:autoSpaceDN/>
        <w:bidi w:val="0"/>
        <w:spacing w:line="480" w:lineRule="exact"/>
        <w:jc w:val="center"/>
        <w:textAlignment w:val="auto"/>
        <w:outlineLvl w:val="9"/>
        <w:rPr>
          <w:rFonts w:hint="eastAsia" w:ascii="Times New Roman" w:hAnsi="Times New Roman" w:eastAsia="宋体" w:cs="Times New Roman"/>
          <w:b/>
          <w:bCs/>
          <w:kern w:val="2"/>
          <w:sz w:val="32"/>
          <w:szCs w:val="32"/>
          <w:lang w:val="en-US" w:eastAsia="zh-CN" w:bidi="ar-SA"/>
        </w:rPr>
      </w:pPr>
    </w:p>
    <w:p w14:paraId="1EF314AA">
      <w:pPr>
        <w:keepLines w:val="0"/>
        <w:pageBreakBefore w:val="0"/>
        <w:widowControl w:val="0"/>
        <w:numPr>
          <w:ilvl w:val="0"/>
          <w:numId w:val="0"/>
        </w:numPr>
        <w:kinsoku/>
        <w:wordWrap/>
        <w:overflowPunct/>
        <w:topLinePunct w:val="0"/>
        <w:autoSpaceDE/>
        <w:autoSpaceDN/>
        <w:bidi w:val="0"/>
        <w:spacing w:line="480" w:lineRule="exact"/>
        <w:jc w:val="center"/>
        <w:textAlignment w:val="auto"/>
        <w:outlineLvl w:val="9"/>
        <w:rPr>
          <w:rFonts w:hint="eastAsia" w:ascii="Times New Roman" w:hAnsi="Times New Roman" w:eastAsia="宋体" w:cs="Times New Roman"/>
          <w:b/>
          <w:bCs/>
          <w:kern w:val="2"/>
          <w:sz w:val="32"/>
          <w:szCs w:val="32"/>
          <w:lang w:val="en-US" w:eastAsia="zh-CN" w:bidi="ar-SA"/>
        </w:rPr>
      </w:pPr>
    </w:p>
    <w:p w14:paraId="2ED4EAA7">
      <w:pPr>
        <w:keepLines w:val="0"/>
        <w:pageBreakBefore w:val="0"/>
        <w:widowControl w:val="0"/>
        <w:numPr>
          <w:ilvl w:val="0"/>
          <w:numId w:val="0"/>
        </w:numPr>
        <w:kinsoku/>
        <w:wordWrap/>
        <w:overflowPunct/>
        <w:topLinePunct w:val="0"/>
        <w:autoSpaceDE/>
        <w:autoSpaceDN/>
        <w:bidi w:val="0"/>
        <w:spacing w:line="480" w:lineRule="exact"/>
        <w:jc w:val="center"/>
        <w:textAlignment w:val="auto"/>
        <w:outlineLvl w:val="9"/>
        <w:rPr>
          <w:rFonts w:hint="eastAsia" w:ascii="Times New Roman" w:hAnsi="Times New Roman" w:eastAsia="宋体" w:cs="Times New Roman"/>
          <w:b/>
          <w:bCs/>
          <w:kern w:val="2"/>
          <w:sz w:val="32"/>
          <w:szCs w:val="32"/>
          <w:lang w:val="en-US" w:eastAsia="zh-CN" w:bidi="ar-SA"/>
        </w:rPr>
      </w:pPr>
    </w:p>
    <w:p w14:paraId="3641D459">
      <w:pPr>
        <w:keepLines w:val="0"/>
        <w:pageBreakBefore w:val="0"/>
        <w:widowControl w:val="0"/>
        <w:numPr>
          <w:ilvl w:val="0"/>
          <w:numId w:val="0"/>
        </w:numPr>
        <w:kinsoku/>
        <w:wordWrap/>
        <w:overflowPunct/>
        <w:topLinePunct w:val="0"/>
        <w:autoSpaceDE/>
        <w:autoSpaceDN/>
        <w:bidi w:val="0"/>
        <w:spacing w:line="480" w:lineRule="exact"/>
        <w:jc w:val="center"/>
        <w:textAlignment w:val="auto"/>
        <w:outlineLvl w:val="9"/>
        <w:rPr>
          <w:rFonts w:hint="eastAsia" w:ascii="Times New Roman" w:hAnsi="Times New Roman" w:eastAsia="宋体" w:cs="Times New Roman"/>
          <w:b/>
          <w:bCs/>
          <w:kern w:val="2"/>
          <w:sz w:val="32"/>
          <w:szCs w:val="32"/>
          <w:lang w:val="en-US" w:eastAsia="zh-CN" w:bidi="ar-SA"/>
        </w:rPr>
      </w:pPr>
    </w:p>
    <w:p w14:paraId="2F9473C2">
      <w:pPr>
        <w:keepLines w:val="0"/>
        <w:pageBreakBefore w:val="0"/>
        <w:widowControl w:val="0"/>
        <w:numPr>
          <w:ilvl w:val="0"/>
          <w:numId w:val="0"/>
        </w:numPr>
        <w:kinsoku/>
        <w:wordWrap/>
        <w:overflowPunct/>
        <w:topLinePunct w:val="0"/>
        <w:autoSpaceDE/>
        <w:autoSpaceDN/>
        <w:bidi w:val="0"/>
        <w:spacing w:line="480" w:lineRule="exact"/>
        <w:jc w:val="center"/>
        <w:textAlignment w:val="auto"/>
        <w:outlineLvl w:val="9"/>
        <w:rPr>
          <w:rFonts w:hint="eastAsia" w:ascii="Times New Roman" w:hAnsi="Times New Roman" w:eastAsia="宋体" w:cs="Times New Roman"/>
          <w:b/>
          <w:bCs/>
          <w:kern w:val="2"/>
          <w:sz w:val="32"/>
          <w:szCs w:val="32"/>
          <w:lang w:val="en-US" w:eastAsia="zh-CN" w:bidi="ar-SA"/>
        </w:rPr>
      </w:pPr>
    </w:p>
    <w:p w14:paraId="3DB4DB16">
      <w:pPr>
        <w:keepLines w:val="0"/>
        <w:pageBreakBefore w:val="0"/>
        <w:widowControl w:val="0"/>
        <w:numPr>
          <w:ilvl w:val="0"/>
          <w:numId w:val="0"/>
        </w:numPr>
        <w:kinsoku/>
        <w:wordWrap/>
        <w:overflowPunct/>
        <w:topLinePunct w:val="0"/>
        <w:autoSpaceDE/>
        <w:autoSpaceDN/>
        <w:bidi w:val="0"/>
        <w:spacing w:line="480" w:lineRule="exact"/>
        <w:jc w:val="center"/>
        <w:textAlignment w:val="auto"/>
        <w:outlineLvl w:val="9"/>
        <w:rPr>
          <w:rFonts w:hint="eastAsia" w:ascii="Times New Roman" w:hAnsi="Times New Roman" w:eastAsia="宋体" w:cs="Times New Roman"/>
          <w:b/>
          <w:bCs/>
          <w:kern w:val="2"/>
          <w:sz w:val="32"/>
          <w:szCs w:val="32"/>
          <w:lang w:val="en-US" w:eastAsia="zh-CN" w:bidi="ar-SA"/>
        </w:rPr>
      </w:pPr>
    </w:p>
    <w:p w14:paraId="4B7D0CFF">
      <w:pPr>
        <w:keepLines w:val="0"/>
        <w:pageBreakBefore w:val="0"/>
        <w:widowControl w:val="0"/>
        <w:numPr>
          <w:ilvl w:val="0"/>
          <w:numId w:val="0"/>
        </w:numPr>
        <w:kinsoku/>
        <w:wordWrap/>
        <w:overflowPunct/>
        <w:topLinePunct w:val="0"/>
        <w:autoSpaceDE/>
        <w:autoSpaceDN/>
        <w:bidi w:val="0"/>
        <w:spacing w:line="480" w:lineRule="exact"/>
        <w:jc w:val="center"/>
        <w:textAlignment w:val="auto"/>
        <w:outlineLvl w:val="9"/>
        <w:rPr>
          <w:rFonts w:hint="eastAsia" w:ascii="Times New Roman" w:hAnsi="Times New Roman" w:eastAsia="宋体" w:cs="Times New Roman"/>
          <w:b/>
          <w:bCs/>
          <w:kern w:val="2"/>
          <w:sz w:val="32"/>
          <w:szCs w:val="32"/>
          <w:lang w:val="en-US" w:eastAsia="zh-CN" w:bidi="ar-SA"/>
        </w:rPr>
      </w:pPr>
    </w:p>
    <w:p w14:paraId="01BAE139">
      <w:pPr>
        <w:keepLines w:val="0"/>
        <w:pageBreakBefore w:val="0"/>
        <w:widowControl w:val="0"/>
        <w:numPr>
          <w:ilvl w:val="0"/>
          <w:numId w:val="0"/>
        </w:numPr>
        <w:kinsoku/>
        <w:wordWrap/>
        <w:overflowPunct/>
        <w:topLinePunct w:val="0"/>
        <w:autoSpaceDE/>
        <w:autoSpaceDN/>
        <w:bidi w:val="0"/>
        <w:spacing w:line="420" w:lineRule="exact"/>
        <w:jc w:val="center"/>
        <w:textAlignment w:val="auto"/>
        <w:outlineLvl w:val="0"/>
        <w:rPr>
          <w:rFonts w:hint="eastAsia"/>
          <w:b/>
          <w:bCs/>
          <w:sz w:val="32"/>
          <w:szCs w:val="32"/>
          <w:lang w:val="en-US" w:eastAsia="zh-CN"/>
        </w:rPr>
      </w:pPr>
      <w:bookmarkStart w:id="478" w:name="_Toc30321"/>
      <w:r>
        <w:rPr>
          <w:rFonts w:hint="eastAsia" w:ascii="宋体" w:hAnsi="宋体" w:eastAsia="宋体" w:cs="宋体"/>
          <w:b/>
          <w:bCs/>
          <w:kern w:val="2"/>
          <w:sz w:val="32"/>
          <w:szCs w:val="32"/>
          <w:lang w:val="en-US" w:eastAsia="zh-CN" w:bidi="ar-SA"/>
        </w:rPr>
        <w:t xml:space="preserve">6 </w:t>
      </w:r>
      <w:r>
        <w:rPr>
          <w:rFonts w:hint="eastAsia"/>
          <w:b/>
          <w:bCs/>
          <w:sz w:val="32"/>
          <w:szCs w:val="32"/>
          <w:lang w:val="en-US" w:eastAsia="zh-CN"/>
        </w:rPr>
        <w:t>安全对策措施及建议</w:t>
      </w:r>
      <w:bookmarkEnd w:id="478"/>
    </w:p>
    <w:p w14:paraId="7B22068C">
      <w:pPr>
        <w:pStyle w:val="3"/>
        <w:keepLines w:val="0"/>
        <w:pageBreakBefore w:val="0"/>
        <w:widowControl w:val="0"/>
        <w:tabs>
          <w:tab w:val="left" w:pos="0"/>
        </w:tabs>
        <w:kinsoku/>
        <w:wordWrap/>
        <w:overflowPunct/>
        <w:topLinePunct w:val="0"/>
        <w:autoSpaceDE/>
        <w:autoSpaceDN/>
        <w:bidi w:val="0"/>
        <w:spacing w:line="420" w:lineRule="exact"/>
        <w:textAlignment w:val="auto"/>
        <w:rPr>
          <w:rFonts w:hint="eastAsia" w:ascii="宋体" w:hAnsi="宋体" w:eastAsia="宋体" w:cs="宋体"/>
          <w:b/>
          <w:bCs w:val="0"/>
          <w:color w:val="000000" w:themeColor="text1"/>
          <w14:textFill>
            <w14:solidFill>
              <w14:schemeClr w14:val="tx1"/>
            </w14:solidFill>
          </w14:textFill>
        </w:rPr>
      </w:pPr>
      <w:bookmarkStart w:id="479" w:name="_Toc10711"/>
      <w:bookmarkStart w:id="480" w:name="_Toc13260"/>
      <w:r>
        <w:rPr>
          <w:rFonts w:hint="eastAsia" w:ascii="宋体" w:hAnsi="宋体" w:eastAsia="宋体" w:cs="宋体"/>
          <w:b/>
          <w:bCs w:val="0"/>
          <w:color w:val="000000" w:themeColor="text1"/>
          <w:highlight w:val="none"/>
          <w:lang w:val="en-US" w:eastAsia="zh-CN"/>
          <w14:textFill>
            <w14:solidFill>
              <w14:schemeClr w14:val="tx1"/>
            </w14:solidFill>
          </w14:textFill>
        </w:rPr>
        <w:t>6.1企业整改完成落实情况</w:t>
      </w:r>
      <w:bookmarkEnd w:id="479"/>
      <w:bookmarkEnd w:id="480"/>
    </w:p>
    <w:p w14:paraId="29AE432F">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SA"/>
          <w14:textFill>
            <w14:solidFill>
              <w14:schemeClr w14:val="tx1"/>
            </w14:solidFill>
          </w14:textFill>
        </w:rPr>
        <w:t>评价组于202</w:t>
      </w:r>
      <w:r>
        <w:rPr>
          <w:rFonts w:hint="eastAsia" w:ascii="宋体" w:hAnsi="宋体" w:cs="宋体"/>
          <w:color w:val="000000" w:themeColor="text1"/>
          <w:kern w:val="2"/>
          <w:sz w:val="28"/>
          <w:szCs w:val="28"/>
          <w:lang w:val="en-US" w:eastAsia="zh-CN" w:bidi="ar-SA"/>
          <w14:textFill>
            <w14:solidFill>
              <w14:schemeClr w14:val="tx1"/>
            </w14:solidFill>
          </w14:textFill>
        </w:rPr>
        <w:t>5</w:t>
      </w:r>
      <w:r>
        <w:rPr>
          <w:rFonts w:hint="eastAsia" w:ascii="宋体" w:hAnsi="宋体" w:eastAsia="宋体" w:cs="宋体"/>
          <w:color w:val="000000" w:themeColor="text1"/>
          <w:kern w:val="2"/>
          <w:sz w:val="28"/>
          <w:szCs w:val="28"/>
          <w:lang w:val="en-US" w:eastAsia="zh-CN" w:bidi="ar-SA"/>
          <w14:textFill>
            <w14:solidFill>
              <w14:schemeClr w14:val="tx1"/>
            </w14:solidFill>
          </w14:textFill>
        </w:rPr>
        <w:t>年</w:t>
      </w:r>
      <w:r>
        <w:rPr>
          <w:rFonts w:hint="eastAsia" w:ascii="宋体" w:hAnsi="宋体" w:cs="宋体"/>
          <w:color w:val="000000" w:themeColor="text1"/>
          <w:kern w:val="2"/>
          <w:sz w:val="28"/>
          <w:szCs w:val="28"/>
          <w:lang w:val="en-US" w:eastAsia="zh-CN" w:bidi="ar-SA"/>
          <w14:textFill>
            <w14:solidFill>
              <w14:schemeClr w14:val="tx1"/>
            </w14:solidFill>
          </w14:textFill>
        </w:rPr>
        <w:t>11</w:t>
      </w:r>
      <w:r>
        <w:rPr>
          <w:rFonts w:hint="eastAsia" w:ascii="宋体" w:hAnsi="宋体" w:eastAsia="宋体" w:cs="宋体"/>
          <w:color w:val="000000" w:themeColor="text1"/>
          <w:kern w:val="2"/>
          <w:sz w:val="28"/>
          <w:szCs w:val="28"/>
          <w:lang w:val="en-US" w:eastAsia="zh-CN" w:bidi="ar-SA"/>
          <w14:textFill>
            <w14:solidFill>
              <w14:schemeClr w14:val="tx1"/>
            </w14:solidFill>
          </w14:textFill>
        </w:rPr>
        <w:t>月1日对华能澜沧江（景洪）新能源有限公司</w:t>
      </w:r>
      <w:r>
        <w:rPr>
          <w:rFonts w:hint="eastAsia" w:ascii="宋体" w:hAnsi="宋体" w:eastAsia="宋体" w:cs="宋体"/>
          <w:color w:val="000000" w:themeColor="text1"/>
          <w:sz w:val="28"/>
          <w:szCs w:val="28"/>
          <w:lang w:val="en-US" w:eastAsia="zh-CN"/>
          <w14:textFill>
            <w14:solidFill>
              <w14:schemeClr w14:val="tx1"/>
            </w14:solidFill>
          </w14:textFill>
        </w:rPr>
        <w:t>景讷乡大寨村云盘</w:t>
      </w:r>
      <w:r>
        <w:rPr>
          <w:rFonts w:hint="eastAsia" w:ascii="宋体" w:hAnsi="宋体" w:eastAsia="宋体" w:cs="宋体"/>
          <w:color w:val="000000" w:themeColor="text1"/>
          <w:kern w:val="2"/>
          <w:sz w:val="28"/>
          <w:szCs w:val="28"/>
          <w:lang w:val="en-US" w:eastAsia="zh-CN" w:bidi="ar-SA"/>
          <w14:textFill>
            <w14:solidFill>
              <w14:schemeClr w14:val="tx1"/>
            </w14:solidFill>
          </w14:textFill>
        </w:rPr>
        <w:t>光伏电站进行了现场检查，针对现场情况提出了现场检查整改建议，</w:t>
      </w:r>
      <w:r>
        <w:rPr>
          <w:rFonts w:hint="eastAsia" w:ascii="宋体" w:hAnsi="宋体" w:eastAsia="宋体" w:cs="宋体"/>
          <w:color w:val="000000" w:themeColor="text1"/>
          <w:sz w:val="28"/>
          <w:szCs w:val="28"/>
          <w14:textFill>
            <w14:solidFill>
              <w14:schemeClr w14:val="tx1"/>
            </w14:solidFill>
          </w14:textFill>
        </w:rPr>
        <w:t>企业根据现场整改建议，认真分析存在问题的原因，研究整改计划，落实整改负责人、资金和时限。企业于20</w:t>
      </w: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cs="宋体"/>
          <w:color w:val="000000" w:themeColor="text1"/>
          <w:sz w:val="28"/>
          <w:szCs w:val="28"/>
          <w:lang w:val="en-US" w:eastAsia="zh-CN"/>
          <w14:textFill>
            <w14:solidFill>
              <w14:schemeClr w14:val="tx1"/>
            </w14:solidFill>
          </w14:textFill>
        </w:rPr>
        <w:t>5</w:t>
      </w:r>
      <w:r>
        <w:rPr>
          <w:rFonts w:hint="eastAsia" w:ascii="宋体" w:hAnsi="宋体" w:eastAsia="宋体" w:cs="宋体"/>
          <w:color w:val="000000" w:themeColor="text1"/>
          <w:sz w:val="28"/>
          <w:szCs w:val="28"/>
          <w14:textFill>
            <w14:solidFill>
              <w14:schemeClr w14:val="tx1"/>
            </w14:solidFill>
          </w14:textFill>
        </w:rPr>
        <w:t>年</w:t>
      </w:r>
      <w:r>
        <w:rPr>
          <w:rFonts w:hint="eastAsia" w:ascii="宋体" w:hAnsi="宋体" w:cs="宋体"/>
          <w:color w:val="000000" w:themeColor="text1"/>
          <w:sz w:val="28"/>
          <w:szCs w:val="28"/>
          <w:lang w:val="en-US" w:eastAsia="zh-CN"/>
          <w14:textFill>
            <w14:solidFill>
              <w14:schemeClr w14:val="tx1"/>
            </w14:solidFill>
          </w14:textFill>
        </w:rPr>
        <w:t>11</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cs="宋体"/>
          <w:color w:val="000000" w:themeColor="text1"/>
          <w:sz w:val="28"/>
          <w:szCs w:val="28"/>
          <w:lang w:val="en-US" w:eastAsia="zh-CN"/>
          <w14:textFill>
            <w14:solidFill>
              <w14:schemeClr w14:val="tx1"/>
            </w14:solidFill>
          </w14:textFill>
        </w:rPr>
        <w:t>9</w:t>
      </w:r>
      <w:r>
        <w:rPr>
          <w:rFonts w:hint="eastAsia" w:ascii="宋体" w:hAnsi="宋体" w:eastAsia="宋体" w:cs="宋体"/>
          <w:color w:val="000000" w:themeColor="text1"/>
          <w:sz w:val="28"/>
          <w:szCs w:val="28"/>
          <w14:textFill>
            <w14:solidFill>
              <w14:schemeClr w14:val="tx1"/>
            </w14:solidFill>
          </w14:textFill>
        </w:rPr>
        <w:t>日前整改完成，并向我单位提供了整改完成情况报告，经我单位确认，已按整改建议完成整改，详见报告附件</w:t>
      </w: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cs="宋体"/>
          <w:color w:val="000000" w:themeColor="text1"/>
          <w:sz w:val="28"/>
          <w:szCs w:val="28"/>
          <w:lang w:val="en-US" w:eastAsia="zh-CN"/>
          <w14:textFill>
            <w14:solidFill>
              <w14:schemeClr w14:val="tx1"/>
            </w14:solidFill>
          </w14:textFill>
        </w:rPr>
        <w:t>8</w:t>
      </w:r>
      <w:r>
        <w:rPr>
          <w:rFonts w:hint="eastAsia" w:ascii="宋体" w:hAnsi="宋体" w:eastAsia="宋体" w:cs="宋体"/>
          <w:color w:val="000000" w:themeColor="text1"/>
          <w:sz w:val="28"/>
          <w:szCs w:val="28"/>
          <w14:textFill>
            <w14:solidFill>
              <w14:schemeClr w14:val="tx1"/>
            </w14:solidFill>
          </w14:textFill>
        </w:rPr>
        <w:t>。</w:t>
      </w:r>
    </w:p>
    <w:tbl>
      <w:tblPr>
        <w:tblStyle w:val="2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3986"/>
        <w:gridCol w:w="4292"/>
      </w:tblGrid>
      <w:tr w14:paraId="7A3E8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8" w:type="pct"/>
          </w:tcPr>
          <w:p w14:paraId="63ADC08B">
            <w:pPr>
              <w:keepNext w:val="0"/>
              <w:keepLines w:val="0"/>
              <w:pageBreakBefore w:val="0"/>
              <w:widowControl w:val="0"/>
              <w:kinsoku/>
              <w:bidi w:val="0"/>
              <w:ind w:left="0" w:leftChars="0" w:firstLine="0" w:firstLineChars="0"/>
              <w:jc w:val="center"/>
              <w:rPr>
                <w:rFonts w:hint="eastAsia" w:ascii="宋体" w:hAnsi="宋体" w:eastAsia="宋体" w:cs="宋体"/>
                <w:b/>
                <w:bCs/>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b/>
                <w:bCs/>
                <w:color w:val="000000" w:themeColor="text1"/>
                <w:kern w:val="2"/>
                <w:sz w:val="21"/>
                <w:szCs w:val="21"/>
                <w:vertAlign w:val="baseline"/>
                <w:lang w:val="en-US" w:eastAsia="zh-CN" w:bidi="ar-SA"/>
                <w14:textFill>
                  <w14:solidFill>
                    <w14:schemeClr w14:val="tx1"/>
                  </w14:solidFill>
                </w14:textFill>
              </w:rPr>
              <w:t>序号</w:t>
            </w:r>
          </w:p>
        </w:tc>
        <w:tc>
          <w:tcPr>
            <w:tcW w:w="2186" w:type="pct"/>
          </w:tcPr>
          <w:p w14:paraId="16E40A7C">
            <w:pPr>
              <w:keepNext w:val="0"/>
              <w:keepLines w:val="0"/>
              <w:pageBreakBefore w:val="0"/>
              <w:widowControl w:val="0"/>
              <w:kinsoku/>
              <w:bidi w:val="0"/>
              <w:jc w:val="center"/>
              <w:rPr>
                <w:rFonts w:hint="eastAsia" w:ascii="宋体" w:hAnsi="宋体" w:eastAsia="宋体" w:cs="宋体"/>
                <w:b/>
                <w:bCs/>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b/>
                <w:bCs/>
                <w:color w:val="000000" w:themeColor="text1"/>
                <w:kern w:val="2"/>
                <w:sz w:val="21"/>
                <w:szCs w:val="21"/>
                <w:vertAlign w:val="baseline"/>
                <w:lang w:val="en-US" w:eastAsia="zh-CN" w:bidi="ar-SA"/>
                <w14:textFill>
                  <w14:solidFill>
                    <w14:schemeClr w14:val="tx1"/>
                  </w14:solidFill>
                </w14:textFill>
              </w:rPr>
              <w:t>存在问题</w:t>
            </w:r>
          </w:p>
        </w:tc>
        <w:tc>
          <w:tcPr>
            <w:tcW w:w="2354" w:type="pct"/>
          </w:tcPr>
          <w:p w14:paraId="5F518EF4">
            <w:pPr>
              <w:keepNext w:val="0"/>
              <w:keepLines w:val="0"/>
              <w:pageBreakBefore w:val="0"/>
              <w:widowControl w:val="0"/>
              <w:kinsoku/>
              <w:bidi w:val="0"/>
              <w:jc w:val="center"/>
              <w:rPr>
                <w:rFonts w:hint="eastAsia" w:ascii="宋体" w:hAnsi="宋体" w:eastAsia="宋体" w:cs="宋体"/>
                <w:b/>
                <w:bCs/>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b/>
                <w:bCs/>
                <w:color w:val="000000" w:themeColor="text1"/>
                <w:kern w:val="2"/>
                <w:sz w:val="21"/>
                <w:szCs w:val="21"/>
                <w:vertAlign w:val="baseline"/>
                <w:lang w:val="en-US" w:eastAsia="zh-CN" w:bidi="ar-SA"/>
                <w14:textFill>
                  <w14:solidFill>
                    <w14:schemeClr w14:val="tx1"/>
                  </w14:solidFill>
                </w14:textFill>
              </w:rPr>
              <w:t>整改情况</w:t>
            </w:r>
          </w:p>
        </w:tc>
      </w:tr>
      <w:tr w14:paraId="70E51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8" w:type="pct"/>
          </w:tcPr>
          <w:p w14:paraId="1E630504">
            <w:pPr>
              <w:keepNext w:val="0"/>
              <w:keepLines w:val="0"/>
              <w:pageBreakBefore w:val="0"/>
              <w:widowControl w:val="0"/>
              <w:kinsoku/>
              <w:bidi w:val="0"/>
              <w:ind w:left="0" w:leftChars="0" w:firstLine="0" w:firstLineChars="0"/>
              <w:jc w:val="center"/>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t>1</w:t>
            </w:r>
          </w:p>
        </w:tc>
        <w:tc>
          <w:tcPr>
            <w:tcW w:w="2186" w:type="pct"/>
          </w:tcPr>
          <w:p w14:paraId="7C674208">
            <w:pPr>
              <w:keepNext w:val="0"/>
              <w:keepLines w:val="0"/>
              <w:pageBreakBefore w:val="0"/>
              <w:widowControl w:val="0"/>
              <w:kinsoku/>
              <w:bidi w:val="0"/>
              <w:ind w:left="0" w:leftChars="0" w:firstLine="0" w:firstLineChars="0"/>
              <w:jc w:val="both"/>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安全警示标志，安全护栏不完善。</w:t>
            </w:r>
          </w:p>
        </w:tc>
        <w:tc>
          <w:tcPr>
            <w:tcW w:w="2354" w:type="pct"/>
          </w:tcPr>
          <w:p w14:paraId="5E4B86C2">
            <w:pPr>
              <w:keepNext w:val="0"/>
              <w:keepLines w:val="0"/>
              <w:pageBreakBefore w:val="0"/>
              <w:widowControl w:val="0"/>
              <w:kinsoku/>
              <w:bidi w:val="0"/>
              <w:ind w:left="0" w:leftChars="0" w:firstLine="0" w:firstLineChars="0"/>
              <w:jc w:val="both"/>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已按要求完善</w:t>
            </w:r>
            <w:r>
              <w:rPr>
                <w:rFonts w:hint="eastAsia" w:ascii="宋体" w:hAnsi="宋体" w:eastAsia="宋体" w:cs="宋体"/>
                <w:b w:val="0"/>
                <w:bCs w:val="0"/>
                <w:color w:val="000000" w:themeColor="text1"/>
                <w:sz w:val="21"/>
                <w:szCs w:val="21"/>
                <w:lang w:val="en-US" w:eastAsia="zh-CN"/>
                <w14:textFill>
                  <w14:solidFill>
                    <w14:schemeClr w14:val="tx1"/>
                  </w14:solidFill>
                </w14:textFill>
              </w:rPr>
              <w:t>光伏区安全警示标志，安全护栏。</w:t>
            </w:r>
          </w:p>
        </w:tc>
      </w:tr>
      <w:tr w14:paraId="0BD22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458" w:type="pct"/>
          </w:tcPr>
          <w:p w14:paraId="18D14B83">
            <w:pPr>
              <w:keepNext w:val="0"/>
              <w:keepLines w:val="0"/>
              <w:pageBreakBefore w:val="0"/>
              <w:widowControl w:val="0"/>
              <w:kinsoku/>
              <w:bidi w:val="0"/>
              <w:ind w:left="0" w:leftChars="0" w:firstLine="0" w:firstLineChars="0"/>
              <w:jc w:val="center"/>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t>2</w:t>
            </w:r>
          </w:p>
        </w:tc>
        <w:tc>
          <w:tcPr>
            <w:tcW w:w="2186" w:type="pct"/>
          </w:tcPr>
          <w:p w14:paraId="22C0EDE0">
            <w:pPr>
              <w:ind w:left="0" w:leftChars="0" w:firstLine="0" w:firstLineChars="0"/>
              <w:jc w:val="left"/>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道路排水沟堵塞。</w:t>
            </w:r>
          </w:p>
        </w:tc>
        <w:tc>
          <w:tcPr>
            <w:tcW w:w="2354" w:type="pct"/>
          </w:tcPr>
          <w:p w14:paraId="261C0716">
            <w:pPr>
              <w:ind w:left="0" w:leftChars="0" w:firstLine="0" w:firstLineChars="0"/>
              <w:jc w:val="left"/>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已清理道路排水沟。</w:t>
            </w:r>
          </w:p>
        </w:tc>
      </w:tr>
    </w:tbl>
    <w:p w14:paraId="0FF9997D">
      <w:pPr>
        <w:pStyle w:val="3"/>
        <w:keepNext w:val="0"/>
        <w:keepLines w:val="0"/>
        <w:pageBreakBefore w:val="0"/>
        <w:widowControl w:val="0"/>
        <w:tabs>
          <w:tab w:val="left" w:pos="0"/>
        </w:tabs>
        <w:kinsoku/>
        <w:wordWrap/>
        <w:overflowPunct/>
        <w:topLinePunct w:val="0"/>
        <w:autoSpaceDE/>
        <w:autoSpaceDN/>
        <w:bidi w:val="0"/>
        <w:spacing w:line="420" w:lineRule="exact"/>
        <w:textAlignment w:val="auto"/>
        <w:rPr>
          <w:rFonts w:hint="eastAsia" w:ascii="宋体" w:hAnsi="宋体" w:eastAsia="宋体" w:cs="宋体"/>
          <w:color w:val="000000" w:themeColor="text1"/>
          <w14:textFill>
            <w14:solidFill>
              <w14:schemeClr w14:val="tx1"/>
            </w14:solidFill>
          </w14:textFill>
        </w:rPr>
      </w:pPr>
      <w:bookmarkStart w:id="481" w:name="_Toc10486"/>
      <w:bookmarkStart w:id="482" w:name="_Toc9624"/>
      <w:bookmarkStart w:id="483" w:name="_Toc28570"/>
      <w:bookmarkStart w:id="484" w:name="_Toc195424911"/>
      <w:bookmarkStart w:id="485" w:name="_Toc194127803"/>
      <w:bookmarkStart w:id="486" w:name="_Toc1592"/>
      <w:bookmarkStart w:id="487" w:name="_Toc22893"/>
      <w:r>
        <w:rPr>
          <w:rFonts w:hint="eastAsia" w:ascii="宋体" w:hAnsi="宋体" w:eastAsia="宋体" w:cs="宋体"/>
          <w:color w:val="000000" w:themeColor="text1"/>
          <w:lang w:val="en-US" w:eastAsia="zh-CN"/>
          <w14:textFill>
            <w14:solidFill>
              <w14:schemeClr w14:val="tx1"/>
            </w14:solidFill>
          </w14:textFill>
        </w:rPr>
        <w:t>6.2安全对策措施建议的依据、原则</w:t>
      </w:r>
      <w:bookmarkEnd w:id="481"/>
      <w:bookmarkEnd w:id="482"/>
    </w:p>
    <w:p w14:paraId="2F67E70C">
      <w:pPr>
        <w:pStyle w:val="4"/>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488" w:name="_Toc16700"/>
      <w:r>
        <w:rPr>
          <w:rFonts w:hint="eastAsia" w:ascii="宋体" w:hAnsi="宋体" w:eastAsia="宋体" w:cs="宋体"/>
          <w:b/>
          <w:bCs w:val="0"/>
          <w:color w:val="000000" w:themeColor="text1"/>
          <w:sz w:val="30"/>
          <w:szCs w:val="30"/>
          <w:lang w:val="en-US" w:eastAsia="zh-CN"/>
          <w14:textFill>
            <w14:solidFill>
              <w14:schemeClr w14:val="tx1"/>
            </w14:solidFill>
          </w14:textFill>
        </w:rPr>
        <w:t>6.2.1</w:t>
      </w:r>
      <w:r>
        <w:rPr>
          <w:rFonts w:hint="eastAsia" w:ascii="宋体" w:hAnsi="宋体" w:eastAsia="宋体" w:cs="宋体"/>
          <w:b/>
          <w:bCs w:val="0"/>
          <w:color w:val="000000" w:themeColor="text1"/>
          <w:sz w:val="30"/>
          <w:szCs w:val="30"/>
          <w14:textFill>
            <w14:solidFill>
              <w14:schemeClr w14:val="tx1"/>
            </w14:solidFill>
          </w14:textFill>
        </w:rPr>
        <w:t>安全对策措施建议的基本要求</w:t>
      </w:r>
      <w:bookmarkEnd w:id="483"/>
      <w:bookmarkEnd w:id="488"/>
    </w:p>
    <w:p w14:paraId="5DF2D3B8">
      <w:pPr>
        <w:keepNext w:val="0"/>
        <w:keepLines w:val="0"/>
        <w:pageBreakBefore w:val="0"/>
        <w:widowControl w:val="0"/>
        <w:numPr>
          <w:ilvl w:val="0"/>
          <w:numId w:val="50"/>
        </w:numPr>
        <w:kinsoku/>
        <w:wordWrap/>
        <w:overflowPunct/>
        <w:topLinePunct w:val="0"/>
        <w:autoSpaceDE/>
        <w:autoSpaceDN/>
        <w:bidi w:val="0"/>
        <w:spacing w:line="42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消除或减弱生产过程中产生的危险、有害因素；</w:t>
      </w:r>
    </w:p>
    <w:p w14:paraId="6786FBBC">
      <w:pPr>
        <w:keepNext w:val="0"/>
        <w:keepLines w:val="0"/>
        <w:pageBreakBefore w:val="0"/>
        <w:widowControl w:val="0"/>
        <w:numPr>
          <w:ilvl w:val="0"/>
          <w:numId w:val="50"/>
        </w:numPr>
        <w:kinsoku/>
        <w:wordWrap/>
        <w:overflowPunct/>
        <w:topLinePunct w:val="0"/>
        <w:autoSpaceDE/>
        <w:autoSpaceDN/>
        <w:bidi w:val="0"/>
        <w:spacing w:line="42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处置危险和有害物，使其降低到国家规定的限值内；</w:t>
      </w:r>
    </w:p>
    <w:p w14:paraId="0DA53511">
      <w:pPr>
        <w:keepNext w:val="0"/>
        <w:keepLines w:val="0"/>
        <w:pageBreakBefore w:val="0"/>
        <w:widowControl w:val="0"/>
        <w:numPr>
          <w:ilvl w:val="0"/>
          <w:numId w:val="50"/>
        </w:numPr>
        <w:kinsoku/>
        <w:wordWrap/>
        <w:overflowPunct/>
        <w:topLinePunct w:val="0"/>
        <w:autoSpaceDE/>
        <w:autoSpaceDN/>
        <w:bidi w:val="0"/>
        <w:spacing w:line="42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预防生产装置失灵和操作失误产生的危险、危害；</w:t>
      </w:r>
    </w:p>
    <w:p w14:paraId="1873B929">
      <w:pPr>
        <w:keepNext w:val="0"/>
        <w:keepLines w:val="0"/>
        <w:pageBreakBefore w:val="0"/>
        <w:widowControl w:val="0"/>
        <w:numPr>
          <w:ilvl w:val="0"/>
          <w:numId w:val="50"/>
        </w:numPr>
        <w:kinsoku/>
        <w:wordWrap/>
        <w:overflowPunct/>
        <w:topLinePunct w:val="0"/>
        <w:autoSpaceDE/>
        <w:autoSpaceDN/>
        <w:bidi w:val="0"/>
        <w:spacing w:line="420" w:lineRule="exac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能有效地预防重大事故和职业危害的发生；</w:t>
      </w:r>
    </w:p>
    <w:p w14:paraId="10C3312D">
      <w:pPr>
        <w:keepNext w:val="0"/>
        <w:keepLines w:val="0"/>
        <w:pageBreakBefore w:val="0"/>
        <w:widowControl w:val="0"/>
        <w:numPr>
          <w:ilvl w:val="0"/>
          <w:numId w:val="50"/>
        </w:numPr>
        <w:kinsoku/>
        <w:wordWrap/>
        <w:overflowPunct/>
        <w:topLinePunct w:val="0"/>
        <w:autoSpaceDE/>
        <w:autoSpaceDN/>
        <w:bidi w:val="0"/>
        <w:spacing w:line="420" w:lineRule="exact"/>
        <w:textAlignment w:val="auto"/>
        <w:rPr>
          <w:rFonts w:hint="eastAsia"/>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发生意外事故时，能为遇险人员提供自救和互救条件。</w:t>
      </w:r>
    </w:p>
    <w:p w14:paraId="64FEE76A">
      <w:pPr>
        <w:pStyle w:val="4"/>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489" w:name="_Toc21194"/>
      <w:r>
        <w:rPr>
          <w:rFonts w:hint="eastAsia" w:ascii="宋体" w:hAnsi="宋体" w:eastAsia="宋体" w:cs="宋体"/>
          <w:b/>
          <w:bCs w:val="0"/>
          <w:color w:val="000000" w:themeColor="text1"/>
          <w:sz w:val="30"/>
          <w:szCs w:val="30"/>
          <w:lang w:val="en-US" w:eastAsia="zh-CN"/>
          <w14:textFill>
            <w14:solidFill>
              <w14:schemeClr w14:val="tx1"/>
            </w14:solidFill>
          </w14:textFill>
        </w:rPr>
        <w:t>6.2.2</w:t>
      </w:r>
      <w:r>
        <w:rPr>
          <w:rFonts w:hint="eastAsia" w:ascii="宋体" w:hAnsi="宋体" w:eastAsia="宋体" w:cs="宋体"/>
          <w:b/>
          <w:bCs w:val="0"/>
          <w:color w:val="000000" w:themeColor="text1"/>
          <w:sz w:val="30"/>
          <w:szCs w:val="30"/>
          <w14:textFill>
            <w14:solidFill>
              <w14:schemeClr w14:val="tx1"/>
            </w14:solidFill>
          </w14:textFill>
        </w:rPr>
        <w:t>制定安全对策措施建议的原则</w:t>
      </w:r>
      <w:bookmarkEnd w:id="484"/>
      <w:bookmarkEnd w:id="485"/>
      <w:bookmarkEnd w:id="486"/>
      <w:bookmarkEnd w:id="487"/>
      <w:bookmarkEnd w:id="489"/>
    </w:p>
    <w:p w14:paraId="783D6B28">
      <w:pPr>
        <w:keepNext w:val="0"/>
        <w:keepLines w:val="0"/>
        <w:pageBreakBefore w:val="0"/>
        <w:widowControl w:val="0"/>
        <w:numPr>
          <w:ilvl w:val="0"/>
          <w:numId w:val="51"/>
        </w:numPr>
        <w:kinsoku/>
        <w:wordWrap/>
        <w:overflowPunct/>
        <w:topLinePunct w:val="0"/>
        <w:autoSpaceDE/>
        <w:autoSpaceDN/>
        <w:bidi w:val="0"/>
        <w:adjustRightInd/>
        <w:snapToGrid/>
        <w:spacing w:line="420" w:lineRule="exact"/>
        <w:textAlignment w:val="auto"/>
        <w:outlineLvl w:val="9"/>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当安全对策措施建议与经济效益发生矛盾时，应优先考虑安全对策措施建议的要求；</w:t>
      </w:r>
    </w:p>
    <w:p w14:paraId="3EF2B7F1">
      <w:pPr>
        <w:keepNext w:val="0"/>
        <w:keepLines w:val="0"/>
        <w:pageBreakBefore w:val="0"/>
        <w:widowControl w:val="0"/>
        <w:numPr>
          <w:ilvl w:val="0"/>
          <w:numId w:val="51"/>
        </w:numPr>
        <w:kinsoku/>
        <w:wordWrap/>
        <w:overflowPunct/>
        <w:topLinePunct w:val="0"/>
        <w:autoSpaceDE/>
        <w:autoSpaceDN/>
        <w:bidi w:val="0"/>
        <w:adjustRightInd/>
        <w:snapToGrid/>
        <w:spacing w:line="420" w:lineRule="exact"/>
        <w:textAlignment w:val="auto"/>
        <w:outlineLvl w:val="9"/>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确定安全对策措施建议等级顺序要求的具体原则为：消除、预防、减弱、隔离、联锁、警告；</w:t>
      </w:r>
    </w:p>
    <w:p w14:paraId="3825FE02">
      <w:pPr>
        <w:keepNext w:val="0"/>
        <w:keepLines w:val="0"/>
        <w:pageBreakBefore w:val="0"/>
        <w:widowControl w:val="0"/>
        <w:numPr>
          <w:ilvl w:val="0"/>
          <w:numId w:val="51"/>
        </w:numPr>
        <w:kinsoku/>
        <w:wordWrap/>
        <w:overflowPunct/>
        <w:topLinePunct w:val="0"/>
        <w:autoSpaceDE/>
        <w:autoSpaceDN/>
        <w:bidi w:val="0"/>
        <w:adjustRightInd/>
        <w:snapToGrid/>
        <w:spacing w:line="420" w:lineRule="exact"/>
        <w:textAlignment w:val="auto"/>
        <w:outlineLvl w:val="9"/>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安全对策措施建议应具有针对性、可操作性和经济合理性；</w:t>
      </w:r>
    </w:p>
    <w:p w14:paraId="7D9226E1">
      <w:pPr>
        <w:keepNext w:val="0"/>
        <w:keepLines w:val="0"/>
        <w:pageBreakBefore w:val="0"/>
        <w:widowControl w:val="0"/>
        <w:numPr>
          <w:ilvl w:val="0"/>
          <w:numId w:val="51"/>
        </w:numPr>
        <w:kinsoku/>
        <w:wordWrap/>
        <w:overflowPunct/>
        <w:topLinePunct w:val="0"/>
        <w:autoSpaceDE/>
        <w:autoSpaceDN/>
        <w:bidi w:val="0"/>
        <w:adjustRightInd/>
        <w:snapToGrid/>
        <w:spacing w:line="420" w:lineRule="exact"/>
        <w:textAlignment w:val="auto"/>
        <w:outlineLvl w:val="9"/>
        <w:rPr>
          <w:rFonts w:hint="eastAsia"/>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安全对策措施建议应符合国家有关</w:t>
      </w:r>
      <w:r>
        <w:rPr>
          <w:rFonts w:hint="eastAsia"/>
          <w:color w:val="000000" w:themeColor="text1"/>
          <w:sz w:val="28"/>
          <w:szCs w:val="28"/>
          <w:lang w:eastAsia="zh-CN"/>
          <w14:textFill>
            <w14:solidFill>
              <w14:schemeClr w14:val="tx1"/>
            </w14:solidFill>
          </w14:textFill>
        </w:rPr>
        <w:t>法律法规</w:t>
      </w:r>
      <w:r>
        <w:rPr>
          <w:color w:val="000000" w:themeColor="text1"/>
          <w:sz w:val="28"/>
          <w:szCs w:val="28"/>
          <w14:textFill>
            <w14:solidFill>
              <w14:schemeClr w14:val="tx1"/>
            </w14:solidFill>
          </w14:textFill>
        </w:rPr>
        <w:t>、标准、规范和行业标准的要求。</w:t>
      </w:r>
    </w:p>
    <w:p w14:paraId="5AF9945B">
      <w:pPr>
        <w:pStyle w:val="3"/>
        <w:keepNext w:val="0"/>
        <w:keepLines w:val="0"/>
        <w:pageBreakBefore w:val="0"/>
        <w:widowControl w:val="0"/>
        <w:tabs>
          <w:tab w:val="left" w:pos="0"/>
        </w:tabs>
        <w:kinsoku/>
        <w:wordWrap/>
        <w:overflowPunct/>
        <w:topLinePunct w:val="0"/>
        <w:autoSpaceDE/>
        <w:autoSpaceDN/>
        <w:bidi w:val="0"/>
        <w:spacing w:line="420" w:lineRule="exact"/>
        <w:textAlignment w:val="auto"/>
        <w:rPr>
          <w:rFonts w:hint="eastAsia" w:ascii="宋体" w:hAnsi="宋体" w:eastAsia="宋体" w:cs="宋体"/>
          <w:color w:val="000000" w:themeColor="text1"/>
          <w:sz w:val="30"/>
          <w:szCs w:val="30"/>
          <w14:textFill>
            <w14:solidFill>
              <w14:schemeClr w14:val="tx1"/>
            </w14:solidFill>
          </w14:textFill>
        </w:rPr>
      </w:pPr>
      <w:bookmarkStart w:id="490" w:name="_Toc31500"/>
      <w:bookmarkStart w:id="491" w:name="_Toc5799"/>
      <w:bookmarkStart w:id="492" w:name="_Toc29990"/>
      <w:bookmarkStart w:id="493" w:name="_Toc2540"/>
      <w:r>
        <w:rPr>
          <w:rFonts w:hint="eastAsia" w:ascii="宋体" w:hAnsi="宋体" w:eastAsia="宋体" w:cs="宋体"/>
          <w:color w:val="000000" w:themeColor="text1"/>
          <w:sz w:val="30"/>
          <w:szCs w:val="30"/>
          <w:lang w:val="en-US" w:eastAsia="zh-CN"/>
          <w14:textFill>
            <w14:solidFill>
              <w14:schemeClr w14:val="tx1"/>
            </w14:solidFill>
          </w14:textFill>
        </w:rPr>
        <w:t>6.3</w:t>
      </w:r>
      <w:r>
        <w:rPr>
          <w:rFonts w:hint="eastAsia" w:ascii="宋体" w:hAnsi="宋体" w:eastAsia="宋体" w:cs="宋体"/>
          <w:color w:val="000000" w:themeColor="text1"/>
          <w:sz w:val="30"/>
          <w:szCs w:val="30"/>
          <w14:textFill>
            <w14:solidFill>
              <w14:schemeClr w14:val="tx1"/>
            </w14:solidFill>
          </w14:textFill>
        </w:rPr>
        <w:t>安全对策措施建议</w:t>
      </w:r>
      <w:bookmarkEnd w:id="490"/>
      <w:bookmarkEnd w:id="491"/>
      <w:bookmarkEnd w:id="492"/>
      <w:bookmarkEnd w:id="493"/>
    </w:p>
    <w:p w14:paraId="634F6DCD">
      <w:pPr>
        <w:pStyle w:val="4"/>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494" w:name="_Toc24523"/>
      <w:bookmarkStart w:id="495" w:name="_Toc7175"/>
      <w:bookmarkStart w:id="496" w:name="_Toc28760"/>
      <w:r>
        <w:rPr>
          <w:rFonts w:hint="eastAsia" w:ascii="宋体" w:hAnsi="宋体" w:eastAsia="宋体" w:cs="宋体"/>
          <w:b/>
          <w:bCs w:val="0"/>
          <w:color w:val="000000" w:themeColor="text1"/>
          <w:sz w:val="30"/>
          <w:szCs w:val="30"/>
          <w:lang w:val="en-US" w:eastAsia="zh-CN"/>
          <w14:textFill>
            <w14:solidFill>
              <w14:schemeClr w14:val="tx1"/>
            </w14:solidFill>
          </w14:textFill>
        </w:rPr>
        <w:t>6.3.1</w:t>
      </w:r>
      <w:r>
        <w:rPr>
          <w:rFonts w:hint="eastAsia" w:ascii="宋体" w:hAnsi="宋体" w:eastAsia="宋体" w:cs="宋体"/>
          <w:b/>
          <w:bCs w:val="0"/>
          <w:color w:val="000000" w:themeColor="text1"/>
          <w:sz w:val="30"/>
          <w:szCs w:val="30"/>
          <w14:textFill>
            <w14:solidFill>
              <w14:schemeClr w14:val="tx1"/>
            </w14:solidFill>
          </w14:textFill>
        </w:rPr>
        <w:t>安全技术对策措施</w:t>
      </w:r>
      <w:bookmarkEnd w:id="494"/>
      <w:bookmarkEnd w:id="495"/>
      <w:bookmarkEnd w:id="496"/>
    </w:p>
    <w:p w14:paraId="2FEC848F">
      <w:pPr>
        <w:keepNext w:val="0"/>
        <w:keepLines w:val="0"/>
        <w:pageBreakBefore w:val="0"/>
        <w:widowControl w:val="0"/>
        <w:numPr>
          <w:ilvl w:val="0"/>
          <w:numId w:val="52"/>
        </w:numPr>
        <w:kinsoku/>
        <w:wordWrap/>
        <w:overflowPunct/>
        <w:topLinePunct w:val="0"/>
        <w:autoSpaceDE/>
        <w:autoSpaceDN/>
        <w:bidi w:val="0"/>
        <w:adjustRightInd/>
        <w:snapToGrid/>
        <w:spacing w:line="420" w:lineRule="exact"/>
        <w:textAlignment w:val="auto"/>
        <w:outlineLvl w:val="9"/>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本光伏项目占地面积较大、设施布置分散，站区与外界采用围栏 隔离，无人值守，要定期检查消防器材，确保有效。加强日常视频监控管 理，保障场区安全。</w:t>
      </w:r>
    </w:p>
    <w:p w14:paraId="520624E9">
      <w:pPr>
        <w:keepNext w:val="0"/>
        <w:keepLines w:val="0"/>
        <w:pageBreakBefore w:val="0"/>
        <w:widowControl w:val="0"/>
        <w:numPr>
          <w:ilvl w:val="0"/>
          <w:numId w:val="52"/>
        </w:numPr>
        <w:kinsoku/>
        <w:wordWrap/>
        <w:overflowPunct/>
        <w:topLinePunct w:val="0"/>
        <w:autoSpaceDE/>
        <w:autoSpaceDN/>
        <w:bidi w:val="0"/>
        <w:adjustRightInd/>
        <w:snapToGrid/>
        <w:spacing w:line="420" w:lineRule="exact"/>
        <w:ind w:firstLine="560" w:firstLineChars="200"/>
        <w:textAlignment w:val="auto"/>
        <w:outlineLvl w:val="9"/>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及时清除光伏组件周围杂草和低矮灌木，防止遮挡光伏组件光线 和防止火灾发生。</w:t>
      </w:r>
    </w:p>
    <w:p w14:paraId="30B4F662">
      <w:pPr>
        <w:keepNext w:val="0"/>
        <w:keepLines w:val="0"/>
        <w:pageBreakBefore w:val="0"/>
        <w:widowControl w:val="0"/>
        <w:numPr>
          <w:ilvl w:val="0"/>
          <w:numId w:val="52"/>
        </w:numPr>
        <w:kinsoku/>
        <w:wordWrap/>
        <w:overflowPunct/>
        <w:topLinePunct w:val="0"/>
        <w:autoSpaceDE/>
        <w:autoSpaceDN/>
        <w:bidi w:val="0"/>
        <w:adjustRightInd/>
        <w:snapToGrid/>
        <w:spacing w:line="420" w:lineRule="exact"/>
        <w:ind w:firstLine="560" w:firstLineChars="200"/>
        <w:textAlignment w:val="auto"/>
        <w:outlineLvl w:val="9"/>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加强对光伏场区基础、支架、设施设备、集电电缆、场内道路、 防护围栏等的巡视检查。大风、暴雨后应专项检查光伏组件是否有松动、 脱落的连接，并重点巡查支架及基础、基础所在山体。</w:t>
      </w:r>
    </w:p>
    <w:p w14:paraId="4C985825">
      <w:pPr>
        <w:keepNext w:val="0"/>
        <w:keepLines w:val="0"/>
        <w:pageBreakBefore w:val="0"/>
        <w:widowControl w:val="0"/>
        <w:numPr>
          <w:ilvl w:val="0"/>
          <w:numId w:val="52"/>
        </w:numPr>
        <w:kinsoku/>
        <w:wordWrap/>
        <w:overflowPunct/>
        <w:topLinePunct w:val="0"/>
        <w:autoSpaceDE/>
        <w:autoSpaceDN/>
        <w:bidi w:val="0"/>
        <w:adjustRightInd/>
        <w:snapToGrid/>
        <w:spacing w:line="420" w:lineRule="exact"/>
        <w:ind w:firstLine="560" w:firstLineChars="200"/>
        <w:textAlignment w:val="auto"/>
        <w:outlineLvl w:val="9"/>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加强雨季地质灾害管理，要及时对光伏方阵区排水沟进行清理、</w:t>
      </w:r>
    </w:p>
    <w:p w14:paraId="477BF8EF">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outlineLvl w:val="9"/>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检修，确保排水工程畅通。加强雨季地质灾害严重区域边坡的治理</w:t>
      </w:r>
      <w:r>
        <w:rPr>
          <w:rFonts w:hint="eastAsia"/>
          <w:color w:val="000000" w:themeColor="text1"/>
          <w:sz w:val="28"/>
          <w:szCs w:val="28"/>
          <w:lang w:eastAsia="zh-CN"/>
          <w14:textFill>
            <w14:solidFill>
              <w14:schemeClr w14:val="tx1"/>
            </w14:solidFill>
          </w14:textFill>
        </w:rPr>
        <w:t>。</w:t>
      </w:r>
    </w:p>
    <w:p w14:paraId="6E681790">
      <w:pPr>
        <w:keepNext w:val="0"/>
        <w:keepLines w:val="0"/>
        <w:pageBreakBefore w:val="0"/>
        <w:widowControl w:val="0"/>
        <w:numPr>
          <w:ilvl w:val="0"/>
          <w:numId w:val="52"/>
        </w:numPr>
        <w:kinsoku/>
        <w:wordWrap/>
        <w:overflowPunct/>
        <w:topLinePunct w:val="0"/>
        <w:autoSpaceDE/>
        <w:autoSpaceDN/>
        <w:bidi w:val="0"/>
        <w:adjustRightInd/>
        <w:snapToGrid/>
        <w:spacing w:line="420" w:lineRule="exact"/>
        <w:ind w:firstLine="560" w:firstLineChars="200"/>
        <w:textAlignment w:val="auto"/>
        <w:outlineLvl w:val="9"/>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光伏组件的光电参数，应不定期按照有关方法进行检测，发现问 题及时解除更换。</w:t>
      </w:r>
    </w:p>
    <w:p w14:paraId="5237CC26">
      <w:pPr>
        <w:keepNext w:val="0"/>
        <w:keepLines w:val="0"/>
        <w:pageBreakBefore w:val="0"/>
        <w:widowControl w:val="0"/>
        <w:numPr>
          <w:ilvl w:val="0"/>
          <w:numId w:val="52"/>
        </w:numPr>
        <w:kinsoku/>
        <w:wordWrap/>
        <w:overflowPunct/>
        <w:topLinePunct w:val="0"/>
        <w:autoSpaceDE/>
        <w:autoSpaceDN/>
        <w:bidi w:val="0"/>
        <w:adjustRightInd/>
        <w:snapToGrid/>
        <w:spacing w:line="420" w:lineRule="exact"/>
        <w:textAlignment w:val="auto"/>
        <w:outlineLvl w:val="9"/>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适时开展太阳能光伏组件的运行维护、灰尘清洗。</w:t>
      </w:r>
    </w:p>
    <w:p w14:paraId="6A066042">
      <w:pPr>
        <w:keepNext w:val="0"/>
        <w:keepLines w:val="0"/>
        <w:pageBreakBefore w:val="0"/>
        <w:widowControl w:val="0"/>
        <w:numPr>
          <w:ilvl w:val="0"/>
          <w:numId w:val="52"/>
        </w:numPr>
        <w:kinsoku/>
        <w:wordWrap/>
        <w:overflowPunct/>
        <w:topLinePunct w:val="0"/>
        <w:autoSpaceDE/>
        <w:autoSpaceDN/>
        <w:bidi w:val="0"/>
        <w:adjustRightInd/>
        <w:snapToGrid/>
        <w:spacing w:line="420" w:lineRule="exact"/>
        <w:textAlignment w:val="auto"/>
        <w:outlineLvl w:val="9"/>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电力设备应按国家和行业标准有关试验规程的项目、标准和期限 进行预防性试验，防止设备故障发生人身伤亡事故。</w:t>
      </w:r>
    </w:p>
    <w:p w14:paraId="76F82FC5">
      <w:pPr>
        <w:keepNext w:val="0"/>
        <w:keepLines w:val="0"/>
        <w:pageBreakBefore w:val="0"/>
        <w:widowControl w:val="0"/>
        <w:numPr>
          <w:ilvl w:val="0"/>
          <w:numId w:val="52"/>
        </w:numPr>
        <w:kinsoku/>
        <w:wordWrap/>
        <w:overflowPunct/>
        <w:topLinePunct w:val="0"/>
        <w:autoSpaceDE/>
        <w:autoSpaceDN/>
        <w:bidi w:val="0"/>
        <w:adjustRightInd/>
        <w:snapToGrid/>
        <w:spacing w:line="420" w:lineRule="exact"/>
        <w:textAlignment w:val="auto"/>
        <w:outlineLvl w:val="9"/>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定期对变压器油样作油色谱分析，及时更换不合格的变压器油。</w:t>
      </w:r>
    </w:p>
    <w:p w14:paraId="37264EE8">
      <w:pPr>
        <w:pStyle w:val="4"/>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497" w:name="_Toc10690"/>
      <w:bookmarkStart w:id="498" w:name="_Toc18162"/>
      <w:bookmarkStart w:id="499" w:name="_Toc27661"/>
      <w:r>
        <w:rPr>
          <w:rFonts w:hint="eastAsia" w:ascii="宋体" w:hAnsi="宋体" w:eastAsia="宋体" w:cs="宋体"/>
          <w:b/>
          <w:bCs w:val="0"/>
          <w:color w:val="000000" w:themeColor="text1"/>
          <w:sz w:val="30"/>
          <w:szCs w:val="30"/>
          <w:lang w:val="en-US" w:eastAsia="zh-CN"/>
          <w14:textFill>
            <w14:solidFill>
              <w14:schemeClr w14:val="tx1"/>
            </w14:solidFill>
          </w14:textFill>
        </w:rPr>
        <w:t>6.3.2</w:t>
      </w:r>
      <w:r>
        <w:rPr>
          <w:rFonts w:hint="eastAsia" w:ascii="宋体" w:hAnsi="宋体" w:eastAsia="宋体" w:cs="宋体"/>
          <w:b/>
          <w:bCs w:val="0"/>
          <w:color w:val="000000" w:themeColor="text1"/>
          <w:sz w:val="30"/>
          <w:szCs w:val="30"/>
          <w14:textFill>
            <w14:solidFill>
              <w14:schemeClr w14:val="tx1"/>
            </w14:solidFill>
          </w14:textFill>
        </w:rPr>
        <w:t>安全管理对策措施</w:t>
      </w:r>
      <w:bookmarkEnd w:id="497"/>
      <w:bookmarkEnd w:id="498"/>
      <w:bookmarkEnd w:id="499"/>
    </w:p>
    <w:p w14:paraId="11B432D1">
      <w:pPr>
        <w:keepNext w:val="0"/>
        <w:keepLines w:val="0"/>
        <w:pageBreakBefore w:val="0"/>
        <w:widowControl w:val="0"/>
        <w:numPr>
          <w:ilvl w:val="0"/>
          <w:numId w:val="53"/>
        </w:numPr>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根据《中华人民共和国安全生产法》第</w:t>
      </w:r>
      <w:r>
        <w:rPr>
          <w:rFonts w:hint="eastAsia" w:ascii="宋体" w:hAnsi="宋体" w:eastAsia="宋体" w:cs="宋体"/>
          <w:color w:val="000000" w:themeColor="text1"/>
          <w:sz w:val="28"/>
          <w:szCs w:val="28"/>
          <w:lang w:val="en-US" w:eastAsia="zh-CN"/>
          <w14:textFill>
            <w14:solidFill>
              <w14:schemeClr w14:val="tx1"/>
            </w14:solidFill>
          </w14:textFill>
        </w:rPr>
        <w:t>二十一</w:t>
      </w:r>
      <w:r>
        <w:rPr>
          <w:rFonts w:hint="eastAsia" w:ascii="宋体" w:hAnsi="宋体" w:eastAsia="宋体" w:cs="宋体"/>
          <w:color w:val="000000" w:themeColor="text1"/>
          <w:sz w:val="28"/>
          <w:szCs w:val="28"/>
          <w14:textFill>
            <w14:solidFill>
              <w14:schemeClr w14:val="tx1"/>
            </w14:solidFill>
          </w14:textFill>
        </w:rPr>
        <w:t>条要求，主要负责人应结合电站实际</w:t>
      </w:r>
      <w:r>
        <w:rPr>
          <w:rFonts w:hint="eastAsia" w:ascii="宋体" w:hAnsi="宋体" w:eastAsia="宋体" w:cs="宋体"/>
          <w:color w:val="000000" w:themeColor="text1"/>
          <w:sz w:val="28"/>
          <w:szCs w:val="28"/>
          <w:lang w:val="en-US" w:eastAsia="zh-CN"/>
          <w14:textFill>
            <w14:solidFill>
              <w14:schemeClr w14:val="tx1"/>
            </w14:solidFill>
          </w14:textFill>
        </w:rPr>
        <w:t>情况，</w:t>
      </w:r>
      <w:r>
        <w:rPr>
          <w:rFonts w:hint="eastAsia" w:ascii="宋体" w:hAnsi="宋体" w:eastAsia="宋体" w:cs="宋体"/>
          <w:color w:val="000000" w:themeColor="text1"/>
          <w:sz w:val="28"/>
          <w:szCs w:val="28"/>
          <w14:textFill>
            <w14:solidFill>
              <w14:schemeClr w14:val="tx1"/>
            </w14:solidFill>
          </w14:textFill>
        </w:rPr>
        <w:t>建立、健全安全生产责任制</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加强安全生产标准化建设。</w:t>
      </w:r>
    </w:p>
    <w:p w14:paraId="01613674">
      <w:pPr>
        <w:keepNext w:val="0"/>
        <w:keepLines w:val="0"/>
        <w:pageBreakBefore w:val="0"/>
        <w:widowControl w:val="0"/>
        <w:numPr>
          <w:ilvl w:val="0"/>
          <w:numId w:val="53"/>
        </w:numPr>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根据《中华人民共和国安全生产法》第</w:t>
      </w:r>
      <w:r>
        <w:rPr>
          <w:rFonts w:hint="eastAsia" w:ascii="宋体" w:hAnsi="宋体" w:eastAsia="宋体" w:cs="宋体"/>
          <w:color w:val="000000" w:themeColor="text1"/>
          <w:sz w:val="28"/>
          <w:szCs w:val="28"/>
          <w:lang w:val="en-US" w:eastAsia="zh-CN"/>
          <w14:textFill>
            <w14:solidFill>
              <w14:schemeClr w14:val="tx1"/>
            </w14:solidFill>
          </w14:textFill>
        </w:rPr>
        <w:t>二十一</w:t>
      </w:r>
      <w:r>
        <w:rPr>
          <w:rFonts w:hint="eastAsia" w:ascii="宋体" w:hAnsi="宋体" w:eastAsia="宋体" w:cs="宋体"/>
          <w:color w:val="000000" w:themeColor="text1"/>
          <w:sz w:val="28"/>
          <w:szCs w:val="28"/>
          <w14:textFill>
            <w14:solidFill>
              <w14:schemeClr w14:val="tx1"/>
            </w14:solidFill>
          </w14:textFill>
        </w:rPr>
        <w:t>条</w:t>
      </w:r>
      <w:r>
        <w:rPr>
          <w:rFonts w:hint="eastAsia" w:ascii="宋体" w:hAnsi="宋体" w:eastAsia="宋体" w:cs="宋体"/>
          <w:color w:val="000000" w:themeColor="text1"/>
          <w:sz w:val="28"/>
          <w:szCs w:val="28"/>
          <w:lang w:val="en-US" w:eastAsia="zh-CN"/>
          <w14:textFill>
            <w14:solidFill>
              <w14:schemeClr w14:val="tx1"/>
            </w14:solidFill>
          </w14:textFill>
        </w:rPr>
        <w:t>和</w:t>
      </w:r>
      <w:r>
        <w:rPr>
          <w:rFonts w:hint="eastAsia" w:ascii="宋体" w:hAnsi="宋体" w:eastAsia="宋体" w:cs="宋体"/>
          <w:color w:val="000000" w:themeColor="text1"/>
          <w:sz w:val="28"/>
          <w:szCs w:val="28"/>
          <w14:textFill>
            <w14:solidFill>
              <w14:schemeClr w14:val="tx1"/>
            </w14:solidFill>
          </w14:textFill>
        </w:rPr>
        <w:t>《企业安全生产费用提取和使用管理办法》</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财资〔2022〕136号</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的要求</w:t>
      </w:r>
      <w:r>
        <w:rPr>
          <w:rFonts w:hint="eastAsia" w:ascii="宋体" w:hAnsi="宋体" w:eastAsia="宋体" w:cs="宋体"/>
          <w:color w:val="000000" w:themeColor="text1"/>
          <w:sz w:val="28"/>
          <w:szCs w:val="28"/>
          <w14:textFill>
            <w14:solidFill>
              <w14:schemeClr w14:val="tx1"/>
            </w14:solidFill>
          </w14:textFill>
        </w:rPr>
        <w:t>，企业应制定年度安全生产技术措施经费提取和使用计划，</w:t>
      </w:r>
      <w:r>
        <w:rPr>
          <w:rFonts w:hint="eastAsia" w:ascii="宋体" w:hAnsi="宋体" w:eastAsia="宋体" w:cs="宋体"/>
          <w:color w:val="000000" w:themeColor="text1"/>
          <w:sz w:val="28"/>
          <w:szCs w:val="28"/>
          <w:lang w:val="en-US" w:eastAsia="zh-CN"/>
          <w14:textFill>
            <w14:solidFill>
              <w14:schemeClr w14:val="tx1"/>
            </w14:solidFill>
          </w14:textFill>
        </w:rPr>
        <w:t>按</w:t>
      </w:r>
      <w:r>
        <w:rPr>
          <w:rFonts w:hint="eastAsia" w:ascii="宋体" w:hAnsi="宋体" w:eastAsia="宋体" w:cs="宋体"/>
          <w:color w:val="000000" w:themeColor="text1"/>
          <w:sz w:val="28"/>
          <w:szCs w:val="28"/>
          <w14:textFill>
            <w14:solidFill>
              <w14:schemeClr w14:val="tx1"/>
            </w14:solidFill>
          </w14:textFill>
        </w:rPr>
        <w:t>标准提取安全生产费用，专门用于完善和改进企业或者项目安全生产条件，并保障专款专用</w:t>
      </w:r>
      <w:r>
        <w:rPr>
          <w:rFonts w:hint="eastAsia" w:ascii="宋体" w:hAnsi="宋体" w:eastAsia="宋体" w:cs="宋体"/>
          <w:color w:val="000000" w:themeColor="text1"/>
          <w:sz w:val="28"/>
          <w:szCs w:val="28"/>
          <w:lang w:eastAsia="zh-CN"/>
          <w14:textFill>
            <w14:solidFill>
              <w14:schemeClr w14:val="tx1"/>
            </w14:solidFill>
          </w14:textFill>
        </w:rPr>
        <w:t>。</w:t>
      </w:r>
    </w:p>
    <w:p w14:paraId="2248A9C4">
      <w:pPr>
        <w:keepNext w:val="0"/>
        <w:keepLines w:val="0"/>
        <w:pageBreakBefore w:val="0"/>
        <w:widowControl w:val="0"/>
        <w:numPr>
          <w:ilvl w:val="0"/>
          <w:numId w:val="53"/>
        </w:numPr>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根据</w:t>
      </w:r>
      <w:r>
        <w:rPr>
          <w:rFonts w:hint="eastAsia" w:ascii="宋体" w:hAnsi="宋体" w:eastAsia="宋体" w:cs="宋体"/>
          <w:color w:val="000000" w:themeColor="text1"/>
          <w:sz w:val="28"/>
          <w:szCs w:val="28"/>
          <w14:textFill>
            <w14:solidFill>
              <w14:schemeClr w14:val="tx1"/>
            </w14:solidFill>
          </w14:textFill>
        </w:rPr>
        <w:t>《电力可靠性管理办法（暂行）》第二十二条</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企业</w:t>
      </w:r>
      <w:r>
        <w:rPr>
          <w:rFonts w:hint="eastAsia" w:ascii="宋体" w:hAnsi="宋体" w:eastAsia="宋体" w:cs="宋体"/>
          <w:color w:val="000000" w:themeColor="text1"/>
          <w:sz w:val="28"/>
          <w:szCs w:val="28"/>
          <w14:textFill>
            <w14:solidFill>
              <w14:schemeClr w14:val="tx1"/>
            </w14:solidFill>
          </w14:textFill>
        </w:rPr>
        <w:t>应当建立发电设备分级管理制度，完善事故预警机制，构建设备标准化管理流程。基于可靠性信息，建立动态优化的设备运行、检修和缺陷管理体系，定期评估影响机组可靠性的风险因素，掌握设备状态、特性和运行规律，发挥对机组运行维护的指导作用</w:t>
      </w:r>
      <w:r>
        <w:rPr>
          <w:rFonts w:hint="eastAsia" w:ascii="宋体" w:hAnsi="宋体" w:eastAsia="宋体" w:cs="宋体"/>
          <w:color w:val="000000" w:themeColor="text1"/>
          <w:sz w:val="28"/>
          <w:szCs w:val="28"/>
          <w:lang w:eastAsia="zh-CN"/>
          <w14:textFill>
            <w14:solidFill>
              <w14:schemeClr w14:val="tx1"/>
            </w14:solidFill>
          </w14:textFill>
        </w:rPr>
        <w:t>。</w:t>
      </w:r>
    </w:p>
    <w:p w14:paraId="3193F4A5">
      <w:pPr>
        <w:keepNext w:val="0"/>
        <w:keepLines w:val="0"/>
        <w:pageBreakBefore w:val="0"/>
        <w:widowControl w:val="0"/>
        <w:numPr>
          <w:ilvl w:val="0"/>
          <w:numId w:val="53"/>
        </w:numPr>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根据本单位的事故风险特点，每年至少组织一次综合应急预案演练或者专项应急预案演练，每半年至少组织一次现场处置方案演练；</w:t>
      </w:r>
    </w:p>
    <w:p w14:paraId="2CC8C407">
      <w:pPr>
        <w:keepNext w:val="0"/>
        <w:keepLines w:val="0"/>
        <w:pageBreakBefore w:val="0"/>
        <w:widowControl w:val="0"/>
        <w:numPr>
          <w:ilvl w:val="0"/>
          <w:numId w:val="53"/>
        </w:numPr>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中华人民共和国安全生产法》第三十八条，生产经营单位应当根据《生产安全事故隐患排查治理制度》，采取技术、管理措施，及时发现并消除事故隐患。事故隐患排查治理情况应当如实记录，并向从业人员通报。</w:t>
      </w:r>
    </w:p>
    <w:p w14:paraId="2EA58CE0">
      <w:pPr>
        <w:keepNext w:val="0"/>
        <w:keepLines w:val="0"/>
        <w:pageBreakBefore w:val="0"/>
        <w:widowControl w:val="0"/>
        <w:numPr>
          <w:ilvl w:val="0"/>
          <w:numId w:val="53"/>
        </w:numPr>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企业在后期生产运行中，应认真贯彻落实省、市、区人民政府和负有安全生产监督管理职责的部门下发的有关光伏电站的各项安全生产意见、办法，以确保企业具备应当满足的安全生产基本条件。</w:t>
      </w:r>
    </w:p>
    <w:p w14:paraId="7BDF9070">
      <w:pPr>
        <w:pStyle w:val="4"/>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500" w:name="_Toc20349"/>
      <w:bookmarkStart w:id="501" w:name="_Toc14618"/>
      <w:bookmarkStart w:id="502" w:name="_Toc13489"/>
      <w:r>
        <w:rPr>
          <w:rFonts w:hint="eastAsia" w:ascii="宋体" w:hAnsi="宋体" w:eastAsia="宋体" w:cs="宋体"/>
          <w:b/>
          <w:bCs w:val="0"/>
          <w:color w:val="000000" w:themeColor="text1"/>
          <w:sz w:val="30"/>
          <w:szCs w:val="30"/>
          <w:lang w:val="en-US" w:eastAsia="zh-CN"/>
          <w14:textFill>
            <w14:solidFill>
              <w14:schemeClr w14:val="tx1"/>
            </w14:solidFill>
          </w14:textFill>
        </w:rPr>
        <w:t>6.3.3</w:t>
      </w:r>
      <w:r>
        <w:rPr>
          <w:rFonts w:hint="eastAsia" w:ascii="宋体" w:hAnsi="宋体" w:eastAsia="宋体" w:cs="宋体"/>
          <w:b/>
          <w:bCs w:val="0"/>
          <w:color w:val="000000" w:themeColor="text1"/>
          <w:sz w:val="30"/>
          <w:szCs w:val="30"/>
          <w14:textFill>
            <w14:solidFill>
              <w14:schemeClr w14:val="tx1"/>
            </w14:solidFill>
          </w14:textFill>
        </w:rPr>
        <w:t>其它对策措施建议</w:t>
      </w:r>
      <w:bookmarkEnd w:id="500"/>
      <w:bookmarkEnd w:id="501"/>
      <w:bookmarkEnd w:id="502"/>
    </w:p>
    <w:p w14:paraId="6674C65D">
      <w:pPr>
        <w:keepNext w:val="0"/>
        <w:keepLines w:val="0"/>
        <w:pageBreakBefore w:val="0"/>
        <w:widowControl w:val="0"/>
        <w:numPr>
          <w:ilvl w:val="0"/>
          <w:numId w:val="54"/>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对光伏方阵区排水沟进行适时的清理、检修，确保排水工程畅通。</w:t>
      </w:r>
    </w:p>
    <w:p w14:paraId="4E99AFB6">
      <w:pPr>
        <w:keepNext w:val="0"/>
        <w:keepLines w:val="0"/>
        <w:pageBreakBefore w:val="0"/>
        <w:widowControl w:val="0"/>
        <w:numPr>
          <w:ilvl w:val="0"/>
          <w:numId w:val="54"/>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加强安全工器具的管理工作，安全工器具要注意配备是否操作合适，检验周期应分开，避免同一个安全工器具同时送检的情况。</w:t>
      </w:r>
    </w:p>
    <w:p w14:paraId="5A4120FB">
      <w:pPr>
        <w:keepNext w:val="0"/>
        <w:keepLines w:val="0"/>
        <w:pageBreakBefore w:val="0"/>
        <w:widowControl w:val="0"/>
        <w:numPr>
          <w:ilvl w:val="0"/>
          <w:numId w:val="54"/>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定期对</w:t>
      </w:r>
      <w:r>
        <w:rPr>
          <w:rFonts w:hint="eastAsia" w:ascii="宋体" w:hAnsi="宋体" w:eastAsia="宋体" w:cs="宋体"/>
          <w:color w:val="000000" w:themeColor="text1"/>
          <w:sz w:val="28"/>
          <w:szCs w:val="28"/>
          <w:lang w:val="en-US" w:eastAsia="zh-CN"/>
          <w14:textFill>
            <w14:solidFill>
              <w14:schemeClr w14:val="tx1"/>
            </w14:solidFill>
          </w14:textFill>
        </w:rPr>
        <w:t>变压器</w:t>
      </w:r>
      <w:r>
        <w:rPr>
          <w:rFonts w:hint="eastAsia" w:ascii="宋体" w:hAnsi="宋体" w:eastAsia="宋体" w:cs="宋体"/>
          <w:color w:val="000000" w:themeColor="text1"/>
          <w:sz w:val="28"/>
          <w:szCs w:val="28"/>
          <w14:textFill>
            <w14:solidFill>
              <w14:schemeClr w14:val="tx1"/>
            </w14:solidFill>
          </w14:textFill>
        </w:rPr>
        <w:t>油样作油色谱分析</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及时更换不合格的变压器油</w:t>
      </w:r>
      <w:r>
        <w:rPr>
          <w:rFonts w:hint="eastAsia" w:ascii="宋体" w:hAnsi="宋体" w:eastAsia="宋体" w:cs="宋体"/>
          <w:color w:val="000000" w:themeColor="text1"/>
          <w:sz w:val="28"/>
          <w:szCs w:val="28"/>
          <w14:textFill>
            <w14:solidFill>
              <w14:schemeClr w14:val="tx1"/>
            </w14:solidFill>
          </w14:textFill>
        </w:rPr>
        <w:t>。</w:t>
      </w:r>
    </w:p>
    <w:p w14:paraId="6881B524">
      <w:pPr>
        <w:keepNext w:val="0"/>
        <w:keepLines w:val="0"/>
        <w:pageBreakBefore w:val="0"/>
        <w:widowControl w:val="0"/>
        <w:numPr>
          <w:ilvl w:val="0"/>
          <w:numId w:val="54"/>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加强光伏支架的巡视检查，是否有松动、脱落的连接，尤其大风、暴雨后作专项检查，发现隐患及时处理。</w:t>
      </w:r>
    </w:p>
    <w:p w14:paraId="5AFB0434">
      <w:pPr>
        <w:keepNext w:val="0"/>
        <w:keepLines w:val="0"/>
        <w:pageBreakBefore w:val="0"/>
        <w:widowControl w:val="0"/>
        <w:numPr>
          <w:ilvl w:val="0"/>
          <w:numId w:val="54"/>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运行中应定期对设备进行定期维护、维修和保养，发现损坏、老化零件及时更换，出现问题及时处理，以保证满足安全运行。</w:t>
      </w:r>
    </w:p>
    <w:p w14:paraId="309B1274">
      <w:pPr>
        <w:keepNext w:val="0"/>
        <w:keepLines w:val="0"/>
        <w:pageBreakBefore w:val="0"/>
        <w:widowControl w:val="0"/>
        <w:numPr>
          <w:ilvl w:val="0"/>
          <w:numId w:val="54"/>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本项目管理范围大，包括</w:t>
      </w:r>
      <w:r>
        <w:rPr>
          <w:rFonts w:hint="eastAsia" w:ascii="宋体" w:hAnsi="宋体" w:eastAsia="宋体" w:cs="宋体"/>
          <w:color w:val="000000" w:themeColor="text1"/>
          <w:sz w:val="28"/>
          <w:szCs w:val="28"/>
          <w:lang w:val="en-US" w:eastAsia="zh-CN"/>
          <w14:textFill>
            <w14:solidFill>
              <w14:schemeClr w14:val="tx1"/>
            </w14:solidFill>
          </w14:textFill>
        </w:rPr>
        <w:t>多个</w:t>
      </w:r>
      <w:r>
        <w:rPr>
          <w:rFonts w:hint="eastAsia" w:ascii="宋体" w:hAnsi="宋体" w:eastAsia="宋体" w:cs="宋体"/>
          <w:color w:val="000000" w:themeColor="text1"/>
          <w:sz w:val="28"/>
          <w:szCs w:val="28"/>
          <w14:textFill>
            <w14:solidFill>
              <w14:schemeClr w14:val="tx1"/>
            </w14:solidFill>
          </w14:textFill>
        </w:rPr>
        <w:t>光伏方阵、开关站等，火灾会影响本项目的安全运行，建议成立义务消防队，并加强与</w:t>
      </w:r>
      <w:r>
        <w:rPr>
          <w:rFonts w:hint="eastAsia" w:ascii="宋体" w:hAnsi="宋体" w:eastAsia="宋体" w:cs="宋体"/>
          <w:color w:val="000000" w:themeColor="text1"/>
          <w:sz w:val="28"/>
          <w:szCs w:val="28"/>
          <w:lang w:val="en-US" w:eastAsia="zh-CN"/>
          <w14:textFill>
            <w14:solidFill>
              <w14:schemeClr w14:val="tx1"/>
            </w14:solidFill>
          </w14:textFill>
        </w:rPr>
        <w:t>地方森林防火、</w:t>
      </w:r>
      <w:r>
        <w:rPr>
          <w:rFonts w:hint="eastAsia" w:ascii="宋体" w:hAnsi="宋体" w:eastAsia="宋体" w:cs="宋体"/>
          <w:color w:val="000000" w:themeColor="text1"/>
          <w:sz w:val="28"/>
          <w:szCs w:val="28"/>
          <w14:textFill>
            <w14:solidFill>
              <w14:schemeClr w14:val="tx1"/>
            </w14:solidFill>
          </w14:textFill>
        </w:rPr>
        <w:t>消防</w:t>
      </w:r>
      <w:r>
        <w:rPr>
          <w:rFonts w:hint="eastAsia" w:ascii="宋体" w:hAnsi="宋体" w:eastAsia="宋体" w:cs="宋体"/>
          <w:color w:val="000000" w:themeColor="text1"/>
          <w:sz w:val="28"/>
          <w:szCs w:val="28"/>
          <w:lang w:val="en-US" w:eastAsia="zh-CN"/>
          <w14:textFill>
            <w14:solidFill>
              <w14:schemeClr w14:val="tx1"/>
            </w14:solidFill>
          </w14:textFill>
        </w:rPr>
        <w:t>等</w:t>
      </w:r>
      <w:r>
        <w:rPr>
          <w:rFonts w:hint="eastAsia" w:ascii="宋体" w:hAnsi="宋体" w:eastAsia="宋体" w:cs="宋体"/>
          <w:color w:val="000000" w:themeColor="text1"/>
          <w:sz w:val="28"/>
          <w:szCs w:val="28"/>
          <w14:textFill>
            <w14:solidFill>
              <w14:schemeClr w14:val="tx1"/>
            </w14:solidFill>
          </w14:textFill>
        </w:rPr>
        <w:t>部门的</w:t>
      </w:r>
      <w:r>
        <w:rPr>
          <w:rFonts w:hint="eastAsia" w:ascii="宋体" w:hAnsi="宋体" w:eastAsia="宋体" w:cs="宋体"/>
          <w:color w:val="000000" w:themeColor="text1"/>
          <w:sz w:val="28"/>
          <w:szCs w:val="28"/>
          <w:lang w:val="en-US" w:eastAsia="zh-CN"/>
          <w14:textFill>
            <w14:solidFill>
              <w14:schemeClr w14:val="tx1"/>
            </w14:solidFill>
          </w14:textFill>
        </w:rPr>
        <w:t>密切</w:t>
      </w:r>
      <w:r>
        <w:rPr>
          <w:rFonts w:hint="eastAsia" w:ascii="宋体" w:hAnsi="宋体" w:eastAsia="宋体" w:cs="宋体"/>
          <w:color w:val="000000" w:themeColor="text1"/>
          <w:sz w:val="28"/>
          <w:szCs w:val="28"/>
          <w14:textFill>
            <w14:solidFill>
              <w14:schemeClr w14:val="tx1"/>
            </w14:solidFill>
          </w14:textFill>
        </w:rPr>
        <w:t>联系。</w:t>
      </w:r>
    </w:p>
    <w:p w14:paraId="06D78A9D">
      <w:pPr>
        <w:keepNext w:val="0"/>
        <w:keepLines w:val="0"/>
        <w:pageBreakBefore w:val="0"/>
        <w:widowControl w:val="0"/>
        <w:numPr>
          <w:ilvl w:val="0"/>
          <w:numId w:val="54"/>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发电生产设备（一次设备、二次设备）应按国家和行业标准有关试验规程的项目、标准和期限作预防性试验，防止设备故障发生人身伤亡事故。</w:t>
      </w:r>
    </w:p>
    <w:p w14:paraId="5D688166">
      <w:pPr>
        <w:keepNext w:val="0"/>
        <w:keepLines w:val="0"/>
        <w:pageBreakBefore w:val="0"/>
        <w:widowControl w:val="0"/>
        <w:numPr>
          <w:ilvl w:val="0"/>
          <w:numId w:val="54"/>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安全标志牌每半年至少检查一次，如发现有破损、变形、褪色等不符合要求时，应及时修整或更换。</w:t>
      </w:r>
    </w:p>
    <w:p w14:paraId="483CE456">
      <w:pPr>
        <w:keepNext w:val="0"/>
        <w:keepLines w:val="0"/>
        <w:pageBreakBefore w:val="0"/>
        <w:widowControl w:val="0"/>
        <w:numPr>
          <w:ilvl w:val="0"/>
          <w:numId w:val="54"/>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根据《关于深入开展电力安全生产标准化工作的指导意见》（电监安全〔2011〕21号）和《关于印发发电企业安全生产标准化规范及达标评级标准的通知》（电监安全〔2011〕23号），</w:t>
      </w:r>
      <w:r>
        <w:rPr>
          <w:rFonts w:hint="eastAsia" w:ascii="宋体" w:hAnsi="宋体" w:eastAsia="宋体" w:cs="宋体"/>
          <w:color w:val="000000" w:themeColor="text1"/>
          <w:sz w:val="28"/>
          <w:szCs w:val="28"/>
          <w:lang w:eastAsia="zh-CN"/>
          <w14:textFill>
            <w14:solidFill>
              <w14:schemeClr w14:val="tx1"/>
            </w14:solidFill>
          </w14:textFill>
        </w:rPr>
        <w:t>开展</w:t>
      </w:r>
      <w:r>
        <w:rPr>
          <w:rFonts w:hint="eastAsia" w:ascii="宋体" w:hAnsi="宋体" w:eastAsia="宋体" w:cs="宋体"/>
          <w:color w:val="000000" w:themeColor="text1"/>
          <w:sz w:val="28"/>
          <w:szCs w:val="28"/>
          <w14:textFill>
            <w14:solidFill>
              <w14:schemeClr w14:val="tx1"/>
            </w14:solidFill>
          </w14:textFill>
        </w:rPr>
        <w:t>电站安全生产标准化达标</w:t>
      </w:r>
      <w:r>
        <w:rPr>
          <w:rFonts w:hint="eastAsia" w:ascii="宋体" w:hAnsi="宋体" w:eastAsia="宋体" w:cs="宋体"/>
          <w:color w:val="000000" w:themeColor="text1"/>
          <w:sz w:val="28"/>
          <w:szCs w:val="28"/>
          <w:lang w:eastAsia="zh-CN"/>
          <w14:textFill>
            <w14:solidFill>
              <w14:schemeClr w14:val="tx1"/>
            </w14:solidFill>
          </w14:textFill>
        </w:rPr>
        <w:t>创建</w:t>
      </w:r>
      <w:r>
        <w:rPr>
          <w:rFonts w:hint="eastAsia" w:ascii="宋体" w:hAnsi="宋体" w:eastAsia="宋体" w:cs="宋体"/>
          <w:color w:val="000000" w:themeColor="text1"/>
          <w:sz w:val="28"/>
          <w:szCs w:val="28"/>
          <w14:textFill>
            <w14:solidFill>
              <w14:schemeClr w14:val="tx1"/>
            </w14:solidFill>
          </w14:textFill>
        </w:rPr>
        <w:t>工作。</w:t>
      </w:r>
    </w:p>
    <w:p w14:paraId="0B5A205A">
      <w:pPr>
        <w:keepNext w:val="0"/>
        <w:keepLines w:val="0"/>
        <w:pageBreakBefore w:val="0"/>
        <w:widowControl w:val="0"/>
        <w:numPr>
          <w:ilvl w:val="0"/>
          <w:numId w:val="54"/>
        </w:numPr>
        <w:kinsoku/>
        <w:wordWrap/>
        <w:overflowPunct/>
        <w:topLinePunct w:val="0"/>
        <w:autoSpaceDE/>
        <w:autoSpaceDN/>
        <w:bidi w:val="0"/>
        <w:adjustRightInd/>
        <w:snapToGrid/>
        <w:spacing w:line="42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本项目主要建筑物为太阳能电池板区域配置一套图像监视及公共报警系统，对光伏电站主要电气设备、关键设备安装地点以及周围环境进行全天侯的图像监视，以满足电力系统安全生产所需的监视设备关键部位的要求，同时，该系统可实现变电站安全警卫的要求，一旦有人入侵或发生火灾能马上发生报警。</w:t>
      </w:r>
    </w:p>
    <w:p w14:paraId="4C3C03D8">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560" w:firstLineChars="200"/>
        <w:jc w:val="both"/>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光伏区建议采用无人机进行巡检，做好巡检记录。</w:t>
      </w:r>
    </w:p>
    <w:p w14:paraId="1B7D318C">
      <w:pPr>
        <w:pStyle w:val="3"/>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auto"/>
          <w:sz w:val="30"/>
          <w:szCs w:val="30"/>
          <w:highlight w:val="none"/>
        </w:rPr>
      </w:pPr>
      <w:bookmarkStart w:id="503" w:name="_Toc3442"/>
      <w:r>
        <w:rPr>
          <w:rFonts w:hint="eastAsia" w:ascii="宋体" w:hAnsi="宋体" w:eastAsia="宋体" w:cs="宋体"/>
          <w:b/>
          <w:bCs/>
          <w:color w:val="auto"/>
          <w:sz w:val="30"/>
          <w:szCs w:val="30"/>
          <w:highlight w:val="none"/>
          <w:lang w:val="en-US" w:eastAsia="zh-CN"/>
        </w:rPr>
        <w:t>6.4</w:t>
      </w:r>
      <w:r>
        <w:rPr>
          <w:rFonts w:hint="eastAsia" w:ascii="宋体" w:hAnsi="宋体" w:eastAsia="宋体" w:cs="宋体"/>
          <w:b/>
          <w:bCs/>
          <w:color w:val="auto"/>
          <w:sz w:val="30"/>
          <w:szCs w:val="30"/>
          <w:highlight w:val="none"/>
        </w:rPr>
        <w:t>《安全设施设计》中安全对策措施落实情况检查</w:t>
      </w:r>
      <w:r>
        <w:rPr>
          <w:rFonts w:hint="eastAsia" w:ascii="宋体" w:hAnsi="宋体" w:eastAsia="宋体" w:cs="宋体"/>
          <w:b/>
          <w:bCs/>
          <w:color w:val="auto"/>
          <w:sz w:val="30"/>
          <w:szCs w:val="30"/>
          <w:highlight w:val="none"/>
          <w:lang w:val="en-US" w:eastAsia="zh-CN"/>
        </w:rPr>
        <w:t>和</w:t>
      </w:r>
      <w:r>
        <w:rPr>
          <w:rFonts w:hint="eastAsia" w:ascii="宋体" w:hAnsi="宋体" w:eastAsia="宋体" w:cs="宋体"/>
          <w:b/>
          <w:bCs/>
          <w:color w:val="auto"/>
          <w:sz w:val="30"/>
          <w:szCs w:val="30"/>
          <w:highlight w:val="none"/>
        </w:rPr>
        <w:t>评价</w:t>
      </w:r>
      <w:bookmarkEnd w:id="503"/>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0"/>
        <w:gridCol w:w="2772"/>
        <w:gridCol w:w="1324"/>
        <w:gridCol w:w="976"/>
      </w:tblGrid>
      <w:tr w14:paraId="4D5F7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0" w:type="dxa"/>
          </w:tcPr>
          <w:p w14:paraId="78B09CCB">
            <w:pPr>
              <w:jc w:val="center"/>
              <w:rPr>
                <w:rFonts w:hint="default"/>
                <w:b/>
                <w:bCs/>
                <w:vertAlign w:val="baseline"/>
                <w:lang w:val="en-US" w:eastAsia="zh-CN"/>
              </w:rPr>
            </w:pPr>
            <w:r>
              <w:rPr>
                <w:rFonts w:hint="eastAsia"/>
                <w:b/>
                <w:bCs/>
                <w:vertAlign w:val="baseline"/>
                <w:lang w:val="en-US" w:eastAsia="zh-CN"/>
              </w:rPr>
              <w:t>安全设施设计采区的防范措施单元</w:t>
            </w:r>
          </w:p>
        </w:tc>
        <w:tc>
          <w:tcPr>
            <w:tcW w:w="2772" w:type="dxa"/>
          </w:tcPr>
          <w:p w14:paraId="796E2056">
            <w:pPr>
              <w:jc w:val="center"/>
              <w:rPr>
                <w:rFonts w:hint="default"/>
                <w:b/>
                <w:bCs/>
                <w:vertAlign w:val="baseline"/>
                <w:lang w:val="en-US" w:eastAsia="zh-CN"/>
              </w:rPr>
            </w:pPr>
            <w:r>
              <w:rPr>
                <w:rFonts w:hint="eastAsia"/>
                <w:b/>
                <w:bCs/>
                <w:vertAlign w:val="baseline"/>
                <w:lang w:val="en-US" w:eastAsia="zh-CN"/>
              </w:rPr>
              <w:t>子单元</w:t>
            </w:r>
          </w:p>
        </w:tc>
        <w:tc>
          <w:tcPr>
            <w:tcW w:w="1324" w:type="dxa"/>
          </w:tcPr>
          <w:p w14:paraId="0DA1E81F">
            <w:pPr>
              <w:jc w:val="center"/>
              <w:rPr>
                <w:rFonts w:hint="default"/>
                <w:b/>
                <w:bCs/>
                <w:vertAlign w:val="baseline"/>
                <w:lang w:val="en-US" w:eastAsia="zh-CN"/>
              </w:rPr>
            </w:pPr>
            <w:r>
              <w:rPr>
                <w:rFonts w:hint="eastAsia"/>
                <w:b/>
                <w:bCs/>
                <w:vertAlign w:val="baseline"/>
                <w:lang w:val="en-US" w:eastAsia="zh-CN"/>
              </w:rPr>
              <w:t>实际情况</w:t>
            </w:r>
          </w:p>
        </w:tc>
        <w:tc>
          <w:tcPr>
            <w:tcW w:w="976" w:type="dxa"/>
          </w:tcPr>
          <w:p w14:paraId="053C2F84">
            <w:pPr>
              <w:jc w:val="center"/>
              <w:rPr>
                <w:rFonts w:hint="default"/>
                <w:b/>
                <w:bCs/>
                <w:vertAlign w:val="baseline"/>
                <w:lang w:val="en-US" w:eastAsia="zh-CN"/>
              </w:rPr>
            </w:pPr>
            <w:r>
              <w:rPr>
                <w:rFonts w:hint="eastAsia"/>
                <w:b/>
                <w:bCs/>
                <w:vertAlign w:val="baseline"/>
                <w:lang w:val="en-US" w:eastAsia="zh-CN"/>
              </w:rPr>
              <w:t>评价</w:t>
            </w:r>
          </w:p>
        </w:tc>
      </w:tr>
      <w:tr w14:paraId="6F745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0" w:type="dxa"/>
            <w:vAlign w:val="center"/>
          </w:tcPr>
          <w:p w14:paraId="206D41D4">
            <w:pPr>
              <w:jc w:val="center"/>
              <w:rPr>
                <w:rFonts w:hint="default"/>
                <w:b w:val="0"/>
                <w:bCs w:val="0"/>
                <w:vertAlign w:val="baseline"/>
                <w:lang w:val="en-US" w:eastAsia="zh-CN"/>
              </w:rPr>
            </w:pPr>
            <w:r>
              <w:rPr>
                <w:rFonts w:hint="eastAsia"/>
                <w:b w:val="0"/>
                <w:bCs w:val="0"/>
                <w:vertAlign w:val="baseline"/>
                <w:lang w:val="en-US" w:eastAsia="zh-CN"/>
              </w:rPr>
              <w:t>总平面布置安全防范措施</w:t>
            </w:r>
          </w:p>
        </w:tc>
        <w:tc>
          <w:tcPr>
            <w:tcW w:w="2772" w:type="dxa"/>
          </w:tcPr>
          <w:p w14:paraId="7185F48E">
            <w:pPr>
              <w:keepNext w:val="0"/>
              <w:keepLines w:val="0"/>
              <w:widowControl/>
              <w:suppressLineNumbers w:val="0"/>
              <w:jc w:val="left"/>
              <w:rPr>
                <w:rFonts w:hint="eastAsia"/>
                <w:vertAlign w:val="baseline"/>
                <w:lang w:val="en-US" w:eastAsia="zh-CN"/>
              </w:rPr>
            </w:pPr>
          </w:p>
        </w:tc>
        <w:tc>
          <w:tcPr>
            <w:tcW w:w="1324" w:type="dxa"/>
            <w:vAlign w:val="top"/>
          </w:tcPr>
          <w:p w14:paraId="68366AFA">
            <w:pPr>
              <w:jc w:val="center"/>
              <w:rPr>
                <w:rFonts w:hint="default"/>
                <w:vertAlign w:val="baseline"/>
                <w:lang w:val="en-US" w:eastAsia="zh-CN"/>
              </w:rPr>
            </w:pPr>
            <w:r>
              <w:rPr>
                <w:rFonts w:hint="eastAsia"/>
                <w:vertAlign w:val="baseline"/>
                <w:lang w:val="en-US" w:eastAsia="zh-CN"/>
              </w:rPr>
              <w:t>已采取措施</w:t>
            </w:r>
          </w:p>
        </w:tc>
        <w:tc>
          <w:tcPr>
            <w:tcW w:w="976" w:type="dxa"/>
            <w:vAlign w:val="top"/>
          </w:tcPr>
          <w:p w14:paraId="15980184">
            <w:pPr>
              <w:jc w:val="center"/>
              <w:rPr>
                <w:rFonts w:hint="default"/>
                <w:vertAlign w:val="baseline"/>
                <w:lang w:val="en-US" w:eastAsia="zh-CN"/>
              </w:rPr>
            </w:pPr>
            <w:r>
              <w:rPr>
                <w:rFonts w:hint="eastAsia"/>
                <w:vertAlign w:val="baseline"/>
                <w:lang w:val="en-US" w:eastAsia="zh-CN"/>
              </w:rPr>
              <w:t>符合</w:t>
            </w:r>
          </w:p>
        </w:tc>
      </w:tr>
      <w:tr w14:paraId="7395F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3450" w:type="dxa"/>
            <w:vMerge w:val="restart"/>
            <w:vAlign w:val="center"/>
          </w:tcPr>
          <w:p w14:paraId="753E4488">
            <w:pPr>
              <w:jc w:val="center"/>
              <w:rPr>
                <w:rFonts w:hint="default"/>
                <w:b w:val="0"/>
                <w:bCs w:val="0"/>
                <w:vertAlign w:val="baseline"/>
                <w:lang w:val="en-US" w:eastAsia="zh-CN"/>
              </w:rPr>
            </w:pPr>
            <w:r>
              <w:rPr>
                <w:rFonts w:hint="eastAsia"/>
                <w:b w:val="0"/>
                <w:bCs w:val="0"/>
                <w:vertAlign w:val="baseline"/>
                <w:lang w:val="en-US" w:eastAsia="zh-CN"/>
              </w:rPr>
              <w:t>工艺、设备安全防范措施</w:t>
            </w:r>
          </w:p>
        </w:tc>
        <w:tc>
          <w:tcPr>
            <w:tcW w:w="2772" w:type="dxa"/>
          </w:tcPr>
          <w:p w14:paraId="76853880">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光伏组件安全防范措施</w:t>
            </w:r>
          </w:p>
        </w:tc>
        <w:tc>
          <w:tcPr>
            <w:tcW w:w="1324" w:type="dxa"/>
            <w:vMerge w:val="restart"/>
            <w:vAlign w:val="center"/>
          </w:tcPr>
          <w:p w14:paraId="19A6C442">
            <w:pPr>
              <w:jc w:val="center"/>
              <w:rPr>
                <w:rFonts w:hint="eastAsia"/>
                <w:vertAlign w:val="baseline"/>
                <w:lang w:val="en-US" w:eastAsia="zh-CN"/>
              </w:rPr>
            </w:pPr>
            <w:r>
              <w:rPr>
                <w:rFonts w:hint="eastAsia"/>
                <w:vertAlign w:val="baseline"/>
                <w:lang w:val="en-US" w:eastAsia="zh-CN"/>
              </w:rPr>
              <w:t>已采取措施</w:t>
            </w:r>
          </w:p>
        </w:tc>
        <w:tc>
          <w:tcPr>
            <w:tcW w:w="976" w:type="dxa"/>
            <w:vMerge w:val="restart"/>
            <w:vAlign w:val="center"/>
          </w:tcPr>
          <w:p w14:paraId="177AF540">
            <w:pPr>
              <w:jc w:val="center"/>
              <w:rPr>
                <w:rFonts w:hint="eastAsia"/>
                <w:vertAlign w:val="baseline"/>
                <w:lang w:val="en-US" w:eastAsia="zh-CN"/>
              </w:rPr>
            </w:pPr>
            <w:r>
              <w:rPr>
                <w:rFonts w:hint="eastAsia"/>
                <w:vertAlign w:val="baseline"/>
                <w:lang w:val="en-US" w:eastAsia="zh-CN"/>
              </w:rPr>
              <w:t>符合</w:t>
            </w:r>
          </w:p>
        </w:tc>
      </w:tr>
      <w:tr w14:paraId="4ED1D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3450" w:type="dxa"/>
            <w:vMerge w:val="continue"/>
            <w:vAlign w:val="center"/>
          </w:tcPr>
          <w:p w14:paraId="6D22F9E1">
            <w:pPr>
              <w:keepNext w:val="0"/>
              <w:keepLines w:val="0"/>
              <w:widowControl/>
              <w:suppressLineNumbers w:val="0"/>
              <w:jc w:val="center"/>
            </w:pPr>
          </w:p>
        </w:tc>
        <w:tc>
          <w:tcPr>
            <w:tcW w:w="2772" w:type="dxa"/>
          </w:tcPr>
          <w:p w14:paraId="710EF059">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逆变单元安全防范措施</w:t>
            </w:r>
          </w:p>
        </w:tc>
        <w:tc>
          <w:tcPr>
            <w:tcW w:w="1324" w:type="dxa"/>
            <w:vMerge w:val="continue"/>
            <w:vAlign w:val="top"/>
          </w:tcPr>
          <w:p w14:paraId="59FFFAE3">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c>
          <w:tcPr>
            <w:tcW w:w="976" w:type="dxa"/>
            <w:vMerge w:val="continue"/>
            <w:vAlign w:val="top"/>
          </w:tcPr>
          <w:p w14:paraId="10DCE41E">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069C6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3450" w:type="dxa"/>
            <w:vMerge w:val="continue"/>
            <w:vAlign w:val="center"/>
          </w:tcPr>
          <w:p w14:paraId="49E1963D">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p>
        </w:tc>
        <w:tc>
          <w:tcPr>
            <w:tcW w:w="2772" w:type="dxa"/>
          </w:tcPr>
          <w:p w14:paraId="789E9C6A">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直埋集线电缆安全防范措施</w:t>
            </w:r>
          </w:p>
        </w:tc>
        <w:tc>
          <w:tcPr>
            <w:tcW w:w="1324" w:type="dxa"/>
            <w:vMerge w:val="continue"/>
            <w:vAlign w:val="top"/>
          </w:tcPr>
          <w:p w14:paraId="48921B08">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c>
          <w:tcPr>
            <w:tcW w:w="976" w:type="dxa"/>
            <w:vMerge w:val="continue"/>
            <w:vAlign w:val="top"/>
          </w:tcPr>
          <w:p w14:paraId="1332ED23">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28C3B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3450" w:type="dxa"/>
            <w:vMerge w:val="continue"/>
            <w:vAlign w:val="center"/>
          </w:tcPr>
          <w:p w14:paraId="00106FE9">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p>
        </w:tc>
        <w:tc>
          <w:tcPr>
            <w:tcW w:w="2772" w:type="dxa"/>
          </w:tcPr>
          <w:p w14:paraId="4A5FFB6B">
            <w:pPr>
              <w:keepNext w:val="0"/>
              <w:keepLines w:val="0"/>
              <w:widowControl/>
              <w:suppressLineNumbers w:val="0"/>
              <w:jc w:val="left"/>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35kV 高压升压安全防范措施</w:t>
            </w:r>
          </w:p>
        </w:tc>
        <w:tc>
          <w:tcPr>
            <w:tcW w:w="1324" w:type="dxa"/>
            <w:vMerge w:val="continue"/>
            <w:vAlign w:val="top"/>
          </w:tcPr>
          <w:p w14:paraId="45300F19">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c>
          <w:tcPr>
            <w:tcW w:w="976" w:type="dxa"/>
            <w:vMerge w:val="continue"/>
            <w:vAlign w:val="top"/>
          </w:tcPr>
          <w:p w14:paraId="45DD4FB3">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64756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3450" w:type="dxa"/>
            <w:vMerge w:val="continue"/>
            <w:vAlign w:val="center"/>
          </w:tcPr>
          <w:p w14:paraId="6265D136">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p>
        </w:tc>
        <w:tc>
          <w:tcPr>
            <w:tcW w:w="2772" w:type="dxa"/>
          </w:tcPr>
          <w:p w14:paraId="619CF763">
            <w:pPr>
              <w:keepNext w:val="0"/>
              <w:keepLines w:val="0"/>
              <w:widowControl/>
              <w:suppressLineNumbers w:val="0"/>
              <w:jc w:val="left"/>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继电保护系统安全防范措施</w:t>
            </w:r>
          </w:p>
        </w:tc>
        <w:tc>
          <w:tcPr>
            <w:tcW w:w="1324" w:type="dxa"/>
            <w:vMerge w:val="continue"/>
            <w:vAlign w:val="top"/>
          </w:tcPr>
          <w:p w14:paraId="43358DD5">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c>
          <w:tcPr>
            <w:tcW w:w="976" w:type="dxa"/>
            <w:vMerge w:val="continue"/>
            <w:vAlign w:val="top"/>
          </w:tcPr>
          <w:p w14:paraId="1A8327C2">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209DC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3450" w:type="dxa"/>
            <w:vMerge w:val="continue"/>
            <w:vAlign w:val="center"/>
          </w:tcPr>
          <w:p w14:paraId="69F5CBC6">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p>
        </w:tc>
        <w:tc>
          <w:tcPr>
            <w:tcW w:w="2772" w:type="dxa"/>
          </w:tcPr>
          <w:p w14:paraId="74A2419E">
            <w:pPr>
              <w:keepNext w:val="0"/>
              <w:keepLines w:val="0"/>
              <w:widowControl/>
              <w:suppressLineNumbers w:val="0"/>
              <w:jc w:val="left"/>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无功补偿装置安全防范措施</w:t>
            </w:r>
          </w:p>
        </w:tc>
        <w:tc>
          <w:tcPr>
            <w:tcW w:w="1324" w:type="dxa"/>
            <w:vMerge w:val="continue"/>
            <w:vAlign w:val="top"/>
          </w:tcPr>
          <w:p w14:paraId="12750454">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c>
          <w:tcPr>
            <w:tcW w:w="976" w:type="dxa"/>
            <w:vMerge w:val="continue"/>
            <w:vAlign w:val="top"/>
          </w:tcPr>
          <w:p w14:paraId="5A564063">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7AA96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3450" w:type="dxa"/>
            <w:vMerge w:val="continue"/>
            <w:vAlign w:val="center"/>
          </w:tcPr>
          <w:p w14:paraId="31D43D81">
            <w:pPr>
              <w:keepNext w:val="0"/>
              <w:keepLines w:val="0"/>
              <w:widowControl/>
              <w:suppressLineNumbers w:val="0"/>
              <w:jc w:val="left"/>
            </w:pPr>
          </w:p>
        </w:tc>
        <w:tc>
          <w:tcPr>
            <w:tcW w:w="2772" w:type="dxa"/>
          </w:tcPr>
          <w:p w14:paraId="134DEEE8">
            <w:pPr>
              <w:keepNext w:val="0"/>
              <w:keepLines w:val="0"/>
              <w:widowControl/>
              <w:suppressLineNumbers w:val="0"/>
              <w:jc w:val="left"/>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35kV 预制舱防中毒对策措施</w:t>
            </w:r>
          </w:p>
        </w:tc>
        <w:tc>
          <w:tcPr>
            <w:tcW w:w="1324" w:type="dxa"/>
            <w:vMerge w:val="continue"/>
            <w:vAlign w:val="top"/>
          </w:tcPr>
          <w:p w14:paraId="21B7AE97">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c>
          <w:tcPr>
            <w:tcW w:w="976" w:type="dxa"/>
            <w:vMerge w:val="continue"/>
            <w:vAlign w:val="top"/>
          </w:tcPr>
          <w:p w14:paraId="49C3BA1E">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r>
      <w:tr w14:paraId="3754F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3450" w:type="dxa"/>
            <w:vMerge w:val="continue"/>
            <w:vAlign w:val="center"/>
          </w:tcPr>
          <w:p w14:paraId="39814477">
            <w:pPr>
              <w:keepNext w:val="0"/>
              <w:keepLines w:val="0"/>
              <w:widowControl/>
              <w:suppressLineNumbers w:val="0"/>
              <w:jc w:val="left"/>
            </w:pPr>
          </w:p>
        </w:tc>
        <w:tc>
          <w:tcPr>
            <w:tcW w:w="2772" w:type="dxa"/>
          </w:tcPr>
          <w:p w14:paraId="1D2465C0">
            <w:pPr>
              <w:keepNext w:val="0"/>
              <w:keepLines w:val="0"/>
              <w:widowControl/>
              <w:suppressLineNumbers w:val="0"/>
              <w:jc w:val="left"/>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计算机监控系统安全防范措施</w:t>
            </w:r>
          </w:p>
        </w:tc>
        <w:tc>
          <w:tcPr>
            <w:tcW w:w="1324" w:type="dxa"/>
            <w:vMerge w:val="continue"/>
            <w:vAlign w:val="top"/>
          </w:tcPr>
          <w:p w14:paraId="56E52661">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c>
          <w:tcPr>
            <w:tcW w:w="976" w:type="dxa"/>
            <w:vMerge w:val="continue"/>
            <w:vAlign w:val="top"/>
          </w:tcPr>
          <w:p w14:paraId="4C3A6BF9">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r>
      <w:tr w14:paraId="27119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3450" w:type="dxa"/>
            <w:vMerge w:val="continue"/>
            <w:vAlign w:val="center"/>
          </w:tcPr>
          <w:p w14:paraId="2576CE5C">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c>
          <w:tcPr>
            <w:tcW w:w="2772" w:type="dxa"/>
          </w:tcPr>
          <w:p w14:paraId="6127E9CA">
            <w:pPr>
              <w:keepNext w:val="0"/>
              <w:keepLines w:val="0"/>
              <w:widowControl/>
              <w:suppressLineNumbers w:val="0"/>
              <w:jc w:val="left"/>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升压站及并网安全防范措施</w:t>
            </w:r>
          </w:p>
        </w:tc>
        <w:tc>
          <w:tcPr>
            <w:tcW w:w="1324" w:type="dxa"/>
            <w:vMerge w:val="continue"/>
            <w:vAlign w:val="top"/>
          </w:tcPr>
          <w:p w14:paraId="74F2BAC4">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c>
          <w:tcPr>
            <w:tcW w:w="976" w:type="dxa"/>
            <w:vMerge w:val="continue"/>
            <w:vAlign w:val="top"/>
          </w:tcPr>
          <w:p w14:paraId="0809EB72">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r>
      <w:tr w14:paraId="7E15F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3450" w:type="dxa"/>
            <w:vMerge w:val="continue"/>
            <w:vAlign w:val="center"/>
          </w:tcPr>
          <w:p w14:paraId="577FEF20">
            <w:pPr>
              <w:keepNext w:val="0"/>
              <w:keepLines w:val="0"/>
              <w:widowControl/>
              <w:suppressLineNumbers w:val="0"/>
              <w:jc w:val="left"/>
            </w:pPr>
          </w:p>
        </w:tc>
        <w:tc>
          <w:tcPr>
            <w:tcW w:w="2772" w:type="dxa"/>
          </w:tcPr>
          <w:p w14:paraId="44B97846">
            <w:pPr>
              <w:keepNext w:val="0"/>
              <w:keepLines w:val="0"/>
              <w:widowControl/>
              <w:suppressLineNumbers w:val="0"/>
              <w:jc w:val="left"/>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采取的其他安全防范措施</w:t>
            </w:r>
          </w:p>
        </w:tc>
        <w:tc>
          <w:tcPr>
            <w:tcW w:w="1324" w:type="dxa"/>
            <w:vMerge w:val="continue"/>
            <w:vAlign w:val="top"/>
          </w:tcPr>
          <w:p w14:paraId="7A11E10C">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c>
          <w:tcPr>
            <w:tcW w:w="976" w:type="dxa"/>
            <w:vMerge w:val="continue"/>
            <w:vAlign w:val="top"/>
          </w:tcPr>
          <w:p w14:paraId="0A674853">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r>
      <w:tr w14:paraId="6490A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3450" w:type="dxa"/>
            <w:vMerge w:val="restart"/>
            <w:vAlign w:val="center"/>
          </w:tcPr>
          <w:p w14:paraId="5CB8F7CE">
            <w:pPr>
              <w:jc w:val="center"/>
              <w:rPr>
                <w:rFonts w:hint="default"/>
                <w:b w:val="0"/>
                <w:bCs w:val="0"/>
                <w:vertAlign w:val="baseline"/>
                <w:lang w:val="en-US" w:eastAsia="zh-CN"/>
              </w:rPr>
            </w:pPr>
            <w:r>
              <w:rPr>
                <w:rFonts w:hint="eastAsia"/>
                <w:b w:val="0"/>
                <w:bCs w:val="0"/>
                <w:vertAlign w:val="baseline"/>
                <w:lang w:val="en-US" w:eastAsia="zh-CN"/>
              </w:rPr>
              <w:t>公用工程及级辅助设施安全防范措施</w:t>
            </w:r>
          </w:p>
        </w:tc>
        <w:tc>
          <w:tcPr>
            <w:tcW w:w="2772" w:type="dxa"/>
          </w:tcPr>
          <w:p w14:paraId="5E27D6A6">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电气安全防范措施</w:t>
            </w:r>
          </w:p>
        </w:tc>
        <w:tc>
          <w:tcPr>
            <w:tcW w:w="1324" w:type="dxa"/>
            <w:vMerge w:val="restart"/>
            <w:vAlign w:val="center"/>
          </w:tcPr>
          <w:p w14:paraId="70016D63">
            <w:pPr>
              <w:jc w:val="center"/>
              <w:rPr>
                <w:rFonts w:hint="eastAsia"/>
                <w:vertAlign w:val="baseline"/>
                <w:lang w:val="en-US" w:eastAsia="zh-CN"/>
              </w:rPr>
            </w:pPr>
            <w:r>
              <w:rPr>
                <w:rFonts w:hint="eastAsia"/>
                <w:vertAlign w:val="baseline"/>
                <w:lang w:val="en-US" w:eastAsia="zh-CN"/>
              </w:rPr>
              <w:t>已采取措施</w:t>
            </w:r>
          </w:p>
        </w:tc>
        <w:tc>
          <w:tcPr>
            <w:tcW w:w="976" w:type="dxa"/>
            <w:vMerge w:val="restart"/>
            <w:vAlign w:val="center"/>
          </w:tcPr>
          <w:p w14:paraId="776832A0">
            <w:pPr>
              <w:jc w:val="center"/>
              <w:rPr>
                <w:rFonts w:hint="eastAsia"/>
                <w:vertAlign w:val="baseline"/>
                <w:lang w:val="en-US" w:eastAsia="zh-CN"/>
              </w:rPr>
            </w:pPr>
            <w:r>
              <w:rPr>
                <w:rFonts w:hint="eastAsia"/>
                <w:vertAlign w:val="baseline"/>
                <w:lang w:val="en-US" w:eastAsia="zh-CN"/>
              </w:rPr>
              <w:t>符合</w:t>
            </w:r>
          </w:p>
        </w:tc>
      </w:tr>
      <w:tr w14:paraId="33743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3450" w:type="dxa"/>
            <w:vMerge w:val="continue"/>
            <w:vAlign w:val="center"/>
          </w:tcPr>
          <w:p w14:paraId="529DC0F9">
            <w:pPr>
              <w:keepNext w:val="0"/>
              <w:keepLines w:val="0"/>
              <w:widowControl/>
              <w:suppressLineNumbers w:val="0"/>
              <w:jc w:val="center"/>
            </w:pPr>
          </w:p>
        </w:tc>
        <w:tc>
          <w:tcPr>
            <w:tcW w:w="2772" w:type="dxa"/>
          </w:tcPr>
          <w:p w14:paraId="20AEE43F">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消防安全防范措施</w:t>
            </w:r>
          </w:p>
        </w:tc>
        <w:tc>
          <w:tcPr>
            <w:tcW w:w="1324" w:type="dxa"/>
            <w:vMerge w:val="continue"/>
            <w:vAlign w:val="top"/>
          </w:tcPr>
          <w:p w14:paraId="0D1981B9">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c>
          <w:tcPr>
            <w:tcW w:w="976" w:type="dxa"/>
            <w:vMerge w:val="continue"/>
            <w:vAlign w:val="top"/>
          </w:tcPr>
          <w:p w14:paraId="0AE95244">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0125D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3450" w:type="dxa"/>
            <w:vMerge w:val="continue"/>
            <w:vAlign w:val="center"/>
          </w:tcPr>
          <w:p w14:paraId="7455556F">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p>
        </w:tc>
        <w:tc>
          <w:tcPr>
            <w:tcW w:w="2772" w:type="dxa"/>
          </w:tcPr>
          <w:p w14:paraId="2F24138C">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防雷接地安全防范措施</w:t>
            </w:r>
          </w:p>
        </w:tc>
        <w:tc>
          <w:tcPr>
            <w:tcW w:w="1324" w:type="dxa"/>
            <w:vMerge w:val="continue"/>
            <w:vAlign w:val="top"/>
          </w:tcPr>
          <w:p w14:paraId="076D3DC1">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c>
          <w:tcPr>
            <w:tcW w:w="976" w:type="dxa"/>
            <w:vMerge w:val="continue"/>
            <w:vAlign w:val="top"/>
          </w:tcPr>
          <w:p w14:paraId="0F88BAF6">
            <w:pPr>
              <w:keepNext w:val="0"/>
              <w:keepLines w:val="0"/>
              <w:widowControl/>
              <w:suppressLineNumbers w:val="0"/>
              <w:jc w:val="left"/>
              <w:rPr>
                <w:rFonts w:hint="default" w:ascii="Times New Roman" w:hAnsi="Times New Roman" w:eastAsia="宋体" w:cs="Times New Roman"/>
                <w:color w:val="000000"/>
                <w:kern w:val="0"/>
                <w:sz w:val="21"/>
                <w:szCs w:val="21"/>
                <w:lang w:val="en-US" w:eastAsia="zh-CN" w:bidi="ar"/>
              </w:rPr>
            </w:pPr>
          </w:p>
        </w:tc>
      </w:tr>
      <w:tr w14:paraId="59729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trPr>
        <w:tc>
          <w:tcPr>
            <w:tcW w:w="3450" w:type="dxa"/>
            <w:vMerge w:val="restart"/>
            <w:vAlign w:val="center"/>
          </w:tcPr>
          <w:p w14:paraId="05639D71">
            <w:pPr>
              <w:jc w:val="center"/>
              <w:rPr>
                <w:rFonts w:hint="default"/>
                <w:b w:val="0"/>
                <w:bCs w:val="0"/>
                <w:lang w:val="en-US" w:eastAsia="zh-CN"/>
              </w:rPr>
            </w:pPr>
            <w:r>
              <w:rPr>
                <w:rFonts w:hint="eastAsia"/>
                <w:b w:val="0"/>
                <w:bCs w:val="0"/>
                <w:vertAlign w:val="baseline"/>
                <w:lang w:val="en-US" w:eastAsia="zh-CN"/>
              </w:rPr>
              <w:t>施工过程安全防范措施</w:t>
            </w:r>
          </w:p>
        </w:tc>
        <w:tc>
          <w:tcPr>
            <w:tcW w:w="2772" w:type="dxa"/>
          </w:tcPr>
          <w:p w14:paraId="56A26BFD">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特种设备使用对策措施</w:t>
            </w:r>
          </w:p>
        </w:tc>
        <w:tc>
          <w:tcPr>
            <w:tcW w:w="1324" w:type="dxa"/>
            <w:vMerge w:val="restart"/>
            <w:vAlign w:val="center"/>
          </w:tcPr>
          <w:p w14:paraId="7372238E">
            <w:pPr>
              <w:jc w:val="center"/>
              <w:rPr>
                <w:rFonts w:hint="eastAsia"/>
                <w:vertAlign w:val="baseline"/>
                <w:lang w:val="en-US" w:eastAsia="zh-CN"/>
              </w:rPr>
            </w:pPr>
            <w:r>
              <w:rPr>
                <w:rFonts w:hint="eastAsia"/>
                <w:vertAlign w:val="baseline"/>
                <w:lang w:val="en-US" w:eastAsia="zh-CN"/>
              </w:rPr>
              <w:t>已采取措施</w:t>
            </w:r>
          </w:p>
        </w:tc>
        <w:tc>
          <w:tcPr>
            <w:tcW w:w="976" w:type="dxa"/>
            <w:vMerge w:val="restart"/>
            <w:vAlign w:val="center"/>
          </w:tcPr>
          <w:p w14:paraId="1799EF4B">
            <w:pPr>
              <w:jc w:val="center"/>
              <w:rPr>
                <w:rFonts w:hint="eastAsia"/>
                <w:vertAlign w:val="baseline"/>
                <w:lang w:val="en-US" w:eastAsia="zh-CN"/>
              </w:rPr>
            </w:pPr>
            <w:r>
              <w:rPr>
                <w:rFonts w:hint="eastAsia"/>
                <w:vertAlign w:val="baseline"/>
                <w:lang w:val="en-US" w:eastAsia="zh-CN"/>
              </w:rPr>
              <w:t>符合</w:t>
            </w:r>
          </w:p>
        </w:tc>
      </w:tr>
      <w:tr w14:paraId="68B88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trPr>
        <w:tc>
          <w:tcPr>
            <w:tcW w:w="3450" w:type="dxa"/>
            <w:vMerge w:val="continue"/>
            <w:vAlign w:val="center"/>
          </w:tcPr>
          <w:p w14:paraId="4E5A97E1">
            <w:pPr>
              <w:keepNext w:val="0"/>
              <w:keepLines w:val="0"/>
              <w:widowControl/>
              <w:suppressLineNumbers w:val="0"/>
              <w:jc w:val="center"/>
            </w:pPr>
          </w:p>
        </w:tc>
        <w:tc>
          <w:tcPr>
            <w:tcW w:w="2772" w:type="dxa"/>
          </w:tcPr>
          <w:p w14:paraId="41BA8A0F">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设备运输对策措施</w:t>
            </w:r>
          </w:p>
        </w:tc>
        <w:tc>
          <w:tcPr>
            <w:tcW w:w="1324" w:type="dxa"/>
            <w:vMerge w:val="continue"/>
            <w:vAlign w:val="top"/>
          </w:tcPr>
          <w:p w14:paraId="71BC3151">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c>
          <w:tcPr>
            <w:tcW w:w="976" w:type="dxa"/>
            <w:vMerge w:val="continue"/>
            <w:vAlign w:val="top"/>
          </w:tcPr>
          <w:p w14:paraId="37073A1C">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r>
      <w:tr w14:paraId="40166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trPr>
        <w:tc>
          <w:tcPr>
            <w:tcW w:w="3450" w:type="dxa"/>
            <w:vMerge w:val="continue"/>
            <w:vAlign w:val="center"/>
          </w:tcPr>
          <w:p w14:paraId="28D68B83">
            <w:pPr>
              <w:keepNext w:val="0"/>
              <w:keepLines w:val="0"/>
              <w:widowControl/>
              <w:suppressLineNumbers w:val="0"/>
              <w:jc w:val="center"/>
              <w:rPr>
                <w:rFonts w:hint="eastAsia" w:ascii="宋体" w:hAnsi="宋体" w:eastAsia="宋体" w:cs="宋体"/>
                <w:color w:val="000000"/>
                <w:kern w:val="0"/>
                <w:sz w:val="21"/>
                <w:szCs w:val="21"/>
                <w:lang w:val="en-US" w:eastAsia="zh-CN" w:bidi="ar"/>
              </w:rPr>
            </w:pPr>
          </w:p>
        </w:tc>
        <w:tc>
          <w:tcPr>
            <w:tcW w:w="2772" w:type="dxa"/>
          </w:tcPr>
          <w:p w14:paraId="3D4F338F">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建构筑物施工对策措施</w:t>
            </w:r>
          </w:p>
        </w:tc>
        <w:tc>
          <w:tcPr>
            <w:tcW w:w="1324" w:type="dxa"/>
            <w:vMerge w:val="continue"/>
            <w:vAlign w:val="top"/>
          </w:tcPr>
          <w:p w14:paraId="3EE32224">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c>
          <w:tcPr>
            <w:tcW w:w="976" w:type="dxa"/>
            <w:vMerge w:val="continue"/>
            <w:vAlign w:val="top"/>
          </w:tcPr>
          <w:p w14:paraId="11E43597">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r>
      <w:tr w14:paraId="4366D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trPr>
        <w:tc>
          <w:tcPr>
            <w:tcW w:w="3450" w:type="dxa"/>
            <w:vMerge w:val="continue"/>
            <w:vAlign w:val="center"/>
          </w:tcPr>
          <w:p w14:paraId="7D0F9747">
            <w:pPr>
              <w:keepNext w:val="0"/>
              <w:keepLines w:val="0"/>
              <w:widowControl/>
              <w:suppressLineNumbers w:val="0"/>
              <w:jc w:val="center"/>
              <w:rPr>
                <w:rFonts w:hint="eastAsia" w:ascii="宋体" w:hAnsi="宋体" w:eastAsia="宋体" w:cs="宋体"/>
                <w:color w:val="000000"/>
                <w:kern w:val="0"/>
                <w:sz w:val="21"/>
                <w:szCs w:val="21"/>
                <w:lang w:val="en-US" w:eastAsia="zh-CN" w:bidi="ar"/>
              </w:rPr>
            </w:pPr>
          </w:p>
        </w:tc>
        <w:tc>
          <w:tcPr>
            <w:tcW w:w="2772" w:type="dxa"/>
          </w:tcPr>
          <w:p w14:paraId="0AAB50AE">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施工期间安全管理对策措施</w:t>
            </w:r>
          </w:p>
        </w:tc>
        <w:tc>
          <w:tcPr>
            <w:tcW w:w="1324" w:type="dxa"/>
            <w:vMerge w:val="continue"/>
            <w:vAlign w:val="top"/>
          </w:tcPr>
          <w:p w14:paraId="67D8F315">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c>
          <w:tcPr>
            <w:tcW w:w="976" w:type="dxa"/>
            <w:vMerge w:val="continue"/>
            <w:vAlign w:val="top"/>
          </w:tcPr>
          <w:p w14:paraId="7733EB8D">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r>
      <w:tr w14:paraId="74D3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trPr>
        <w:tc>
          <w:tcPr>
            <w:tcW w:w="3450" w:type="dxa"/>
            <w:vMerge w:val="continue"/>
            <w:vAlign w:val="center"/>
          </w:tcPr>
          <w:p w14:paraId="1D0E2EDB">
            <w:pPr>
              <w:keepNext w:val="0"/>
              <w:keepLines w:val="0"/>
              <w:widowControl/>
              <w:suppressLineNumbers w:val="0"/>
              <w:jc w:val="center"/>
              <w:rPr>
                <w:rFonts w:hint="eastAsia" w:ascii="宋体" w:hAnsi="宋体" w:eastAsia="宋体" w:cs="宋体"/>
                <w:color w:val="000000"/>
                <w:kern w:val="0"/>
                <w:sz w:val="21"/>
                <w:szCs w:val="21"/>
                <w:lang w:val="en-US" w:eastAsia="zh-CN" w:bidi="ar"/>
              </w:rPr>
            </w:pPr>
          </w:p>
        </w:tc>
        <w:tc>
          <w:tcPr>
            <w:tcW w:w="2772" w:type="dxa"/>
          </w:tcPr>
          <w:p w14:paraId="20E9B421">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施工期间其他对策措施</w:t>
            </w:r>
          </w:p>
        </w:tc>
        <w:tc>
          <w:tcPr>
            <w:tcW w:w="1324" w:type="dxa"/>
            <w:vMerge w:val="continue"/>
            <w:vAlign w:val="top"/>
          </w:tcPr>
          <w:p w14:paraId="6BDE0571">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c>
          <w:tcPr>
            <w:tcW w:w="976" w:type="dxa"/>
            <w:vMerge w:val="continue"/>
            <w:vAlign w:val="top"/>
          </w:tcPr>
          <w:p w14:paraId="682078CF">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r>
      <w:tr w14:paraId="3F4C5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450" w:type="dxa"/>
            <w:vAlign w:val="center"/>
          </w:tcPr>
          <w:p w14:paraId="4165A939">
            <w:pPr>
              <w:jc w:val="center"/>
              <w:rPr>
                <w:rFonts w:hint="default"/>
                <w:b w:val="0"/>
                <w:bCs w:val="0"/>
                <w:vertAlign w:val="baseline"/>
                <w:lang w:val="en-US" w:eastAsia="zh-CN"/>
              </w:rPr>
            </w:pPr>
            <w:r>
              <w:rPr>
                <w:rFonts w:hint="eastAsia"/>
                <w:b w:val="0"/>
                <w:bCs w:val="0"/>
                <w:vertAlign w:val="baseline"/>
                <w:lang w:val="en-US" w:eastAsia="zh-CN"/>
              </w:rPr>
              <w:t>运营期间安全防范措施</w:t>
            </w:r>
          </w:p>
        </w:tc>
        <w:tc>
          <w:tcPr>
            <w:tcW w:w="2772" w:type="dxa"/>
          </w:tcPr>
          <w:p w14:paraId="4942AE9B">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c>
          <w:tcPr>
            <w:tcW w:w="1324" w:type="dxa"/>
            <w:vAlign w:val="center"/>
          </w:tcPr>
          <w:p w14:paraId="47A44612">
            <w:pPr>
              <w:jc w:val="center"/>
              <w:rPr>
                <w:rFonts w:hint="eastAsia"/>
                <w:vertAlign w:val="baseline"/>
                <w:lang w:val="en-US" w:eastAsia="zh-CN"/>
              </w:rPr>
            </w:pPr>
            <w:r>
              <w:rPr>
                <w:rFonts w:hint="eastAsia"/>
                <w:vertAlign w:val="baseline"/>
                <w:lang w:val="en-US" w:eastAsia="zh-CN"/>
              </w:rPr>
              <w:t>已采取措施</w:t>
            </w:r>
          </w:p>
        </w:tc>
        <w:tc>
          <w:tcPr>
            <w:tcW w:w="976" w:type="dxa"/>
            <w:vAlign w:val="center"/>
          </w:tcPr>
          <w:p w14:paraId="35210418">
            <w:pPr>
              <w:jc w:val="center"/>
              <w:rPr>
                <w:rFonts w:hint="eastAsia"/>
                <w:vertAlign w:val="baseline"/>
                <w:lang w:val="en-US" w:eastAsia="zh-CN"/>
              </w:rPr>
            </w:pPr>
            <w:r>
              <w:rPr>
                <w:rFonts w:hint="eastAsia"/>
                <w:vertAlign w:val="baseline"/>
                <w:lang w:val="en-US" w:eastAsia="zh-CN"/>
              </w:rPr>
              <w:t>符合</w:t>
            </w:r>
          </w:p>
        </w:tc>
      </w:tr>
      <w:tr w14:paraId="2E25C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 w:hRule="atLeast"/>
        </w:trPr>
        <w:tc>
          <w:tcPr>
            <w:tcW w:w="3450" w:type="dxa"/>
            <w:vMerge w:val="restart"/>
            <w:vAlign w:val="center"/>
          </w:tcPr>
          <w:p w14:paraId="36C46916">
            <w:pPr>
              <w:jc w:val="center"/>
              <w:rPr>
                <w:rFonts w:hint="default"/>
                <w:b w:val="0"/>
                <w:bCs w:val="0"/>
                <w:vertAlign w:val="baseline"/>
                <w:lang w:val="en-US" w:eastAsia="zh-CN"/>
              </w:rPr>
            </w:pPr>
            <w:r>
              <w:rPr>
                <w:rFonts w:hint="eastAsia"/>
                <w:b w:val="0"/>
                <w:bCs w:val="0"/>
                <w:vertAlign w:val="baseline"/>
                <w:lang w:val="en-US" w:eastAsia="zh-CN"/>
              </w:rPr>
              <w:t>职业危害因素控制措施</w:t>
            </w:r>
          </w:p>
        </w:tc>
        <w:tc>
          <w:tcPr>
            <w:tcW w:w="2772" w:type="dxa"/>
          </w:tcPr>
          <w:p w14:paraId="5C656099">
            <w:pPr>
              <w:keepNext w:val="0"/>
              <w:keepLines w:val="0"/>
              <w:widowControl/>
              <w:suppressLineNumbers w:val="0"/>
              <w:jc w:val="left"/>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对产生粉尘、有害气体的生产设施采取的集尘、除尘、通风降尘、有害气体处理等措施</w:t>
            </w:r>
          </w:p>
        </w:tc>
        <w:tc>
          <w:tcPr>
            <w:tcW w:w="1324" w:type="dxa"/>
            <w:vMerge w:val="restart"/>
            <w:vAlign w:val="center"/>
          </w:tcPr>
          <w:p w14:paraId="42A278B8">
            <w:pPr>
              <w:jc w:val="center"/>
              <w:rPr>
                <w:rFonts w:hint="eastAsia"/>
                <w:vertAlign w:val="baseline"/>
                <w:lang w:val="en-US" w:eastAsia="zh-CN"/>
              </w:rPr>
            </w:pPr>
            <w:r>
              <w:rPr>
                <w:rFonts w:hint="eastAsia"/>
                <w:vertAlign w:val="baseline"/>
                <w:lang w:val="en-US" w:eastAsia="zh-CN"/>
              </w:rPr>
              <w:t>已采取措施</w:t>
            </w:r>
          </w:p>
        </w:tc>
        <w:tc>
          <w:tcPr>
            <w:tcW w:w="976" w:type="dxa"/>
            <w:vMerge w:val="restart"/>
            <w:vAlign w:val="center"/>
          </w:tcPr>
          <w:p w14:paraId="65738DA6">
            <w:pPr>
              <w:jc w:val="center"/>
              <w:rPr>
                <w:rFonts w:hint="eastAsia"/>
                <w:vertAlign w:val="baseline"/>
                <w:lang w:val="en-US" w:eastAsia="zh-CN"/>
              </w:rPr>
            </w:pPr>
            <w:r>
              <w:rPr>
                <w:rFonts w:hint="eastAsia"/>
                <w:vertAlign w:val="baseline"/>
                <w:lang w:val="en-US" w:eastAsia="zh-CN"/>
              </w:rPr>
              <w:t>符合</w:t>
            </w:r>
          </w:p>
        </w:tc>
      </w:tr>
      <w:tr w14:paraId="167AE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 w:hRule="atLeast"/>
        </w:trPr>
        <w:tc>
          <w:tcPr>
            <w:tcW w:w="3450" w:type="dxa"/>
            <w:vMerge w:val="continue"/>
            <w:vAlign w:val="center"/>
          </w:tcPr>
          <w:p w14:paraId="29823086">
            <w:pPr>
              <w:keepNext w:val="0"/>
              <w:keepLines w:val="0"/>
              <w:widowControl/>
              <w:suppressLineNumbers w:val="0"/>
              <w:jc w:val="center"/>
            </w:pPr>
          </w:p>
        </w:tc>
        <w:tc>
          <w:tcPr>
            <w:tcW w:w="2772" w:type="dxa"/>
          </w:tcPr>
          <w:p w14:paraId="4C884B94">
            <w:pPr>
              <w:keepNext w:val="0"/>
              <w:keepLines w:val="0"/>
              <w:widowControl/>
              <w:suppressLineNumbers w:val="0"/>
              <w:jc w:val="left"/>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高噪声设备的消声噪声措施</w:t>
            </w:r>
          </w:p>
        </w:tc>
        <w:tc>
          <w:tcPr>
            <w:tcW w:w="1324" w:type="dxa"/>
            <w:vMerge w:val="continue"/>
            <w:vAlign w:val="top"/>
          </w:tcPr>
          <w:p w14:paraId="2DC5A39E">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c>
          <w:tcPr>
            <w:tcW w:w="976" w:type="dxa"/>
            <w:vMerge w:val="continue"/>
            <w:vAlign w:val="top"/>
          </w:tcPr>
          <w:p w14:paraId="567D23B2">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r>
      <w:tr w14:paraId="68428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 w:hRule="atLeast"/>
        </w:trPr>
        <w:tc>
          <w:tcPr>
            <w:tcW w:w="3450" w:type="dxa"/>
            <w:vMerge w:val="continue"/>
            <w:vAlign w:val="center"/>
          </w:tcPr>
          <w:p w14:paraId="6CE08965">
            <w:pPr>
              <w:keepNext w:val="0"/>
              <w:keepLines w:val="0"/>
              <w:widowControl/>
              <w:suppressLineNumbers w:val="0"/>
              <w:jc w:val="center"/>
              <w:rPr>
                <w:rFonts w:hint="eastAsia" w:ascii="宋体" w:hAnsi="宋体" w:eastAsia="宋体" w:cs="宋体"/>
                <w:color w:val="000000"/>
                <w:kern w:val="0"/>
                <w:sz w:val="21"/>
                <w:szCs w:val="21"/>
                <w:lang w:val="en-US" w:eastAsia="zh-CN" w:bidi="ar"/>
              </w:rPr>
            </w:pPr>
          </w:p>
        </w:tc>
        <w:tc>
          <w:tcPr>
            <w:tcW w:w="2772" w:type="dxa"/>
          </w:tcPr>
          <w:p w14:paraId="294D2C88">
            <w:pPr>
              <w:keepNext w:val="0"/>
              <w:keepLines w:val="0"/>
              <w:widowControl/>
              <w:suppressLineNumbers w:val="0"/>
              <w:jc w:val="left"/>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降低振动措施</w:t>
            </w:r>
          </w:p>
        </w:tc>
        <w:tc>
          <w:tcPr>
            <w:tcW w:w="1324" w:type="dxa"/>
            <w:vMerge w:val="continue"/>
            <w:vAlign w:val="top"/>
          </w:tcPr>
          <w:p w14:paraId="5783C09F">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c>
          <w:tcPr>
            <w:tcW w:w="976" w:type="dxa"/>
            <w:vMerge w:val="continue"/>
            <w:vAlign w:val="top"/>
          </w:tcPr>
          <w:p w14:paraId="5A8D89A4">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r>
      <w:tr w14:paraId="786AC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3450" w:type="dxa"/>
            <w:vMerge w:val="continue"/>
            <w:vAlign w:val="center"/>
          </w:tcPr>
          <w:p w14:paraId="6AB1BB9C">
            <w:pPr>
              <w:keepNext w:val="0"/>
              <w:keepLines w:val="0"/>
              <w:widowControl/>
              <w:suppressLineNumbers w:val="0"/>
              <w:jc w:val="center"/>
              <w:rPr>
                <w:rFonts w:hint="eastAsia" w:ascii="宋体" w:hAnsi="宋体" w:eastAsia="宋体" w:cs="宋体"/>
                <w:color w:val="000000"/>
                <w:kern w:val="0"/>
                <w:sz w:val="21"/>
                <w:szCs w:val="21"/>
                <w:lang w:val="en-US" w:eastAsia="zh-CN" w:bidi="ar"/>
              </w:rPr>
            </w:pPr>
          </w:p>
        </w:tc>
        <w:tc>
          <w:tcPr>
            <w:tcW w:w="2772" w:type="dxa"/>
          </w:tcPr>
          <w:p w14:paraId="2452987B">
            <w:pPr>
              <w:keepNext w:val="0"/>
              <w:keepLines w:val="0"/>
              <w:widowControl/>
              <w:suppressLineNumbers w:val="0"/>
              <w:jc w:val="left"/>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配备劳动用品、应急防护用品等安全措施</w:t>
            </w:r>
          </w:p>
        </w:tc>
        <w:tc>
          <w:tcPr>
            <w:tcW w:w="1324" w:type="dxa"/>
            <w:vMerge w:val="continue"/>
            <w:vAlign w:val="top"/>
          </w:tcPr>
          <w:p w14:paraId="759BC7A9">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c>
          <w:tcPr>
            <w:tcW w:w="976" w:type="dxa"/>
            <w:vMerge w:val="continue"/>
            <w:vAlign w:val="top"/>
          </w:tcPr>
          <w:p w14:paraId="2FA165F4">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r>
      <w:tr w14:paraId="7FEB2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3450" w:type="dxa"/>
            <w:vMerge w:val="continue"/>
            <w:vAlign w:val="center"/>
          </w:tcPr>
          <w:p w14:paraId="6C20F32A">
            <w:pPr>
              <w:keepNext w:val="0"/>
              <w:keepLines w:val="0"/>
              <w:widowControl/>
              <w:suppressLineNumbers w:val="0"/>
              <w:jc w:val="left"/>
            </w:pPr>
          </w:p>
        </w:tc>
        <w:tc>
          <w:tcPr>
            <w:tcW w:w="2772" w:type="dxa"/>
          </w:tcPr>
          <w:p w14:paraId="17E57218">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采光、照明的设置及要求</w:t>
            </w:r>
          </w:p>
        </w:tc>
        <w:tc>
          <w:tcPr>
            <w:tcW w:w="1324" w:type="dxa"/>
            <w:vMerge w:val="continue"/>
            <w:vAlign w:val="top"/>
          </w:tcPr>
          <w:p w14:paraId="0BD5F5C9">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c>
          <w:tcPr>
            <w:tcW w:w="976" w:type="dxa"/>
            <w:vMerge w:val="continue"/>
            <w:vAlign w:val="top"/>
          </w:tcPr>
          <w:p w14:paraId="04B47AB0">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r>
      <w:tr w14:paraId="12E76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3450" w:type="dxa"/>
            <w:vMerge w:val="restart"/>
            <w:vAlign w:val="center"/>
          </w:tcPr>
          <w:p w14:paraId="75AC4460">
            <w:pPr>
              <w:jc w:val="center"/>
              <w:rPr>
                <w:rFonts w:hint="default"/>
                <w:b w:val="0"/>
                <w:bCs w:val="0"/>
                <w:vertAlign w:val="baseline"/>
                <w:lang w:val="en-US" w:eastAsia="zh-CN"/>
              </w:rPr>
            </w:pPr>
            <w:r>
              <w:rPr>
                <w:rFonts w:hint="eastAsia"/>
                <w:b w:val="0"/>
                <w:bCs w:val="0"/>
                <w:vertAlign w:val="baseline"/>
                <w:lang w:val="en-US" w:eastAsia="zh-CN"/>
              </w:rPr>
              <w:t>其他安全防范措施</w:t>
            </w:r>
          </w:p>
        </w:tc>
        <w:tc>
          <w:tcPr>
            <w:tcW w:w="2772" w:type="dxa"/>
          </w:tcPr>
          <w:p w14:paraId="22E49300">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防护栏杆、检修平台、安全罩、围栏等防高空坠落、跌落的措施</w:t>
            </w:r>
          </w:p>
        </w:tc>
        <w:tc>
          <w:tcPr>
            <w:tcW w:w="1324" w:type="dxa"/>
            <w:vMerge w:val="restart"/>
            <w:vAlign w:val="center"/>
          </w:tcPr>
          <w:p w14:paraId="0C6A7682">
            <w:pPr>
              <w:jc w:val="center"/>
              <w:rPr>
                <w:rFonts w:hint="eastAsia"/>
                <w:vertAlign w:val="baseline"/>
                <w:lang w:val="en-US" w:eastAsia="zh-CN"/>
              </w:rPr>
            </w:pPr>
            <w:r>
              <w:rPr>
                <w:rFonts w:hint="eastAsia"/>
                <w:vertAlign w:val="baseline"/>
                <w:lang w:val="en-US" w:eastAsia="zh-CN"/>
              </w:rPr>
              <w:t>已采取措施</w:t>
            </w:r>
          </w:p>
        </w:tc>
        <w:tc>
          <w:tcPr>
            <w:tcW w:w="976" w:type="dxa"/>
            <w:vMerge w:val="restart"/>
            <w:vAlign w:val="center"/>
          </w:tcPr>
          <w:p w14:paraId="0D07A51D">
            <w:pPr>
              <w:jc w:val="center"/>
              <w:rPr>
                <w:rFonts w:hint="eastAsia"/>
                <w:vertAlign w:val="baseline"/>
                <w:lang w:val="en-US" w:eastAsia="zh-CN"/>
              </w:rPr>
            </w:pPr>
            <w:r>
              <w:rPr>
                <w:rFonts w:hint="eastAsia"/>
                <w:vertAlign w:val="baseline"/>
                <w:lang w:val="en-US" w:eastAsia="zh-CN"/>
              </w:rPr>
              <w:t>符合</w:t>
            </w:r>
          </w:p>
        </w:tc>
      </w:tr>
      <w:tr w14:paraId="70D42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3450" w:type="dxa"/>
            <w:vMerge w:val="continue"/>
            <w:vAlign w:val="center"/>
          </w:tcPr>
          <w:p w14:paraId="0B1F91D2">
            <w:pPr>
              <w:keepNext w:val="0"/>
              <w:keepLines w:val="0"/>
              <w:widowControl/>
              <w:suppressLineNumbers w:val="0"/>
              <w:jc w:val="left"/>
            </w:pPr>
          </w:p>
        </w:tc>
        <w:tc>
          <w:tcPr>
            <w:tcW w:w="2772" w:type="dxa"/>
          </w:tcPr>
          <w:p w14:paraId="784B07B9">
            <w:pPr>
              <w:keepNext w:val="0"/>
              <w:keepLines w:val="0"/>
              <w:widowControl/>
              <w:suppressLineNumbers w:val="0"/>
              <w:jc w:val="left"/>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各种安全通道、钢梯、楼梯的设置</w:t>
            </w:r>
          </w:p>
        </w:tc>
        <w:tc>
          <w:tcPr>
            <w:tcW w:w="1324" w:type="dxa"/>
            <w:vMerge w:val="continue"/>
            <w:vAlign w:val="center"/>
          </w:tcPr>
          <w:p w14:paraId="5B59368E">
            <w:pPr>
              <w:keepNext w:val="0"/>
              <w:keepLines w:val="0"/>
              <w:widowControl/>
              <w:suppressLineNumbers w:val="0"/>
              <w:jc w:val="left"/>
              <w:rPr>
                <w:rFonts w:hint="eastAsia" w:ascii="宋体" w:hAnsi="宋体" w:eastAsia="宋体" w:cs="宋体"/>
                <w:b w:val="0"/>
                <w:bCs w:val="0"/>
                <w:color w:val="000000"/>
                <w:kern w:val="0"/>
                <w:sz w:val="21"/>
                <w:szCs w:val="21"/>
                <w:lang w:val="en-US" w:eastAsia="zh-CN" w:bidi="ar"/>
              </w:rPr>
            </w:pPr>
          </w:p>
        </w:tc>
        <w:tc>
          <w:tcPr>
            <w:tcW w:w="976" w:type="dxa"/>
            <w:vMerge w:val="continue"/>
            <w:vAlign w:val="center"/>
          </w:tcPr>
          <w:p w14:paraId="12DCEF2A">
            <w:pPr>
              <w:keepNext w:val="0"/>
              <w:keepLines w:val="0"/>
              <w:widowControl/>
              <w:suppressLineNumbers w:val="0"/>
              <w:jc w:val="left"/>
              <w:rPr>
                <w:rFonts w:hint="eastAsia" w:ascii="宋体" w:hAnsi="宋体" w:eastAsia="宋体" w:cs="宋体"/>
                <w:b w:val="0"/>
                <w:bCs w:val="0"/>
                <w:color w:val="000000"/>
                <w:kern w:val="0"/>
                <w:sz w:val="21"/>
                <w:szCs w:val="21"/>
                <w:lang w:val="en-US" w:eastAsia="zh-CN" w:bidi="ar"/>
              </w:rPr>
            </w:pPr>
          </w:p>
        </w:tc>
      </w:tr>
      <w:tr w14:paraId="53E92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3450" w:type="dxa"/>
            <w:vMerge w:val="continue"/>
          </w:tcPr>
          <w:p w14:paraId="4BE6A75A">
            <w:pPr>
              <w:keepNext w:val="0"/>
              <w:keepLines w:val="0"/>
              <w:widowControl/>
              <w:suppressLineNumbers w:val="0"/>
              <w:jc w:val="left"/>
            </w:pPr>
          </w:p>
        </w:tc>
        <w:tc>
          <w:tcPr>
            <w:tcW w:w="2772" w:type="dxa"/>
          </w:tcPr>
          <w:p w14:paraId="2349C258">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b w:val="0"/>
                <w:bCs w:val="0"/>
                <w:color w:val="000000"/>
                <w:kern w:val="0"/>
                <w:sz w:val="21"/>
                <w:szCs w:val="21"/>
                <w:lang w:val="en-US" w:eastAsia="zh-CN" w:bidi="ar"/>
              </w:rPr>
              <w:t>安全警示标志、安全色等措施</w:t>
            </w:r>
          </w:p>
        </w:tc>
        <w:tc>
          <w:tcPr>
            <w:tcW w:w="1324" w:type="dxa"/>
            <w:vMerge w:val="continue"/>
            <w:vAlign w:val="top"/>
          </w:tcPr>
          <w:p w14:paraId="436BC57F">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c>
          <w:tcPr>
            <w:tcW w:w="976" w:type="dxa"/>
            <w:vMerge w:val="continue"/>
            <w:vAlign w:val="top"/>
          </w:tcPr>
          <w:p w14:paraId="1F2431A6">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r>
      <w:tr w14:paraId="0A7C9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3450" w:type="dxa"/>
            <w:vMerge w:val="continue"/>
          </w:tcPr>
          <w:p w14:paraId="3311E1ED">
            <w:pPr>
              <w:keepNext w:val="0"/>
              <w:keepLines w:val="0"/>
              <w:widowControl/>
              <w:suppressLineNumbers w:val="0"/>
              <w:jc w:val="left"/>
            </w:pPr>
          </w:p>
        </w:tc>
        <w:tc>
          <w:tcPr>
            <w:tcW w:w="2772" w:type="dxa"/>
          </w:tcPr>
          <w:p w14:paraId="53763F37">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自然灾害安全防范措施</w:t>
            </w:r>
          </w:p>
        </w:tc>
        <w:tc>
          <w:tcPr>
            <w:tcW w:w="1324" w:type="dxa"/>
            <w:vMerge w:val="continue"/>
            <w:vAlign w:val="top"/>
          </w:tcPr>
          <w:p w14:paraId="34F393A6">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c>
          <w:tcPr>
            <w:tcW w:w="976" w:type="dxa"/>
            <w:vMerge w:val="continue"/>
            <w:vAlign w:val="top"/>
          </w:tcPr>
          <w:p w14:paraId="50814014">
            <w:pPr>
              <w:keepNext w:val="0"/>
              <w:keepLines w:val="0"/>
              <w:widowControl/>
              <w:suppressLineNumbers w:val="0"/>
              <w:jc w:val="left"/>
              <w:rPr>
                <w:rFonts w:hint="eastAsia" w:ascii="宋体" w:hAnsi="宋体" w:eastAsia="宋体" w:cs="宋体"/>
                <w:color w:val="000000"/>
                <w:kern w:val="0"/>
                <w:sz w:val="21"/>
                <w:szCs w:val="21"/>
                <w:lang w:val="en-US" w:eastAsia="zh-CN" w:bidi="ar"/>
              </w:rPr>
            </w:pPr>
          </w:p>
        </w:tc>
      </w:tr>
    </w:tbl>
    <w:p w14:paraId="61098E03">
      <w:pPr>
        <w:keepNext w:val="0"/>
        <w:keepLines w:val="0"/>
        <w:pageBreakBefore w:val="0"/>
        <w:widowControl w:val="0"/>
        <w:numPr>
          <w:ilvl w:val="0"/>
          <w:numId w:val="0"/>
        </w:numPr>
        <w:kinsoku/>
        <w:wordWrap/>
        <w:overflowPunct/>
        <w:topLinePunct w:val="0"/>
        <w:autoSpaceDE/>
        <w:autoSpaceDN/>
        <w:bidi w:val="0"/>
        <w:spacing w:line="480" w:lineRule="exact"/>
        <w:ind w:left="0" w:leftChars="0" w:firstLine="0" w:firstLineChars="0"/>
        <w:jc w:val="center"/>
        <w:textAlignment w:val="auto"/>
        <w:rPr>
          <w:rFonts w:hint="eastAsia" w:ascii="宋体" w:hAnsi="宋体" w:eastAsia="宋体" w:cs="宋体"/>
          <w:b/>
          <w:bCs/>
          <w:color w:val="000000" w:themeColor="text1"/>
          <w:kern w:val="2"/>
          <w:sz w:val="32"/>
          <w:szCs w:val="32"/>
          <w:lang w:val="en-US" w:eastAsia="zh-CN" w:bidi="ar-SA"/>
          <w14:textFill>
            <w14:solidFill>
              <w14:schemeClr w14:val="tx1"/>
            </w14:solidFill>
          </w14:textFill>
        </w:rPr>
      </w:pPr>
    </w:p>
    <w:p w14:paraId="27884CB7">
      <w:pPr>
        <w:keepNext w:val="0"/>
        <w:keepLines w:val="0"/>
        <w:pageBreakBefore w:val="0"/>
        <w:widowControl w:val="0"/>
        <w:numPr>
          <w:ilvl w:val="0"/>
          <w:numId w:val="0"/>
        </w:numPr>
        <w:kinsoku/>
        <w:wordWrap/>
        <w:overflowPunct/>
        <w:topLinePunct w:val="0"/>
        <w:autoSpaceDE/>
        <w:autoSpaceDN/>
        <w:bidi w:val="0"/>
        <w:spacing w:line="480" w:lineRule="exact"/>
        <w:ind w:left="0" w:leftChars="0" w:firstLine="0" w:firstLineChars="0"/>
        <w:jc w:val="center"/>
        <w:textAlignment w:val="auto"/>
        <w:rPr>
          <w:rFonts w:hint="eastAsia" w:ascii="宋体" w:hAnsi="宋体" w:eastAsia="宋体" w:cs="宋体"/>
          <w:b/>
          <w:bCs/>
          <w:color w:val="000000" w:themeColor="text1"/>
          <w:kern w:val="2"/>
          <w:sz w:val="32"/>
          <w:szCs w:val="32"/>
          <w:lang w:val="en-US" w:eastAsia="zh-CN" w:bidi="ar-SA"/>
          <w14:textFill>
            <w14:solidFill>
              <w14:schemeClr w14:val="tx1"/>
            </w14:solidFill>
          </w14:textFill>
        </w:rPr>
      </w:pPr>
    </w:p>
    <w:p w14:paraId="789468EC">
      <w:pPr>
        <w:keepNext w:val="0"/>
        <w:keepLines w:val="0"/>
        <w:pageBreakBefore w:val="0"/>
        <w:widowControl w:val="0"/>
        <w:numPr>
          <w:ilvl w:val="0"/>
          <w:numId w:val="0"/>
        </w:numPr>
        <w:kinsoku/>
        <w:wordWrap/>
        <w:overflowPunct/>
        <w:topLinePunct w:val="0"/>
        <w:autoSpaceDE/>
        <w:autoSpaceDN/>
        <w:bidi w:val="0"/>
        <w:spacing w:line="480" w:lineRule="exact"/>
        <w:ind w:left="0" w:leftChars="0" w:firstLine="0" w:firstLineChars="0"/>
        <w:jc w:val="center"/>
        <w:textAlignment w:val="auto"/>
        <w:outlineLvl w:val="0"/>
        <w:rPr>
          <w:rFonts w:hint="eastAsia" w:ascii="宋体" w:hAnsi="宋体" w:eastAsia="宋体" w:cs="宋体"/>
          <w:b/>
          <w:bCs/>
          <w:color w:val="000000" w:themeColor="text1"/>
          <w:sz w:val="32"/>
          <w:szCs w:val="32"/>
          <w:lang w:val="en-US" w:eastAsia="zh-CN"/>
          <w14:textFill>
            <w14:solidFill>
              <w14:schemeClr w14:val="tx1"/>
            </w14:solidFill>
          </w14:textFill>
        </w:rPr>
      </w:pPr>
      <w:bookmarkStart w:id="504" w:name="_Toc31062"/>
      <w:r>
        <w:rPr>
          <w:rFonts w:hint="eastAsia" w:ascii="宋体" w:hAnsi="宋体" w:cs="宋体"/>
          <w:b/>
          <w:bCs/>
          <w:color w:val="000000" w:themeColor="text1"/>
          <w:kern w:val="2"/>
          <w:sz w:val="32"/>
          <w:szCs w:val="32"/>
          <w:lang w:val="en-US" w:eastAsia="zh-CN" w:bidi="ar-SA"/>
          <w14:textFill>
            <w14:solidFill>
              <w14:schemeClr w14:val="tx1"/>
            </w14:solidFill>
          </w14:textFill>
        </w:rPr>
        <w:t>7 安全验收</w:t>
      </w:r>
      <w:r>
        <w:rPr>
          <w:rFonts w:hint="eastAsia" w:ascii="宋体" w:hAnsi="宋体" w:eastAsia="宋体" w:cs="宋体"/>
          <w:b/>
          <w:bCs/>
          <w:color w:val="000000" w:themeColor="text1"/>
          <w:sz w:val="32"/>
          <w:szCs w:val="32"/>
          <w:lang w:val="en-US" w:eastAsia="zh-CN"/>
          <w14:textFill>
            <w14:solidFill>
              <w14:schemeClr w14:val="tx1"/>
            </w14:solidFill>
          </w14:textFill>
        </w:rPr>
        <w:t>评价结论</w:t>
      </w:r>
      <w:bookmarkEnd w:id="504"/>
    </w:p>
    <w:p w14:paraId="466B7EBF">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昭通市鼎安科技有限公司</w:t>
      </w:r>
      <w:r>
        <w:rPr>
          <w:rFonts w:hint="eastAsia" w:ascii="宋体" w:hAnsi="宋体" w:eastAsia="宋体" w:cs="宋体"/>
          <w:color w:val="000000" w:themeColor="text1"/>
          <w:sz w:val="28"/>
          <w:szCs w:val="28"/>
          <w14:textFill>
            <w14:solidFill>
              <w14:schemeClr w14:val="tx1"/>
            </w14:solidFill>
          </w14:textFill>
        </w:rPr>
        <w:t>本着合法性、科学性、公正性、针对性的评价原则，根据相关法律法规、标准规范的要求，对</w:t>
      </w:r>
      <w:r>
        <w:rPr>
          <w:rFonts w:hint="eastAsia" w:ascii="宋体" w:hAnsi="宋体" w:eastAsia="宋体" w:cs="宋体"/>
          <w:color w:val="000000" w:themeColor="text1"/>
          <w:sz w:val="28"/>
          <w:szCs w:val="28"/>
          <w:lang w:eastAsia="zh-CN"/>
          <w14:textFill>
            <w14:solidFill>
              <w14:schemeClr w14:val="tx1"/>
            </w14:solidFill>
          </w14:textFill>
        </w:rPr>
        <w:t>华能澜沧江（景洪）新能源有限公司</w:t>
      </w:r>
      <w:r>
        <w:rPr>
          <w:rFonts w:hint="eastAsia" w:ascii="宋体" w:hAnsi="宋体" w:eastAsia="宋体" w:cs="宋体"/>
          <w:color w:val="000000" w:themeColor="text1"/>
          <w:sz w:val="28"/>
          <w:szCs w:val="28"/>
          <w:lang w:val="en-US" w:eastAsia="zh-CN"/>
          <w14:textFill>
            <w14:solidFill>
              <w14:schemeClr w14:val="tx1"/>
            </w14:solidFill>
          </w14:textFill>
        </w:rPr>
        <w:t>景讷乡大寨村云盘</w:t>
      </w:r>
      <w:r>
        <w:rPr>
          <w:rFonts w:hint="eastAsia" w:ascii="宋体" w:hAnsi="宋体" w:eastAsia="宋体" w:cs="宋体"/>
          <w:color w:val="000000" w:themeColor="text1"/>
          <w:kern w:val="2"/>
          <w:sz w:val="28"/>
          <w:szCs w:val="28"/>
          <w:lang w:val="en-US" w:eastAsia="zh-CN" w:bidi="ar-SA"/>
          <w14:textFill>
            <w14:solidFill>
              <w14:schemeClr w14:val="tx1"/>
            </w14:solidFill>
          </w14:textFill>
        </w:rPr>
        <w:t>光伏电站</w:t>
      </w:r>
      <w:r>
        <w:rPr>
          <w:rFonts w:hint="eastAsia" w:ascii="宋体" w:hAnsi="宋体" w:eastAsia="宋体" w:cs="宋体"/>
          <w:color w:val="000000" w:themeColor="text1"/>
          <w:sz w:val="28"/>
          <w:szCs w:val="28"/>
          <w14:textFill>
            <w14:solidFill>
              <w14:schemeClr w14:val="tx1"/>
            </w14:solidFill>
          </w14:textFill>
        </w:rPr>
        <w:t>总平面布置及周边环境、主要建（构）筑物、主要设备、生产运行、检修、作业场所有害因素等可能存在的危险、有害因素进行了分析评价，提出了合理可行的安全对策措施和建议。经分析评价，作出如下验收评价结论。</w:t>
      </w:r>
    </w:p>
    <w:p w14:paraId="3D138256">
      <w:pPr>
        <w:pStyle w:val="3"/>
        <w:keepNext w:val="0"/>
        <w:keepLines w:val="0"/>
        <w:pageBreakBefore w:val="0"/>
        <w:widowControl w:val="0"/>
        <w:tabs>
          <w:tab w:val="left" w:pos="0"/>
        </w:tabs>
        <w:kinsoku/>
        <w:wordWrap/>
        <w:overflowPunct/>
        <w:topLinePunct w:val="0"/>
        <w:autoSpaceDE/>
        <w:autoSpaceDN/>
        <w:bidi w:val="0"/>
        <w:spacing w:line="420" w:lineRule="exact"/>
        <w:textAlignment w:val="auto"/>
        <w:rPr>
          <w:rFonts w:hint="eastAsia" w:ascii="宋体" w:hAnsi="宋体" w:eastAsia="宋体" w:cs="宋体"/>
          <w:color w:val="000000" w:themeColor="text1"/>
          <w14:textFill>
            <w14:solidFill>
              <w14:schemeClr w14:val="tx1"/>
            </w14:solidFill>
          </w14:textFill>
        </w:rPr>
      </w:pPr>
      <w:bookmarkStart w:id="505" w:name="_Toc16975"/>
      <w:bookmarkStart w:id="506" w:name="_Toc18616"/>
      <w:bookmarkStart w:id="507" w:name="_Toc28949"/>
      <w:bookmarkStart w:id="508" w:name="_Toc26789"/>
      <w:r>
        <w:rPr>
          <w:rFonts w:hint="eastAsia" w:ascii="宋体" w:hAnsi="宋体" w:eastAsia="宋体" w:cs="宋体"/>
          <w:color w:val="000000" w:themeColor="text1"/>
          <w:lang w:val="en-US" w:eastAsia="zh-CN"/>
          <w14:textFill>
            <w14:solidFill>
              <w14:schemeClr w14:val="tx1"/>
            </w14:solidFill>
          </w14:textFill>
        </w:rPr>
        <w:t>7.1</w:t>
      </w:r>
      <w:r>
        <w:rPr>
          <w:rFonts w:hint="eastAsia" w:ascii="宋体" w:hAnsi="宋体" w:eastAsia="宋体" w:cs="宋体"/>
          <w:color w:val="000000" w:themeColor="text1"/>
          <w14:textFill>
            <w14:solidFill>
              <w14:schemeClr w14:val="tx1"/>
            </w14:solidFill>
          </w14:textFill>
        </w:rPr>
        <w:t>工程运行中存在的主要危险、有害因素</w:t>
      </w:r>
      <w:bookmarkEnd w:id="505"/>
      <w:bookmarkEnd w:id="506"/>
      <w:bookmarkEnd w:id="507"/>
      <w:bookmarkEnd w:id="508"/>
    </w:p>
    <w:p w14:paraId="1D3E003B">
      <w:pPr>
        <w:pStyle w:val="4"/>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val="0"/>
          <w:color w:val="000000" w:themeColor="text1"/>
          <w:sz w:val="30"/>
          <w:szCs w:val="30"/>
          <w14:textFill>
            <w14:solidFill>
              <w14:schemeClr w14:val="tx1"/>
            </w14:solidFill>
          </w14:textFill>
        </w:rPr>
      </w:pPr>
      <w:bookmarkStart w:id="509" w:name="_Toc10109"/>
      <w:bookmarkStart w:id="510" w:name="_Toc21773"/>
      <w:bookmarkStart w:id="511" w:name="_Toc371"/>
      <w:r>
        <w:rPr>
          <w:rFonts w:hint="eastAsia" w:ascii="宋体" w:hAnsi="宋体" w:eastAsia="宋体" w:cs="宋体"/>
          <w:b/>
          <w:bCs w:val="0"/>
          <w:color w:val="000000" w:themeColor="text1"/>
          <w:sz w:val="30"/>
          <w:szCs w:val="30"/>
          <w:lang w:val="en-US" w:eastAsia="zh-CN"/>
          <w14:textFill>
            <w14:solidFill>
              <w14:schemeClr w14:val="tx1"/>
            </w14:solidFill>
          </w14:textFill>
        </w:rPr>
        <w:t>7.1.1</w:t>
      </w:r>
      <w:r>
        <w:rPr>
          <w:rFonts w:hint="eastAsia" w:ascii="宋体" w:hAnsi="宋体" w:eastAsia="宋体" w:cs="宋体"/>
          <w:b/>
          <w:bCs w:val="0"/>
          <w:color w:val="000000" w:themeColor="text1"/>
          <w:sz w:val="30"/>
          <w:szCs w:val="30"/>
          <w14:textFill>
            <w14:solidFill>
              <w14:schemeClr w14:val="tx1"/>
            </w14:solidFill>
          </w14:textFill>
        </w:rPr>
        <w:t>项目存在的危险、有害因素种类及危害后果</w:t>
      </w:r>
      <w:bookmarkEnd w:id="509"/>
      <w:bookmarkEnd w:id="510"/>
      <w:bookmarkEnd w:id="511"/>
    </w:p>
    <w:p w14:paraId="4DA4CD0F">
      <w:pPr>
        <w:keepNext w:val="0"/>
        <w:keepLines w:val="0"/>
        <w:pageBreakBefore w:val="0"/>
        <w:widowControl w:val="0"/>
        <w:numPr>
          <w:ilvl w:val="0"/>
          <w:numId w:val="55"/>
        </w:numPr>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总体布置、周边环境存在的危险、有害因素种类有：地质危害、人为影响；危害后果为：人员伤害、建筑物及设备损坏。</w:t>
      </w:r>
    </w:p>
    <w:p w14:paraId="33857A99">
      <w:pPr>
        <w:keepNext w:val="0"/>
        <w:keepLines w:val="0"/>
        <w:pageBreakBefore w:val="0"/>
        <w:widowControl w:val="0"/>
        <w:numPr>
          <w:ilvl w:val="0"/>
          <w:numId w:val="55"/>
        </w:numPr>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建（构）筑物存在的危险、有害因素种类有：地震、坍塌、不良地质、施工质量缺陷、安全监测缺陷；危害后果为：人员伤害、建构筑物损坏。</w:t>
      </w:r>
    </w:p>
    <w:p w14:paraId="2F2876D9">
      <w:pPr>
        <w:keepNext w:val="0"/>
        <w:keepLines w:val="0"/>
        <w:pageBreakBefore w:val="0"/>
        <w:widowControl w:val="0"/>
        <w:numPr>
          <w:ilvl w:val="0"/>
          <w:numId w:val="55"/>
        </w:numPr>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主要设备存在的危险、有害因素种类有：火灾、爆炸、触电、雷电、过电压、安全工器具失效、直流系统故障、孤岛运行保护、计算机监控系统故障、并网故障、安全工器具缺陷、热斑效应；危害后果为：人员伤害，设备损坏。</w:t>
      </w:r>
    </w:p>
    <w:p w14:paraId="6DA31C2A">
      <w:pPr>
        <w:keepNext w:val="0"/>
        <w:keepLines w:val="0"/>
        <w:pageBreakBefore w:val="0"/>
        <w:widowControl w:val="0"/>
        <w:numPr>
          <w:ilvl w:val="0"/>
          <w:numId w:val="55"/>
        </w:numPr>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生产过程中存在的危险、有害因素种类有：火灾和爆炸、触电、高处坠落、机械伤害、车辆伤害、过电压、雷电；危害后果为：人员伤害，设备损坏。</w:t>
      </w:r>
    </w:p>
    <w:p w14:paraId="11D02467">
      <w:pPr>
        <w:keepNext w:val="0"/>
        <w:keepLines w:val="0"/>
        <w:pageBreakBefore w:val="0"/>
        <w:widowControl w:val="0"/>
        <w:numPr>
          <w:ilvl w:val="0"/>
          <w:numId w:val="55"/>
        </w:numPr>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作业场所存在的危险、有害因素种类有：噪声、采光照明、工频电场、腐蚀，危害后果为：影响人员健康。</w:t>
      </w:r>
    </w:p>
    <w:p w14:paraId="069710F9">
      <w:pPr>
        <w:pStyle w:val="4"/>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color w:val="000000" w:themeColor="text1"/>
          <w:sz w:val="30"/>
          <w:szCs w:val="30"/>
          <w14:textFill>
            <w14:solidFill>
              <w14:schemeClr w14:val="tx1"/>
            </w14:solidFill>
          </w14:textFill>
        </w:rPr>
      </w:pPr>
      <w:bookmarkStart w:id="512" w:name="_Toc19162"/>
      <w:bookmarkStart w:id="513" w:name="_Toc24660"/>
      <w:bookmarkStart w:id="514" w:name="_Toc17350"/>
      <w:r>
        <w:rPr>
          <w:rFonts w:hint="eastAsia" w:ascii="宋体" w:hAnsi="宋体" w:eastAsia="宋体" w:cs="宋体"/>
          <w:b/>
          <w:color w:val="000000" w:themeColor="text1"/>
          <w:sz w:val="30"/>
          <w:szCs w:val="30"/>
          <w:lang w:val="en-US" w:eastAsia="zh-CN"/>
          <w14:textFill>
            <w14:solidFill>
              <w14:schemeClr w14:val="tx1"/>
            </w14:solidFill>
          </w14:textFill>
        </w:rPr>
        <w:t>7.1.2</w:t>
      </w:r>
      <w:r>
        <w:rPr>
          <w:rFonts w:hint="eastAsia" w:ascii="宋体" w:hAnsi="宋体" w:eastAsia="宋体" w:cs="宋体"/>
          <w:b/>
          <w:color w:val="000000" w:themeColor="text1"/>
          <w:sz w:val="30"/>
          <w:szCs w:val="30"/>
          <w14:textFill>
            <w14:solidFill>
              <w14:schemeClr w14:val="tx1"/>
            </w14:solidFill>
          </w14:textFill>
        </w:rPr>
        <w:t>项目应重点防范的重大事故</w:t>
      </w:r>
      <w:bookmarkEnd w:id="512"/>
      <w:bookmarkEnd w:id="513"/>
      <w:bookmarkEnd w:id="514"/>
    </w:p>
    <w:p w14:paraId="388675DC">
      <w:pPr>
        <w:pStyle w:val="34"/>
        <w:keepNext w:val="0"/>
        <w:keepLines w:val="0"/>
        <w:pageBreakBefore w:val="0"/>
        <w:widowControl w:val="0"/>
        <w:kinsoku/>
        <w:wordWrap/>
        <w:overflowPunct/>
        <w:topLinePunct w:val="0"/>
        <w:autoSpaceDE/>
        <w:autoSpaceDN/>
        <w:bidi w:val="0"/>
        <w:spacing w:line="420" w:lineRule="exact"/>
        <w:ind w:firstLine="630" w:firstLineChars="225"/>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应重点防范的重大事故：火灾、触电。</w:t>
      </w:r>
    </w:p>
    <w:p w14:paraId="4676583C">
      <w:pPr>
        <w:pStyle w:val="4"/>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color w:val="000000" w:themeColor="text1"/>
          <w:sz w:val="30"/>
          <w:szCs w:val="30"/>
          <w14:textFill>
            <w14:solidFill>
              <w14:schemeClr w14:val="tx1"/>
            </w14:solidFill>
          </w14:textFill>
        </w:rPr>
      </w:pPr>
      <w:bookmarkStart w:id="515" w:name="_Toc6579"/>
      <w:bookmarkStart w:id="516" w:name="_Toc23257"/>
      <w:bookmarkStart w:id="517" w:name="_Toc21444"/>
      <w:r>
        <w:rPr>
          <w:rFonts w:hint="eastAsia" w:ascii="宋体" w:hAnsi="宋体" w:eastAsia="宋体" w:cs="宋体"/>
          <w:b/>
          <w:color w:val="000000" w:themeColor="text1"/>
          <w:sz w:val="30"/>
          <w:szCs w:val="30"/>
          <w:lang w:val="en-US" w:eastAsia="zh-CN"/>
          <w14:textFill>
            <w14:solidFill>
              <w14:schemeClr w14:val="tx1"/>
            </w14:solidFill>
          </w14:textFill>
        </w:rPr>
        <w:t>7.1.3</w:t>
      </w:r>
      <w:r>
        <w:rPr>
          <w:rFonts w:hint="eastAsia" w:ascii="宋体" w:hAnsi="宋体" w:eastAsia="宋体" w:cs="宋体"/>
          <w:b/>
          <w:color w:val="000000" w:themeColor="text1"/>
          <w:sz w:val="30"/>
          <w:szCs w:val="30"/>
          <w14:textFill>
            <w14:solidFill>
              <w14:schemeClr w14:val="tx1"/>
            </w14:solidFill>
          </w14:textFill>
        </w:rPr>
        <w:t>重要的安全对策措施</w:t>
      </w:r>
      <w:bookmarkEnd w:id="515"/>
      <w:bookmarkEnd w:id="516"/>
      <w:bookmarkEnd w:id="517"/>
    </w:p>
    <w:p w14:paraId="1C495B02">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42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1.</w:t>
      </w:r>
      <w:r>
        <w:rPr>
          <w:rFonts w:hint="eastAsia" w:ascii="宋体" w:hAnsi="宋体" w:eastAsia="宋体" w:cs="宋体"/>
          <w:color w:val="000000" w:themeColor="text1"/>
          <w:sz w:val="28"/>
          <w:szCs w:val="28"/>
          <w14:textFill>
            <w14:solidFill>
              <w14:schemeClr w14:val="tx1"/>
            </w14:solidFill>
          </w14:textFill>
        </w:rPr>
        <w:t>确保消防器材有效，火灾自动报警系统有效；定期清除光伏场区杂草和低矮灌木，以免遮挡光伏组件光线及发生火灾。</w:t>
      </w:r>
    </w:p>
    <w:p w14:paraId="7DCFA4CE">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42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14:textFill>
            <w14:solidFill>
              <w14:schemeClr w14:val="tx1"/>
            </w14:solidFill>
          </w14:textFill>
        </w:rPr>
        <w:t>光伏电站场区的防雷接地装置应定期检测，保证防雷接地电阻满足设计和规范要求。</w:t>
      </w:r>
    </w:p>
    <w:p w14:paraId="0F7E6B83">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42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3.</w:t>
      </w:r>
      <w:r>
        <w:rPr>
          <w:rFonts w:hint="eastAsia" w:ascii="宋体" w:hAnsi="宋体" w:eastAsia="宋体" w:cs="宋体"/>
          <w:color w:val="000000" w:themeColor="text1"/>
          <w:sz w:val="28"/>
          <w:szCs w:val="28"/>
          <w14:textFill>
            <w14:solidFill>
              <w14:schemeClr w14:val="tx1"/>
            </w14:solidFill>
          </w14:textFill>
        </w:rPr>
        <w:t>应避免无关闲杂人员进入光伏场区，以免误动设备、触电事故的发生；安全工器具应定期检验。</w:t>
      </w:r>
    </w:p>
    <w:p w14:paraId="6694D450">
      <w:pPr>
        <w:pStyle w:val="3"/>
        <w:keepNext w:val="0"/>
        <w:keepLines w:val="0"/>
        <w:pageBreakBefore w:val="0"/>
        <w:widowControl w:val="0"/>
        <w:tabs>
          <w:tab w:val="left" w:pos="0"/>
        </w:tabs>
        <w:kinsoku/>
        <w:wordWrap/>
        <w:overflowPunct/>
        <w:topLinePunct w:val="0"/>
        <w:autoSpaceDE/>
        <w:autoSpaceDN/>
        <w:bidi w:val="0"/>
        <w:spacing w:line="420" w:lineRule="exact"/>
        <w:textAlignment w:val="auto"/>
        <w:rPr>
          <w:rFonts w:hint="eastAsia" w:ascii="宋体" w:hAnsi="宋体" w:eastAsia="宋体" w:cs="宋体"/>
          <w:color w:val="000000" w:themeColor="text1"/>
          <w:lang w:val="en-US" w:eastAsia="zh-CN"/>
          <w14:textFill>
            <w14:solidFill>
              <w14:schemeClr w14:val="tx1"/>
            </w14:solidFill>
          </w14:textFill>
        </w:rPr>
        <w:sectPr>
          <w:pgSz w:w="11906" w:h="16838"/>
          <w:pgMar w:top="1417" w:right="1417" w:bottom="1417" w:left="1587" w:header="851" w:footer="992" w:gutter="0"/>
          <w:pgNumType w:fmt="decimal"/>
          <w:cols w:space="425" w:num="1"/>
          <w:docGrid w:type="lines" w:linePitch="312" w:charSpace="0"/>
        </w:sectPr>
      </w:pPr>
      <w:bookmarkStart w:id="518" w:name="_Toc9871"/>
      <w:bookmarkStart w:id="519" w:name="_Toc8603"/>
      <w:bookmarkStart w:id="520" w:name="_Toc8602"/>
      <w:bookmarkStart w:id="521" w:name="_Toc26453"/>
    </w:p>
    <w:p w14:paraId="0FEB1465">
      <w:pPr>
        <w:pStyle w:val="3"/>
        <w:keepNext w:val="0"/>
        <w:keepLines w:val="0"/>
        <w:pageBreakBefore w:val="0"/>
        <w:widowControl w:val="0"/>
        <w:tabs>
          <w:tab w:val="left" w:pos="0"/>
        </w:tabs>
        <w:kinsoku/>
        <w:wordWrap/>
        <w:overflowPunct/>
        <w:topLinePunct w:val="0"/>
        <w:autoSpaceDE/>
        <w:autoSpaceDN/>
        <w:bidi w:val="0"/>
        <w:spacing w:line="420" w:lineRule="exact"/>
        <w:textAlignment w:val="auto"/>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7.2</w:t>
      </w:r>
      <w:r>
        <w:rPr>
          <w:rFonts w:hint="eastAsia" w:ascii="宋体" w:hAnsi="宋体" w:eastAsia="宋体" w:cs="宋体"/>
          <w:color w:val="000000" w:themeColor="text1"/>
          <w14:textFill>
            <w14:solidFill>
              <w14:schemeClr w14:val="tx1"/>
            </w14:solidFill>
          </w14:textFill>
        </w:rPr>
        <w:t>符合性评价的综合</w:t>
      </w:r>
      <w:bookmarkEnd w:id="518"/>
      <w:bookmarkEnd w:id="519"/>
      <w:bookmarkEnd w:id="520"/>
      <w:r>
        <w:rPr>
          <w:rFonts w:hint="eastAsia" w:ascii="宋体" w:hAnsi="宋体" w:eastAsia="宋体" w:cs="宋体"/>
          <w:color w:val="000000" w:themeColor="text1"/>
          <w:lang w:val="en-US" w:eastAsia="zh-CN"/>
          <w14:textFill>
            <w14:solidFill>
              <w14:schemeClr w14:val="tx1"/>
            </w14:solidFill>
          </w14:textFill>
        </w:rPr>
        <w:t>结果</w:t>
      </w:r>
      <w:bookmarkEnd w:id="521"/>
    </w:p>
    <w:p w14:paraId="15CAC7BC">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昭通市鼎安科技有限公司依据安全评价相关法规，对该建设项目严格按照安全评价过程控制程序，依据各单元主要危险、有害因素辨识、定性定量分析结果、结合该项目建设情况和隐患整改情况得出如下安全设施验收评价综合结论：</w:t>
      </w:r>
    </w:p>
    <w:p w14:paraId="42744D8C">
      <w:pPr>
        <w:keepNext w:val="0"/>
        <w:keepLines w:val="0"/>
        <w:pageBreakBefore w:val="0"/>
        <w:widowControl w:val="0"/>
        <w:numPr>
          <w:ilvl w:val="0"/>
          <w:numId w:val="56"/>
        </w:numPr>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华能澜沧江（景洪）新能源有限公司</w:t>
      </w:r>
      <w:r>
        <w:rPr>
          <w:rFonts w:hint="eastAsia" w:ascii="宋体" w:hAnsi="宋体" w:eastAsia="宋体" w:cs="宋体"/>
          <w:color w:val="000000" w:themeColor="text1"/>
          <w:sz w:val="28"/>
          <w:szCs w:val="28"/>
          <w:lang w:val="en-US" w:eastAsia="zh-CN"/>
          <w14:textFill>
            <w14:solidFill>
              <w14:schemeClr w14:val="tx1"/>
            </w14:solidFill>
          </w14:textFill>
        </w:rPr>
        <w:t>景讷乡大寨村云盘</w:t>
      </w:r>
      <w:r>
        <w:rPr>
          <w:rFonts w:hint="eastAsia" w:ascii="宋体" w:hAnsi="宋体" w:eastAsia="宋体" w:cs="宋体"/>
          <w:color w:val="000000" w:themeColor="text1"/>
          <w:kern w:val="2"/>
          <w:sz w:val="28"/>
          <w:szCs w:val="28"/>
          <w:lang w:val="en-US" w:eastAsia="zh-CN" w:bidi="ar-SA"/>
          <w14:textFill>
            <w14:solidFill>
              <w14:schemeClr w14:val="tx1"/>
            </w14:solidFill>
          </w14:textFill>
        </w:rPr>
        <w:t>光伏电站</w:t>
      </w:r>
      <w:r>
        <w:rPr>
          <w:rFonts w:hint="eastAsia" w:ascii="宋体" w:hAnsi="宋体" w:eastAsia="宋体" w:cs="宋体"/>
          <w:color w:val="000000" w:themeColor="text1"/>
          <w:sz w:val="28"/>
          <w:szCs w:val="28"/>
          <w14:textFill>
            <w14:solidFill>
              <w14:schemeClr w14:val="tx1"/>
            </w14:solidFill>
          </w14:textFill>
        </w:rPr>
        <w:t>在建设过程中，按照国家有关安全生产法律法规及各级安全生产监督管理部门的要求履行了“三同时”建设程序。项目设立经有关部门批准，建设程序符合要求。</w:t>
      </w:r>
    </w:p>
    <w:p w14:paraId="0E6093C3">
      <w:pPr>
        <w:keepNext w:val="0"/>
        <w:keepLines w:val="0"/>
        <w:pageBreakBefore w:val="0"/>
        <w:widowControl w:val="0"/>
        <w:numPr>
          <w:ilvl w:val="0"/>
          <w:numId w:val="56"/>
        </w:numPr>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华能澜沧江（景洪）新能源有限公司</w:t>
      </w:r>
      <w:r>
        <w:rPr>
          <w:rFonts w:hint="eastAsia" w:ascii="宋体" w:hAnsi="宋体" w:eastAsia="宋体" w:cs="宋体"/>
          <w:color w:val="000000" w:themeColor="text1"/>
          <w:sz w:val="28"/>
          <w:szCs w:val="28"/>
          <w:lang w:val="en-US" w:eastAsia="zh-CN"/>
          <w14:textFill>
            <w14:solidFill>
              <w14:schemeClr w14:val="tx1"/>
            </w14:solidFill>
          </w14:textFill>
        </w:rPr>
        <w:t>景讷乡大寨村云盘</w:t>
      </w:r>
      <w:r>
        <w:rPr>
          <w:rFonts w:hint="eastAsia" w:ascii="宋体" w:hAnsi="宋体" w:eastAsia="宋体" w:cs="宋体"/>
          <w:color w:val="000000" w:themeColor="text1"/>
          <w:kern w:val="2"/>
          <w:sz w:val="28"/>
          <w:szCs w:val="28"/>
          <w:lang w:val="en-US" w:eastAsia="zh-CN" w:bidi="ar-SA"/>
          <w14:textFill>
            <w14:solidFill>
              <w14:schemeClr w14:val="tx1"/>
            </w14:solidFill>
          </w14:textFill>
        </w:rPr>
        <w:t>光伏电站</w:t>
      </w:r>
      <w:r>
        <w:rPr>
          <w:rFonts w:hint="eastAsia" w:ascii="宋体" w:hAnsi="宋体" w:eastAsia="宋体" w:cs="宋体"/>
          <w:color w:val="000000" w:themeColor="text1"/>
          <w:sz w:val="28"/>
          <w:szCs w:val="28"/>
          <w14:textFill>
            <w14:solidFill>
              <w14:schemeClr w14:val="tx1"/>
            </w14:solidFill>
          </w14:textFill>
        </w:rPr>
        <w:t>所在地的安全条件和周边防护距离符合安全生产的条件，工程总平面布置合理，全面考虑了自然条件、社会环境、安全设施、交通道路等因素，为该光伏电站安全运行打下了良好的基础。</w:t>
      </w:r>
    </w:p>
    <w:p w14:paraId="4D7424FF">
      <w:pPr>
        <w:keepNext w:val="0"/>
        <w:keepLines w:val="0"/>
        <w:pageBreakBefore w:val="0"/>
        <w:widowControl w:val="0"/>
        <w:numPr>
          <w:ilvl w:val="0"/>
          <w:numId w:val="56"/>
        </w:numPr>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华能澜沧江（景洪）新能源有限公司</w:t>
      </w:r>
      <w:r>
        <w:rPr>
          <w:rFonts w:hint="eastAsia" w:ascii="宋体" w:hAnsi="宋体" w:eastAsia="宋体" w:cs="宋体"/>
          <w:color w:val="000000" w:themeColor="text1"/>
          <w:sz w:val="28"/>
          <w:szCs w:val="28"/>
          <w:lang w:val="en-US" w:eastAsia="zh-CN"/>
          <w14:textFill>
            <w14:solidFill>
              <w14:schemeClr w14:val="tx1"/>
            </w14:solidFill>
          </w14:textFill>
        </w:rPr>
        <w:t>景讷乡大寨村云盘</w:t>
      </w:r>
      <w:r>
        <w:rPr>
          <w:rFonts w:hint="eastAsia" w:ascii="宋体" w:hAnsi="宋体" w:eastAsia="宋体" w:cs="宋体"/>
          <w:color w:val="000000" w:themeColor="text1"/>
          <w:kern w:val="2"/>
          <w:sz w:val="28"/>
          <w:szCs w:val="28"/>
          <w:lang w:val="en-US" w:eastAsia="zh-CN" w:bidi="ar-SA"/>
          <w14:textFill>
            <w14:solidFill>
              <w14:schemeClr w14:val="tx1"/>
            </w14:solidFill>
          </w14:textFill>
        </w:rPr>
        <w:t>光伏电站</w:t>
      </w:r>
      <w:r>
        <w:rPr>
          <w:rFonts w:hint="eastAsia" w:ascii="宋体" w:hAnsi="宋体" w:eastAsia="宋体" w:cs="宋体"/>
          <w:color w:val="000000" w:themeColor="text1"/>
          <w:sz w:val="28"/>
          <w:szCs w:val="28"/>
          <w14:textFill>
            <w14:solidFill>
              <w14:schemeClr w14:val="tx1"/>
            </w14:solidFill>
          </w14:textFill>
        </w:rPr>
        <w:t>为光伏</w:t>
      </w:r>
      <w:r>
        <w:rPr>
          <w:rFonts w:hint="eastAsia" w:ascii="宋体" w:hAnsi="宋体" w:eastAsia="宋体" w:cs="宋体"/>
          <w:color w:val="000000" w:themeColor="text1"/>
          <w:sz w:val="28"/>
          <w:szCs w:val="28"/>
          <w:lang w:val="en-US" w:eastAsia="zh-CN"/>
          <w14:textFill>
            <w14:solidFill>
              <w14:schemeClr w14:val="tx1"/>
            </w14:solidFill>
          </w14:textFill>
        </w:rPr>
        <w:t>发电项目</w:t>
      </w:r>
      <w:r>
        <w:rPr>
          <w:rFonts w:hint="eastAsia" w:ascii="宋体" w:hAnsi="宋体" w:eastAsia="宋体" w:cs="宋体"/>
          <w:color w:val="000000" w:themeColor="text1"/>
          <w:sz w:val="28"/>
          <w:szCs w:val="28"/>
          <w14:textFill>
            <w14:solidFill>
              <w14:schemeClr w14:val="tx1"/>
            </w14:solidFill>
          </w14:textFill>
        </w:rPr>
        <w:t>，生产工艺、机电设备操作及维护、检修技术和措施均成熟可靠，自动化程度高。电站针对不良工程地质、防雷、防火防爆、防噪声、防工频电场、防腐蚀、采暖与通风、采光与照明、安全标志、事故疏散通道等方面采取了适当的防护措施。</w:t>
      </w:r>
    </w:p>
    <w:p w14:paraId="3779B90B">
      <w:pPr>
        <w:keepNext w:val="0"/>
        <w:keepLines w:val="0"/>
        <w:pageBreakBefore w:val="0"/>
        <w:widowControl w:val="0"/>
        <w:numPr>
          <w:ilvl w:val="0"/>
          <w:numId w:val="56"/>
        </w:numPr>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华能澜沧江（景洪）新能源有限公司</w:t>
      </w:r>
      <w:r>
        <w:rPr>
          <w:rFonts w:hint="eastAsia" w:ascii="宋体" w:hAnsi="宋体" w:eastAsia="宋体" w:cs="宋体"/>
          <w:color w:val="000000" w:themeColor="text1"/>
          <w:sz w:val="28"/>
          <w:szCs w:val="28"/>
          <w:lang w:val="en-US" w:eastAsia="zh-CN"/>
          <w14:textFill>
            <w14:solidFill>
              <w14:schemeClr w14:val="tx1"/>
            </w14:solidFill>
          </w14:textFill>
        </w:rPr>
        <w:t>景讷乡大寨村云盘</w:t>
      </w:r>
      <w:r>
        <w:rPr>
          <w:rFonts w:hint="eastAsia" w:ascii="宋体" w:hAnsi="宋体" w:eastAsia="宋体" w:cs="宋体"/>
          <w:color w:val="000000" w:themeColor="text1"/>
          <w:kern w:val="2"/>
          <w:sz w:val="28"/>
          <w:szCs w:val="28"/>
          <w:lang w:val="en-US" w:eastAsia="zh-CN" w:bidi="ar-SA"/>
          <w14:textFill>
            <w14:solidFill>
              <w14:schemeClr w14:val="tx1"/>
            </w14:solidFill>
          </w14:textFill>
        </w:rPr>
        <w:t>光伏电站</w:t>
      </w:r>
      <w:r>
        <w:rPr>
          <w:rFonts w:hint="eastAsia" w:ascii="宋体" w:hAnsi="宋体" w:eastAsia="宋体" w:cs="宋体"/>
          <w:color w:val="000000" w:themeColor="text1"/>
          <w:sz w:val="28"/>
          <w:szCs w:val="28"/>
          <w14:textFill>
            <w14:solidFill>
              <w14:schemeClr w14:val="tx1"/>
            </w14:solidFill>
          </w14:textFill>
        </w:rPr>
        <w:t>的勘察单位、设计单位、施工单位及监理单位均有相应的资质并在有效期内。安全设施设计中对光伏电站的安全对策措施在施工中得到了落实；光伏电站按设计施工，施工质量经施工单位自检、单位工程验收、</w:t>
      </w:r>
      <w:r>
        <w:rPr>
          <w:rFonts w:hint="eastAsia" w:ascii="宋体" w:hAnsi="宋体" w:eastAsia="宋体" w:cs="宋体"/>
          <w:color w:val="000000" w:themeColor="text1"/>
          <w:sz w:val="28"/>
          <w:szCs w:val="28"/>
          <w:lang w:eastAsia="zh-CN"/>
          <w14:textFill>
            <w14:solidFill>
              <w14:schemeClr w14:val="tx1"/>
            </w14:solidFill>
          </w14:textFill>
        </w:rPr>
        <w:t>临理单位监督检查合格，</w:t>
      </w:r>
      <w:r>
        <w:rPr>
          <w:rFonts w:hint="eastAsia" w:ascii="宋体" w:hAnsi="宋体" w:eastAsia="宋体" w:cs="宋体"/>
          <w:color w:val="000000" w:themeColor="text1"/>
          <w:sz w:val="28"/>
          <w:szCs w:val="28"/>
          <w14:textFill>
            <w14:solidFill>
              <w14:schemeClr w14:val="tx1"/>
            </w14:solidFill>
          </w14:textFill>
        </w:rPr>
        <w:t>质量监督单位检查评定合格，施工质量满足设计及规范要求。</w:t>
      </w:r>
    </w:p>
    <w:p w14:paraId="72EF4EB0">
      <w:pPr>
        <w:keepNext w:val="0"/>
        <w:keepLines w:val="0"/>
        <w:pageBreakBefore w:val="0"/>
        <w:widowControl w:val="0"/>
        <w:numPr>
          <w:ilvl w:val="0"/>
          <w:numId w:val="56"/>
        </w:numPr>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华能澜沧江（景洪）新能源有限公司</w:t>
      </w:r>
      <w:r>
        <w:rPr>
          <w:rFonts w:hint="eastAsia" w:ascii="宋体" w:hAnsi="宋体" w:eastAsia="宋体" w:cs="宋体"/>
          <w:color w:val="000000" w:themeColor="text1"/>
          <w:sz w:val="28"/>
          <w:szCs w:val="28"/>
          <w:lang w:val="en-US" w:eastAsia="zh-CN"/>
          <w14:textFill>
            <w14:solidFill>
              <w14:schemeClr w14:val="tx1"/>
            </w14:solidFill>
          </w14:textFill>
        </w:rPr>
        <w:t>景讷乡大寨村云盘</w:t>
      </w:r>
      <w:r>
        <w:rPr>
          <w:rFonts w:hint="eastAsia" w:ascii="宋体" w:hAnsi="宋体" w:eastAsia="宋体" w:cs="宋体"/>
          <w:color w:val="000000" w:themeColor="text1"/>
          <w:kern w:val="2"/>
          <w:sz w:val="28"/>
          <w:szCs w:val="28"/>
          <w:lang w:val="en-US" w:eastAsia="zh-CN" w:bidi="ar-SA"/>
          <w14:textFill>
            <w14:solidFill>
              <w14:schemeClr w14:val="tx1"/>
            </w14:solidFill>
          </w14:textFill>
        </w:rPr>
        <w:t>光伏电站</w:t>
      </w:r>
      <w:r>
        <w:rPr>
          <w:rFonts w:hint="eastAsia" w:ascii="宋体" w:hAnsi="宋体" w:eastAsia="宋体" w:cs="宋体"/>
          <w:color w:val="000000" w:themeColor="text1"/>
          <w:sz w:val="28"/>
          <w:szCs w:val="28"/>
          <w14:textFill>
            <w14:solidFill>
              <w14:schemeClr w14:val="tx1"/>
            </w14:solidFill>
          </w14:textFill>
        </w:rPr>
        <w:t>安全管理组织机构健全，安全管理人员配备合理，安全管理制度、安全生产责任制健全，制 定了现场运行规程、应急预案，主要负责人、安全管理人员取得了安全管 理资格证，运行人员取得了电工、登高作业等资格证，安全管理工作符合 安全生产管理要求。</w:t>
      </w:r>
    </w:p>
    <w:p w14:paraId="499515BA">
      <w:pPr>
        <w:keepNext w:val="0"/>
        <w:keepLines w:val="0"/>
        <w:pageBreakBefore w:val="0"/>
        <w:widowControl w:val="0"/>
        <w:numPr>
          <w:ilvl w:val="0"/>
          <w:numId w:val="56"/>
        </w:numPr>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安全管理人员配备合理，安全管理制度、安全生产责任制健全，制定了现场运行规程、应急预案，主要负责</w:t>
      </w:r>
      <w:r>
        <w:rPr>
          <w:rFonts w:hint="eastAsia" w:ascii="宋体" w:hAnsi="宋体" w:eastAsia="宋体" w:cs="宋体"/>
          <w:color w:val="000000" w:themeColor="text1"/>
          <w:sz w:val="28"/>
          <w:szCs w:val="28"/>
          <w:lang w:val="en-US" w:eastAsia="zh-CN"/>
          <w14:textFill>
            <w14:solidFill>
              <w14:schemeClr w14:val="tx1"/>
            </w14:solidFill>
          </w14:textFill>
        </w:rPr>
        <w:t>人</w:t>
      </w:r>
      <w:r>
        <w:rPr>
          <w:rFonts w:hint="eastAsia" w:ascii="宋体" w:hAnsi="宋体" w:eastAsia="宋体" w:cs="宋体"/>
          <w:color w:val="000000" w:themeColor="text1"/>
          <w:sz w:val="28"/>
          <w:szCs w:val="28"/>
          <w14:textFill>
            <w14:solidFill>
              <w14:schemeClr w14:val="tx1"/>
            </w14:solidFill>
          </w14:textFill>
        </w:rPr>
        <w:t>、安全管理人员取得了安全管理资格证，运行人员取得了电工、登高作业等资格证，安全管理工作符合安全生产管理要求。</w:t>
      </w:r>
    </w:p>
    <w:p w14:paraId="32FD910F">
      <w:pPr>
        <w:keepNext w:val="0"/>
        <w:keepLines w:val="0"/>
        <w:pageBreakBefore w:val="0"/>
        <w:widowControl w:val="0"/>
        <w:numPr>
          <w:ilvl w:val="0"/>
          <w:numId w:val="56"/>
        </w:numPr>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试运行期间，安全设施运行正常，安全生产保证系统基本运作有效，未发生生产事故。通过试运行期的检验和对现场调查隐患建议的整改，该项目的危险、有害因素基本得到消除或控制，证明安全生产过程中安全设备设施、对策措施及管理控制是有效的，满足国家安全生产法规、标准和规范的要求。</w:t>
      </w:r>
    </w:p>
    <w:p w14:paraId="2EBCF365">
      <w:pPr>
        <w:keepNext w:val="0"/>
        <w:keepLines w:val="0"/>
        <w:pageBreakBefore w:val="0"/>
        <w:widowControl w:val="0"/>
        <w:numPr>
          <w:ilvl w:val="0"/>
          <w:numId w:val="56"/>
        </w:numPr>
        <w:kinsoku/>
        <w:wordWrap/>
        <w:overflowPunct/>
        <w:topLinePunct w:val="0"/>
        <w:autoSpaceDE/>
        <w:autoSpaceDN/>
        <w:bidi w:val="0"/>
        <w:spacing w:line="4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华能澜沧江（景洪）新能源有限公司</w:t>
      </w:r>
      <w:r>
        <w:rPr>
          <w:rFonts w:hint="eastAsia" w:ascii="宋体" w:hAnsi="宋体" w:eastAsia="宋体" w:cs="宋体"/>
          <w:color w:val="000000" w:themeColor="text1"/>
          <w:sz w:val="28"/>
          <w:szCs w:val="28"/>
          <w:lang w:val="en-US" w:eastAsia="zh-CN"/>
          <w14:textFill>
            <w14:solidFill>
              <w14:schemeClr w14:val="tx1"/>
            </w14:solidFill>
          </w14:textFill>
        </w:rPr>
        <w:t>景讷乡大寨村云盘</w:t>
      </w:r>
      <w:r>
        <w:rPr>
          <w:rFonts w:hint="eastAsia" w:ascii="宋体" w:hAnsi="宋体" w:eastAsia="宋体" w:cs="宋体"/>
          <w:color w:val="000000" w:themeColor="text1"/>
          <w:kern w:val="2"/>
          <w:sz w:val="28"/>
          <w:szCs w:val="28"/>
          <w:lang w:val="en-US" w:eastAsia="zh-CN" w:bidi="ar-SA"/>
          <w14:textFill>
            <w14:solidFill>
              <w14:schemeClr w14:val="tx1"/>
            </w14:solidFill>
          </w14:textFill>
        </w:rPr>
        <w:t>光伏电站</w:t>
      </w:r>
      <w:r>
        <w:rPr>
          <w:rFonts w:hint="eastAsia" w:ascii="宋体" w:hAnsi="宋体" w:eastAsia="宋体" w:cs="宋体"/>
          <w:color w:val="000000" w:themeColor="text1"/>
          <w:sz w:val="28"/>
          <w:szCs w:val="28"/>
          <w14:textFill>
            <w14:solidFill>
              <w14:schemeClr w14:val="tx1"/>
            </w14:solidFill>
          </w14:textFill>
        </w:rPr>
        <w:t>可能存在的危险有害因素中，火灾</w:t>
      </w:r>
      <w:r>
        <w:rPr>
          <w:rFonts w:hint="eastAsia" w:ascii="宋体" w:hAnsi="宋体" w:eastAsia="宋体" w:cs="宋体"/>
          <w:color w:val="000000" w:themeColor="text1"/>
          <w:sz w:val="28"/>
          <w:szCs w:val="28"/>
          <w:lang w:val="en-US"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触电等属于重大危险因素，须特别引起重视，坍塌及滑坡等危险有害因素也需进行重点预防。</w:t>
      </w:r>
    </w:p>
    <w:p w14:paraId="5F9C845C">
      <w:pPr>
        <w:pStyle w:val="3"/>
        <w:keepNext w:val="0"/>
        <w:keepLines w:val="0"/>
        <w:pageBreakBefore w:val="0"/>
        <w:widowControl w:val="0"/>
        <w:tabs>
          <w:tab w:val="left" w:pos="0"/>
        </w:tabs>
        <w:kinsoku/>
        <w:wordWrap/>
        <w:overflowPunct/>
        <w:topLinePunct w:val="0"/>
        <w:autoSpaceDE/>
        <w:autoSpaceDN/>
        <w:bidi w:val="0"/>
        <w:spacing w:line="420" w:lineRule="exact"/>
        <w:textAlignment w:val="auto"/>
        <w:rPr>
          <w:rFonts w:hint="eastAsia" w:ascii="宋体" w:hAnsi="宋体" w:eastAsia="宋体" w:cs="宋体"/>
          <w:color w:val="000000" w:themeColor="text1"/>
          <w14:textFill>
            <w14:solidFill>
              <w14:schemeClr w14:val="tx1"/>
            </w14:solidFill>
          </w14:textFill>
        </w:rPr>
      </w:pPr>
      <w:bookmarkStart w:id="522" w:name="_Toc195424917"/>
      <w:bookmarkStart w:id="523" w:name="_Toc164155994"/>
      <w:bookmarkStart w:id="524" w:name="_Toc18612"/>
      <w:bookmarkStart w:id="525" w:name="_Toc31255"/>
      <w:bookmarkStart w:id="526" w:name="_Toc23806"/>
      <w:bookmarkStart w:id="527" w:name="_Toc194127809"/>
      <w:bookmarkStart w:id="528" w:name="_Toc4686"/>
      <w:r>
        <w:rPr>
          <w:rFonts w:hint="eastAsia" w:ascii="宋体" w:hAnsi="宋体" w:eastAsia="宋体" w:cs="宋体"/>
          <w:color w:val="000000" w:themeColor="text1"/>
          <w:lang w:val="en-US" w:eastAsia="zh-CN"/>
          <w14:textFill>
            <w14:solidFill>
              <w14:schemeClr w14:val="tx1"/>
            </w14:solidFill>
          </w14:textFill>
        </w:rPr>
        <w:t>7.3</w:t>
      </w:r>
      <w:r>
        <w:rPr>
          <w:rFonts w:hint="eastAsia" w:ascii="宋体" w:hAnsi="宋体" w:eastAsia="宋体" w:cs="宋体"/>
          <w:color w:val="000000" w:themeColor="text1"/>
          <w14:textFill>
            <w14:solidFill>
              <w14:schemeClr w14:val="tx1"/>
            </w14:solidFill>
          </w14:textFill>
        </w:rPr>
        <w:t>评价结论</w:t>
      </w:r>
      <w:bookmarkEnd w:id="522"/>
      <w:bookmarkEnd w:id="523"/>
      <w:bookmarkEnd w:id="524"/>
      <w:bookmarkEnd w:id="525"/>
      <w:bookmarkEnd w:id="526"/>
      <w:bookmarkEnd w:id="527"/>
      <w:bookmarkEnd w:id="528"/>
    </w:p>
    <w:p w14:paraId="14FD1E0F">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华能澜沧江（景洪）新能源有限公司</w:t>
      </w:r>
      <w:r>
        <w:rPr>
          <w:rFonts w:hint="eastAsia" w:ascii="宋体" w:hAnsi="宋体" w:eastAsia="宋体" w:cs="宋体"/>
          <w:color w:val="000000" w:themeColor="text1"/>
          <w:sz w:val="28"/>
          <w:szCs w:val="28"/>
          <w:lang w:val="en-US" w:eastAsia="zh-CN"/>
          <w14:textFill>
            <w14:solidFill>
              <w14:schemeClr w14:val="tx1"/>
            </w14:solidFill>
          </w14:textFill>
        </w:rPr>
        <w:t>景讷乡大寨村云盘</w:t>
      </w:r>
      <w:r>
        <w:rPr>
          <w:rFonts w:hint="eastAsia" w:ascii="宋体" w:hAnsi="宋体" w:eastAsia="宋体" w:cs="宋体"/>
          <w:color w:val="000000" w:themeColor="text1"/>
          <w:kern w:val="2"/>
          <w:sz w:val="28"/>
          <w:szCs w:val="28"/>
          <w:lang w:val="en-US" w:eastAsia="zh-CN" w:bidi="ar-SA"/>
          <w14:textFill>
            <w14:solidFill>
              <w14:schemeClr w14:val="tx1"/>
            </w14:solidFill>
          </w14:textFill>
        </w:rPr>
        <w:t>光伏电站</w:t>
      </w:r>
      <w:r>
        <w:rPr>
          <w:rFonts w:hint="eastAsia" w:ascii="宋体" w:hAnsi="宋体" w:eastAsia="宋体" w:cs="宋体"/>
          <w:color w:val="000000" w:themeColor="text1"/>
          <w:sz w:val="28"/>
          <w:szCs w:val="28"/>
          <w14:textFill>
            <w14:solidFill>
              <w14:schemeClr w14:val="tx1"/>
            </w14:solidFill>
          </w14:textFill>
        </w:rPr>
        <w:t>的安全设施、设备、装置及安全防护措施符合国家有关</w:t>
      </w:r>
      <w:r>
        <w:rPr>
          <w:rFonts w:hint="eastAsia" w:ascii="宋体" w:hAnsi="宋体" w:eastAsia="宋体" w:cs="宋体"/>
          <w:color w:val="000000" w:themeColor="text1"/>
          <w:sz w:val="28"/>
          <w:szCs w:val="28"/>
          <w:lang w:eastAsia="zh-CN"/>
          <w14:textFill>
            <w14:solidFill>
              <w14:schemeClr w14:val="tx1"/>
            </w14:solidFill>
          </w14:textFill>
        </w:rPr>
        <w:t>法律法规</w:t>
      </w:r>
      <w:r>
        <w:rPr>
          <w:rFonts w:hint="eastAsia" w:ascii="宋体" w:hAnsi="宋体" w:eastAsia="宋体" w:cs="宋体"/>
          <w:color w:val="000000" w:themeColor="text1"/>
          <w:sz w:val="28"/>
          <w:szCs w:val="28"/>
          <w14:textFill>
            <w14:solidFill>
              <w14:schemeClr w14:val="tx1"/>
            </w14:solidFill>
          </w14:textFill>
        </w:rPr>
        <w:t>、规范、标准和安全设施设计的要求，安全有效；在重点部位设置了相应的安全设施；设立安全管理机构和建立了安全生产责任制、管理制度、操作规程，并能贯彻落实；安全生产管理体系完善和有效；通过试运行期的检验，该项目的主要危险、有害因素得到消除或控制，安全生产过程中安全设备设施、对策措施及管理控制有效。</w:t>
      </w:r>
    </w:p>
    <w:p w14:paraId="7083B28F">
      <w:pPr>
        <w:pStyle w:val="10"/>
        <w:keepNext w:val="0"/>
        <w:keepLines w:val="0"/>
        <w:pageBreakBefore w:val="0"/>
        <w:widowControl w:val="0"/>
        <w:kinsoku/>
        <w:wordWrap/>
        <w:overflowPunct/>
        <w:topLinePunct w:val="0"/>
        <w:autoSpaceDE/>
        <w:autoSpaceDN/>
        <w:bidi w:val="0"/>
        <w:adjustRightInd/>
        <w:snapToGrid/>
        <w:spacing w:after="0" w:line="420" w:lineRule="exact"/>
        <w:ind w:left="0" w:firstLine="562"/>
        <w:jc w:val="both"/>
        <w:textAlignment w:val="auto"/>
        <w:rPr>
          <w:rFonts w:hint="eastAsia" w:ascii="宋体" w:hAnsi="宋体" w:eastAsia="宋体" w:cs="宋体"/>
          <w:b/>
          <w:bCs/>
          <w:color w:val="000000" w:themeColor="text1"/>
          <w:spacing w:val="-4"/>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SA"/>
          <w14:textFill>
            <w14:solidFill>
              <w14:schemeClr w14:val="tx1"/>
            </w14:solidFill>
          </w14:textFill>
        </w:rPr>
        <w:t>本次验收评价中对各单元进行安全检查表符合性评价，其中对各单元进行安全检查表符合性评价总项为104项，检查结果为“不符合 ”的</w:t>
      </w:r>
      <w:r>
        <w:rPr>
          <w:rFonts w:hint="eastAsia" w:ascii="宋体" w:hAnsi="宋体" w:cs="宋体"/>
          <w:color w:val="000000" w:themeColor="text1"/>
          <w:kern w:val="2"/>
          <w:sz w:val="28"/>
          <w:szCs w:val="28"/>
          <w:lang w:val="en-US" w:eastAsia="zh-CN" w:bidi="ar-SA"/>
          <w14:textFill>
            <w14:solidFill>
              <w14:schemeClr w14:val="tx1"/>
            </w14:solidFill>
          </w14:textFill>
        </w:rPr>
        <w:t>3</w:t>
      </w:r>
      <w:r>
        <w:rPr>
          <w:rFonts w:hint="eastAsia" w:ascii="宋体" w:hAnsi="宋体" w:eastAsia="宋体" w:cs="宋体"/>
          <w:color w:val="000000" w:themeColor="text1"/>
          <w:kern w:val="2"/>
          <w:sz w:val="28"/>
          <w:szCs w:val="28"/>
          <w:lang w:val="en-US" w:eastAsia="zh-CN" w:bidi="ar-SA"/>
          <w14:textFill>
            <w14:solidFill>
              <w14:schemeClr w14:val="tx1"/>
            </w14:solidFill>
          </w14:textFill>
        </w:rPr>
        <w:t>项。详细统计结果见下表：</w:t>
      </w:r>
    </w:p>
    <w:p w14:paraId="1B1FB894">
      <w:pPr>
        <w:pStyle w:val="10"/>
        <w:keepNext w:val="0"/>
        <w:keepLines w:val="0"/>
        <w:pageBreakBefore w:val="0"/>
        <w:widowControl w:val="0"/>
        <w:kinsoku/>
        <w:wordWrap/>
        <w:overflowPunct/>
        <w:topLinePunct w:val="0"/>
        <w:autoSpaceDE/>
        <w:autoSpaceDN/>
        <w:bidi w:val="0"/>
        <w:spacing w:before="36" w:line="420" w:lineRule="exact"/>
        <w:jc w:val="center"/>
        <w:textAlignment w:val="auto"/>
        <w:rPr>
          <w:color w:val="000000" w:themeColor="text1"/>
          <w14:textFill>
            <w14:solidFill>
              <w14:schemeClr w14:val="tx1"/>
            </w14:solidFill>
          </w14:textFill>
        </w:rPr>
      </w:pPr>
      <w:r>
        <w:rPr>
          <w:b/>
          <w:bCs/>
          <w:color w:val="000000" w:themeColor="text1"/>
          <w:spacing w:val="-4"/>
          <w:sz w:val="24"/>
          <w:szCs w:val="24"/>
          <w14:textFill>
            <w14:solidFill>
              <w14:schemeClr w14:val="tx1"/>
            </w14:solidFill>
          </w14:textFill>
        </w:rPr>
        <w:t>表</w:t>
      </w:r>
      <w:r>
        <w:rPr>
          <w:color w:val="000000" w:themeColor="text1"/>
          <w:spacing w:val="-36"/>
          <w:sz w:val="24"/>
          <w:szCs w:val="24"/>
          <w14:textFill>
            <w14:solidFill>
              <w14:schemeClr w14:val="tx1"/>
            </w14:solidFill>
          </w14:textFill>
        </w:rPr>
        <w:t xml:space="preserve"> </w:t>
      </w:r>
      <w:r>
        <w:rPr>
          <w:b/>
          <w:bCs/>
          <w:color w:val="000000" w:themeColor="text1"/>
          <w:spacing w:val="-4"/>
          <w:sz w:val="24"/>
          <w:szCs w:val="24"/>
          <w14:textFill>
            <w14:solidFill>
              <w14:schemeClr w14:val="tx1"/>
            </w14:solidFill>
          </w14:textFill>
        </w:rPr>
        <w:t>7</w:t>
      </w:r>
      <w:r>
        <w:rPr>
          <w:rFonts w:hint="eastAsia"/>
          <w:b/>
          <w:bCs/>
          <w:color w:val="000000" w:themeColor="text1"/>
          <w:spacing w:val="-4"/>
          <w:sz w:val="24"/>
          <w:szCs w:val="24"/>
          <w:lang w:val="en-US" w:eastAsia="zh-CN"/>
          <w14:textFill>
            <w14:solidFill>
              <w14:schemeClr w14:val="tx1"/>
            </w14:solidFill>
          </w14:textFill>
        </w:rPr>
        <w:t>-3</w:t>
      </w:r>
      <w:r>
        <w:rPr>
          <w:b/>
          <w:bCs/>
          <w:color w:val="000000" w:themeColor="text1"/>
          <w:spacing w:val="-4"/>
          <w:sz w:val="24"/>
          <w:szCs w:val="24"/>
          <w14:textFill>
            <w14:solidFill>
              <w14:schemeClr w14:val="tx1"/>
            </w14:solidFill>
          </w14:textFill>
        </w:rPr>
        <w:t>安全设施符合性评价各单元统计表</w:t>
      </w:r>
    </w:p>
    <w:tbl>
      <w:tblPr>
        <w:tblStyle w:val="25"/>
        <w:tblW w:w="8887" w:type="dxa"/>
        <w:tblInd w:w="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802"/>
        <w:gridCol w:w="984"/>
        <w:gridCol w:w="900"/>
        <w:gridCol w:w="1200"/>
        <w:gridCol w:w="876"/>
        <w:gridCol w:w="1056"/>
        <w:gridCol w:w="816"/>
        <w:gridCol w:w="1253"/>
      </w:tblGrid>
      <w:tr w14:paraId="1F1D8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5" w:hRule="atLeast"/>
        </w:trPr>
        <w:tc>
          <w:tcPr>
            <w:tcW w:w="1802" w:type="dxa"/>
            <w:noWrap w:val="0"/>
            <w:vAlign w:val="center"/>
          </w:tcPr>
          <w:p w14:paraId="583097A4">
            <w:pPr>
              <w:pStyle w:val="26"/>
              <w:keepNext w:val="0"/>
              <w:keepLines w:val="0"/>
              <w:pageBreakBefore w:val="0"/>
              <w:widowControl w:val="0"/>
              <w:kinsoku/>
              <w:wordWrap/>
              <w:overflowPunct/>
              <w:topLinePunct w:val="0"/>
              <w:autoSpaceDE/>
              <w:autoSpaceDN/>
              <w:bidi w:val="0"/>
              <w:adjustRightInd/>
              <w:snapToGrid/>
              <w:spacing w:before="52" w:line="480" w:lineRule="exact"/>
              <w:ind w:right="119"/>
              <w:jc w:val="center"/>
              <w:textAlignment w:val="auto"/>
              <w:rPr>
                <w:rFonts w:hint="eastAsia" w:ascii="宋体" w:hAnsi="宋体" w:eastAsia="宋体" w:cs="宋体"/>
                <w:color w:val="000000" w:themeColor="text1"/>
                <w:spacing w:val="-4"/>
                <w:sz w:val="21"/>
                <w:szCs w:val="21"/>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评价单元</w:t>
            </w:r>
          </w:p>
        </w:tc>
        <w:tc>
          <w:tcPr>
            <w:tcW w:w="984" w:type="dxa"/>
            <w:noWrap w:val="0"/>
            <w:vAlign w:val="center"/>
          </w:tcPr>
          <w:p w14:paraId="57907B62">
            <w:pPr>
              <w:pStyle w:val="26"/>
              <w:keepNext w:val="0"/>
              <w:keepLines w:val="0"/>
              <w:pageBreakBefore w:val="0"/>
              <w:widowControl w:val="0"/>
              <w:kinsoku/>
              <w:wordWrap/>
              <w:overflowPunct/>
              <w:topLinePunct w:val="0"/>
              <w:autoSpaceDE/>
              <w:autoSpaceDN/>
              <w:bidi w:val="0"/>
              <w:adjustRightInd/>
              <w:snapToGrid/>
              <w:spacing w:before="52" w:line="480" w:lineRule="exact"/>
              <w:ind w:right="119"/>
              <w:jc w:val="center"/>
              <w:textAlignment w:val="auto"/>
              <w:rPr>
                <w:rFonts w:hint="eastAsia" w:ascii="宋体" w:hAnsi="宋体" w:eastAsia="宋体" w:cs="宋体"/>
                <w:color w:val="000000" w:themeColor="text1"/>
                <w:spacing w:val="-4"/>
                <w:sz w:val="21"/>
                <w:szCs w:val="21"/>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总检查</w:t>
            </w:r>
          </w:p>
          <w:p w14:paraId="6641FCDC">
            <w:pPr>
              <w:pStyle w:val="26"/>
              <w:keepNext w:val="0"/>
              <w:keepLines w:val="0"/>
              <w:pageBreakBefore w:val="0"/>
              <w:widowControl w:val="0"/>
              <w:kinsoku/>
              <w:wordWrap/>
              <w:overflowPunct/>
              <w:topLinePunct w:val="0"/>
              <w:autoSpaceDE/>
              <w:autoSpaceDN/>
              <w:bidi w:val="0"/>
              <w:adjustRightInd/>
              <w:snapToGrid/>
              <w:spacing w:before="52" w:line="480" w:lineRule="exact"/>
              <w:ind w:right="119"/>
              <w:jc w:val="center"/>
              <w:textAlignment w:val="auto"/>
              <w:rPr>
                <w:rFonts w:hint="eastAsia" w:ascii="宋体" w:hAnsi="宋体" w:eastAsia="宋体" w:cs="宋体"/>
                <w:color w:val="000000" w:themeColor="text1"/>
                <w:spacing w:val="-4"/>
                <w:sz w:val="21"/>
                <w:szCs w:val="21"/>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项数</w:t>
            </w:r>
          </w:p>
        </w:tc>
        <w:tc>
          <w:tcPr>
            <w:tcW w:w="900" w:type="dxa"/>
            <w:noWrap w:val="0"/>
            <w:vAlign w:val="center"/>
          </w:tcPr>
          <w:p w14:paraId="18F040E1">
            <w:pPr>
              <w:pStyle w:val="26"/>
              <w:keepNext w:val="0"/>
              <w:keepLines w:val="0"/>
              <w:pageBreakBefore w:val="0"/>
              <w:widowControl w:val="0"/>
              <w:kinsoku/>
              <w:wordWrap/>
              <w:overflowPunct/>
              <w:topLinePunct w:val="0"/>
              <w:autoSpaceDE/>
              <w:autoSpaceDN/>
              <w:bidi w:val="0"/>
              <w:adjustRightInd/>
              <w:snapToGrid/>
              <w:spacing w:before="52" w:line="480" w:lineRule="exact"/>
              <w:ind w:right="119"/>
              <w:jc w:val="center"/>
              <w:textAlignment w:val="auto"/>
              <w:rPr>
                <w:rFonts w:hint="eastAsia" w:ascii="宋体" w:hAnsi="宋体" w:eastAsia="宋体" w:cs="宋体"/>
                <w:color w:val="000000" w:themeColor="text1"/>
                <w:spacing w:val="-4"/>
                <w:sz w:val="21"/>
                <w:szCs w:val="21"/>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符合</w:t>
            </w:r>
          </w:p>
          <w:p w14:paraId="27AA1250">
            <w:pPr>
              <w:pStyle w:val="26"/>
              <w:keepNext w:val="0"/>
              <w:keepLines w:val="0"/>
              <w:pageBreakBefore w:val="0"/>
              <w:widowControl w:val="0"/>
              <w:kinsoku/>
              <w:wordWrap/>
              <w:overflowPunct/>
              <w:topLinePunct w:val="0"/>
              <w:autoSpaceDE/>
              <w:autoSpaceDN/>
              <w:bidi w:val="0"/>
              <w:adjustRightInd/>
              <w:snapToGrid/>
              <w:spacing w:before="52" w:line="480" w:lineRule="exact"/>
              <w:ind w:right="119"/>
              <w:jc w:val="center"/>
              <w:textAlignment w:val="auto"/>
              <w:rPr>
                <w:rFonts w:hint="eastAsia" w:ascii="宋体" w:hAnsi="宋体" w:eastAsia="宋体" w:cs="宋体"/>
                <w:color w:val="000000" w:themeColor="text1"/>
                <w:spacing w:val="-4"/>
                <w:sz w:val="21"/>
                <w:szCs w:val="21"/>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项数</w:t>
            </w:r>
          </w:p>
        </w:tc>
        <w:tc>
          <w:tcPr>
            <w:tcW w:w="1200" w:type="dxa"/>
            <w:noWrap w:val="0"/>
            <w:vAlign w:val="center"/>
          </w:tcPr>
          <w:p w14:paraId="677D2F6C">
            <w:pPr>
              <w:pStyle w:val="26"/>
              <w:keepNext w:val="0"/>
              <w:keepLines w:val="0"/>
              <w:pageBreakBefore w:val="0"/>
              <w:widowControl w:val="0"/>
              <w:kinsoku/>
              <w:wordWrap/>
              <w:overflowPunct/>
              <w:topLinePunct w:val="0"/>
              <w:autoSpaceDE/>
              <w:autoSpaceDN/>
              <w:bidi w:val="0"/>
              <w:adjustRightInd/>
              <w:snapToGrid/>
              <w:spacing w:before="52" w:line="480" w:lineRule="exact"/>
              <w:ind w:right="119"/>
              <w:jc w:val="center"/>
              <w:textAlignment w:val="auto"/>
              <w:rPr>
                <w:rFonts w:hint="eastAsia" w:ascii="宋体" w:hAnsi="宋体" w:eastAsia="宋体" w:cs="宋体"/>
                <w:color w:val="000000" w:themeColor="text1"/>
                <w:spacing w:val="-4"/>
                <w:sz w:val="21"/>
                <w:szCs w:val="21"/>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符合项所占比例</w:t>
            </w:r>
          </w:p>
        </w:tc>
        <w:tc>
          <w:tcPr>
            <w:tcW w:w="876" w:type="dxa"/>
            <w:noWrap w:val="0"/>
            <w:vAlign w:val="center"/>
          </w:tcPr>
          <w:p w14:paraId="5C17DAE3">
            <w:pPr>
              <w:pStyle w:val="26"/>
              <w:keepNext w:val="0"/>
              <w:keepLines w:val="0"/>
              <w:pageBreakBefore w:val="0"/>
              <w:widowControl w:val="0"/>
              <w:kinsoku/>
              <w:wordWrap/>
              <w:overflowPunct/>
              <w:topLinePunct w:val="0"/>
              <w:autoSpaceDE/>
              <w:autoSpaceDN/>
              <w:bidi w:val="0"/>
              <w:adjustRightInd/>
              <w:snapToGrid/>
              <w:spacing w:before="52" w:line="480" w:lineRule="exact"/>
              <w:ind w:right="119"/>
              <w:jc w:val="center"/>
              <w:textAlignment w:val="auto"/>
              <w:rPr>
                <w:rFonts w:hint="eastAsia" w:ascii="宋体" w:hAnsi="宋体" w:eastAsia="宋体" w:cs="宋体"/>
                <w:color w:val="000000" w:themeColor="text1"/>
                <w:spacing w:val="-4"/>
                <w:sz w:val="21"/>
                <w:szCs w:val="21"/>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不符合项</w:t>
            </w:r>
          </w:p>
        </w:tc>
        <w:tc>
          <w:tcPr>
            <w:tcW w:w="1056" w:type="dxa"/>
            <w:noWrap w:val="0"/>
            <w:vAlign w:val="center"/>
          </w:tcPr>
          <w:p w14:paraId="52615416">
            <w:pPr>
              <w:pStyle w:val="26"/>
              <w:keepNext w:val="0"/>
              <w:keepLines w:val="0"/>
              <w:pageBreakBefore w:val="0"/>
              <w:widowControl w:val="0"/>
              <w:kinsoku/>
              <w:wordWrap/>
              <w:overflowPunct/>
              <w:topLinePunct w:val="0"/>
              <w:autoSpaceDE/>
              <w:autoSpaceDN/>
              <w:bidi w:val="0"/>
              <w:adjustRightInd/>
              <w:snapToGrid/>
              <w:spacing w:before="52" w:line="480" w:lineRule="exact"/>
              <w:ind w:right="119"/>
              <w:jc w:val="center"/>
              <w:textAlignment w:val="auto"/>
              <w:rPr>
                <w:rFonts w:hint="eastAsia" w:ascii="宋体" w:hAnsi="宋体" w:eastAsia="宋体" w:cs="宋体"/>
                <w:color w:val="000000" w:themeColor="text1"/>
                <w:spacing w:val="-4"/>
                <w:sz w:val="21"/>
                <w:szCs w:val="21"/>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不符合项目所占比</w:t>
            </w:r>
          </w:p>
        </w:tc>
        <w:tc>
          <w:tcPr>
            <w:tcW w:w="816" w:type="dxa"/>
            <w:noWrap w:val="0"/>
            <w:vAlign w:val="center"/>
          </w:tcPr>
          <w:p w14:paraId="63F69212">
            <w:pPr>
              <w:pStyle w:val="26"/>
              <w:keepNext w:val="0"/>
              <w:keepLines w:val="0"/>
              <w:pageBreakBefore w:val="0"/>
              <w:widowControl w:val="0"/>
              <w:kinsoku/>
              <w:wordWrap/>
              <w:overflowPunct/>
              <w:topLinePunct w:val="0"/>
              <w:autoSpaceDE/>
              <w:autoSpaceDN/>
              <w:bidi w:val="0"/>
              <w:adjustRightInd/>
              <w:snapToGrid/>
              <w:spacing w:before="52" w:line="480" w:lineRule="exact"/>
              <w:ind w:right="119"/>
              <w:jc w:val="center"/>
              <w:textAlignment w:val="auto"/>
              <w:rPr>
                <w:rFonts w:hint="default"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不涉及项数</w:t>
            </w:r>
          </w:p>
        </w:tc>
        <w:tc>
          <w:tcPr>
            <w:tcW w:w="1253" w:type="dxa"/>
            <w:noWrap w:val="0"/>
            <w:vAlign w:val="center"/>
          </w:tcPr>
          <w:p w14:paraId="40BB93F7">
            <w:pPr>
              <w:pStyle w:val="26"/>
              <w:keepNext w:val="0"/>
              <w:keepLines w:val="0"/>
              <w:pageBreakBefore w:val="0"/>
              <w:widowControl w:val="0"/>
              <w:kinsoku/>
              <w:wordWrap/>
              <w:overflowPunct/>
              <w:topLinePunct w:val="0"/>
              <w:autoSpaceDE/>
              <w:autoSpaceDN/>
              <w:bidi w:val="0"/>
              <w:adjustRightInd/>
              <w:snapToGrid/>
              <w:spacing w:before="52" w:line="480" w:lineRule="exact"/>
              <w:ind w:right="119"/>
              <w:jc w:val="center"/>
              <w:textAlignment w:val="auto"/>
              <w:rPr>
                <w:rFonts w:hint="default" w:ascii="宋体" w:hAnsi="宋体" w:eastAsia="宋体" w:cs="宋体"/>
                <w:color w:val="000000" w:themeColor="text1"/>
                <w:spacing w:val="-4"/>
                <w:sz w:val="21"/>
                <w:szCs w:val="21"/>
                <w:lang w:val="en-US"/>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不涉及项所占比例</w:t>
            </w:r>
          </w:p>
        </w:tc>
      </w:tr>
      <w:tr w14:paraId="601D2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6" w:hRule="atLeast"/>
        </w:trPr>
        <w:tc>
          <w:tcPr>
            <w:tcW w:w="1802" w:type="dxa"/>
            <w:noWrap w:val="0"/>
            <w:vAlign w:val="center"/>
          </w:tcPr>
          <w:p w14:paraId="7D5182A3">
            <w:pPr>
              <w:pStyle w:val="26"/>
              <w:keepNext w:val="0"/>
              <w:keepLines w:val="0"/>
              <w:pageBreakBefore w:val="0"/>
              <w:widowControl w:val="0"/>
              <w:kinsoku/>
              <w:wordWrap/>
              <w:overflowPunct/>
              <w:topLinePunct w:val="0"/>
              <w:autoSpaceDE/>
              <w:autoSpaceDN/>
              <w:bidi w:val="0"/>
              <w:spacing w:before="106" w:line="48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安全设施“三同时</w:t>
            </w:r>
            <w:r>
              <w:rPr>
                <w:rFonts w:hint="eastAsia" w:ascii="宋体" w:hAnsi="宋体" w:eastAsia="宋体" w:cs="宋体"/>
                <w:color w:val="000000" w:themeColor="text1"/>
                <w:spacing w:val="-81"/>
                <w:sz w:val="21"/>
                <w:szCs w:val="21"/>
                <w14:textFill>
                  <w14:solidFill>
                    <w14:schemeClr w14:val="tx1"/>
                  </w14:solidFill>
                </w14:textFill>
              </w:rPr>
              <w:t xml:space="preserve"> </w:t>
            </w:r>
            <w:r>
              <w:rPr>
                <w:rFonts w:hint="eastAsia" w:ascii="宋体" w:hAnsi="宋体" w:eastAsia="宋体" w:cs="宋体"/>
                <w:color w:val="000000" w:themeColor="text1"/>
                <w:spacing w:val="-5"/>
                <w:sz w:val="21"/>
                <w:szCs w:val="21"/>
                <w14:textFill>
                  <w14:solidFill>
                    <w14:schemeClr w14:val="tx1"/>
                  </w14:solidFill>
                </w14:textFill>
              </w:rPr>
              <w:t>”程序</w:t>
            </w:r>
          </w:p>
        </w:tc>
        <w:tc>
          <w:tcPr>
            <w:tcW w:w="984" w:type="dxa"/>
            <w:noWrap w:val="0"/>
            <w:vAlign w:val="center"/>
          </w:tcPr>
          <w:p w14:paraId="3AA44A4B">
            <w:pPr>
              <w:pStyle w:val="26"/>
              <w:keepNext w:val="0"/>
              <w:keepLines w:val="0"/>
              <w:pageBreakBefore w:val="0"/>
              <w:widowControl w:val="0"/>
              <w:kinsoku/>
              <w:wordWrap/>
              <w:overflowPunct/>
              <w:topLinePunct w:val="0"/>
              <w:autoSpaceDE/>
              <w:autoSpaceDN/>
              <w:bidi w:val="0"/>
              <w:spacing w:before="146" w:line="480" w:lineRule="exact"/>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w:t>
            </w:r>
          </w:p>
        </w:tc>
        <w:tc>
          <w:tcPr>
            <w:tcW w:w="900" w:type="dxa"/>
            <w:noWrap w:val="0"/>
            <w:vAlign w:val="center"/>
          </w:tcPr>
          <w:p w14:paraId="3BCC3CD8">
            <w:pPr>
              <w:pStyle w:val="26"/>
              <w:keepNext w:val="0"/>
              <w:keepLines w:val="0"/>
              <w:pageBreakBefore w:val="0"/>
              <w:widowControl w:val="0"/>
              <w:kinsoku/>
              <w:wordWrap/>
              <w:overflowPunct/>
              <w:topLinePunct w:val="0"/>
              <w:autoSpaceDE/>
              <w:autoSpaceDN/>
              <w:bidi w:val="0"/>
              <w:spacing w:before="146" w:line="480" w:lineRule="exact"/>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w:t>
            </w:r>
          </w:p>
        </w:tc>
        <w:tc>
          <w:tcPr>
            <w:tcW w:w="1200" w:type="dxa"/>
            <w:noWrap w:val="0"/>
            <w:vAlign w:val="center"/>
          </w:tcPr>
          <w:p w14:paraId="2224D556">
            <w:pPr>
              <w:pStyle w:val="26"/>
              <w:keepNext w:val="0"/>
              <w:keepLines w:val="0"/>
              <w:pageBreakBefore w:val="0"/>
              <w:widowControl w:val="0"/>
              <w:kinsoku/>
              <w:wordWrap/>
              <w:overflowPunct/>
              <w:topLinePunct w:val="0"/>
              <w:autoSpaceDE/>
              <w:autoSpaceDN/>
              <w:bidi w:val="0"/>
              <w:spacing w:before="106" w:line="48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100%</w:t>
            </w:r>
          </w:p>
        </w:tc>
        <w:tc>
          <w:tcPr>
            <w:tcW w:w="876" w:type="dxa"/>
            <w:noWrap w:val="0"/>
            <w:vAlign w:val="center"/>
          </w:tcPr>
          <w:p w14:paraId="165BB7B2">
            <w:pPr>
              <w:pStyle w:val="26"/>
              <w:keepNext w:val="0"/>
              <w:keepLines w:val="0"/>
              <w:pageBreakBefore w:val="0"/>
              <w:widowControl w:val="0"/>
              <w:kinsoku/>
              <w:wordWrap/>
              <w:overflowPunct/>
              <w:topLinePunct w:val="0"/>
              <w:autoSpaceDE/>
              <w:autoSpaceDN/>
              <w:bidi w:val="0"/>
              <w:spacing w:before="144" w:line="48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0</w:t>
            </w:r>
          </w:p>
        </w:tc>
        <w:tc>
          <w:tcPr>
            <w:tcW w:w="1056" w:type="dxa"/>
            <w:noWrap w:val="0"/>
            <w:vAlign w:val="center"/>
          </w:tcPr>
          <w:p w14:paraId="4B157D0F">
            <w:pPr>
              <w:pStyle w:val="26"/>
              <w:keepNext w:val="0"/>
              <w:keepLines w:val="0"/>
              <w:pageBreakBefore w:val="0"/>
              <w:widowControl w:val="0"/>
              <w:kinsoku/>
              <w:wordWrap/>
              <w:overflowPunct/>
              <w:topLinePunct w:val="0"/>
              <w:autoSpaceDE/>
              <w:autoSpaceDN/>
              <w:bidi w:val="0"/>
              <w:spacing w:before="144" w:line="48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0</w:t>
            </w:r>
          </w:p>
        </w:tc>
        <w:tc>
          <w:tcPr>
            <w:tcW w:w="816" w:type="dxa"/>
            <w:noWrap w:val="0"/>
            <w:vAlign w:val="center"/>
          </w:tcPr>
          <w:p w14:paraId="6B8A8063">
            <w:pPr>
              <w:pStyle w:val="26"/>
              <w:keepNext w:val="0"/>
              <w:keepLines w:val="0"/>
              <w:pageBreakBefore w:val="0"/>
              <w:widowControl w:val="0"/>
              <w:kinsoku/>
              <w:wordWrap/>
              <w:overflowPunct/>
              <w:topLinePunct w:val="0"/>
              <w:autoSpaceDE/>
              <w:autoSpaceDN/>
              <w:bidi w:val="0"/>
              <w:spacing w:before="144" w:line="480" w:lineRule="exact"/>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c>
          <w:tcPr>
            <w:tcW w:w="1253" w:type="dxa"/>
            <w:noWrap w:val="0"/>
            <w:vAlign w:val="center"/>
          </w:tcPr>
          <w:p w14:paraId="3A1725F5">
            <w:pPr>
              <w:pStyle w:val="26"/>
              <w:keepNext w:val="0"/>
              <w:keepLines w:val="0"/>
              <w:pageBreakBefore w:val="0"/>
              <w:widowControl w:val="0"/>
              <w:kinsoku/>
              <w:wordWrap/>
              <w:overflowPunct/>
              <w:topLinePunct w:val="0"/>
              <w:autoSpaceDE/>
              <w:autoSpaceDN/>
              <w:bidi w:val="0"/>
              <w:spacing w:before="144" w:line="480" w:lineRule="exact"/>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r>
      <w:tr w14:paraId="6D2FB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6" w:hRule="atLeast"/>
        </w:trPr>
        <w:tc>
          <w:tcPr>
            <w:tcW w:w="1802" w:type="dxa"/>
            <w:noWrap w:val="0"/>
            <w:vAlign w:val="center"/>
          </w:tcPr>
          <w:p w14:paraId="0F0B0E0B">
            <w:pPr>
              <w:pStyle w:val="26"/>
              <w:keepNext w:val="0"/>
              <w:keepLines w:val="0"/>
              <w:pageBreakBefore w:val="0"/>
              <w:widowControl w:val="0"/>
              <w:kinsoku/>
              <w:wordWrap/>
              <w:overflowPunct/>
              <w:topLinePunct w:val="0"/>
              <w:autoSpaceDE/>
              <w:autoSpaceDN/>
              <w:bidi w:val="0"/>
              <w:spacing w:before="108" w:line="480" w:lineRule="exact"/>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pacing w:val="-2"/>
                <w:sz w:val="21"/>
                <w:szCs w:val="21"/>
                <w14:textFill>
                  <w14:solidFill>
                    <w14:schemeClr w14:val="tx1"/>
                  </w14:solidFill>
                </w14:textFill>
              </w:rPr>
              <w:t>总平面布置</w:t>
            </w:r>
            <w:r>
              <w:rPr>
                <w:rFonts w:hint="eastAsia" w:ascii="宋体" w:hAnsi="宋体" w:eastAsia="宋体" w:cs="宋体"/>
                <w:color w:val="000000" w:themeColor="text1"/>
                <w:spacing w:val="-2"/>
                <w:sz w:val="21"/>
                <w:szCs w:val="21"/>
                <w:lang w:val="en-US" w:eastAsia="zh-CN"/>
                <w14:textFill>
                  <w14:solidFill>
                    <w14:schemeClr w14:val="tx1"/>
                  </w14:solidFill>
                </w14:textFill>
              </w:rPr>
              <w:t>单元</w:t>
            </w:r>
          </w:p>
        </w:tc>
        <w:tc>
          <w:tcPr>
            <w:tcW w:w="984" w:type="dxa"/>
            <w:noWrap w:val="0"/>
            <w:vAlign w:val="center"/>
          </w:tcPr>
          <w:p w14:paraId="0654D41C">
            <w:pPr>
              <w:pStyle w:val="26"/>
              <w:keepNext w:val="0"/>
              <w:keepLines w:val="0"/>
              <w:pageBreakBefore w:val="0"/>
              <w:widowControl w:val="0"/>
              <w:kinsoku/>
              <w:wordWrap/>
              <w:overflowPunct/>
              <w:topLinePunct w:val="0"/>
              <w:autoSpaceDE/>
              <w:autoSpaceDN/>
              <w:bidi w:val="0"/>
              <w:spacing w:before="147" w:line="480" w:lineRule="exact"/>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pacing w:val="-8"/>
                <w:sz w:val="21"/>
                <w:szCs w:val="21"/>
                <w:lang w:val="en-US" w:eastAsia="zh-CN"/>
                <w14:textFill>
                  <w14:solidFill>
                    <w14:schemeClr w14:val="tx1"/>
                  </w14:solidFill>
                </w14:textFill>
              </w:rPr>
              <w:t>18</w:t>
            </w:r>
          </w:p>
        </w:tc>
        <w:tc>
          <w:tcPr>
            <w:tcW w:w="900" w:type="dxa"/>
            <w:noWrap w:val="0"/>
            <w:vAlign w:val="center"/>
          </w:tcPr>
          <w:p w14:paraId="61873498">
            <w:pPr>
              <w:pStyle w:val="26"/>
              <w:keepNext w:val="0"/>
              <w:keepLines w:val="0"/>
              <w:pageBreakBefore w:val="0"/>
              <w:widowControl w:val="0"/>
              <w:kinsoku/>
              <w:wordWrap/>
              <w:overflowPunct/>
              <w:topLinePunct w:val="0"/>
              <w:autoSpaceDE/>
              <w:autoSpaceDN/>
              <w:bidi w:val="0"/>
              <w:spacing w:before="147" w:line="480" w:lineRule="exact"/>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pacing w:val="-7"/>
                <w:sz w:val="21"/>
                <w:szCs w:val="21"/>
                <w:lang w:val="en-US" w:eastAsia="zh-CN"/>
                <w14:textFill>
                  <w14:solidFill>
                    <w14:schemeClr w14:val="tx1"/>
                  </w14:solidFill>
                </w14:textFill>
              </w:rPr>
              <w:t>1</w:t>
            </w:r>
            <w:r>
              <w:rPr>
                <w:rFonts w:hint="eastAsia" w:cs="宋体"/>
                <w:color w:val="000000" w:themeColor="text1"/>
                <w:spacing w:val="-7"/>
                <w:sz w:val="21"/>
                <w:szCs w:val="21"/>
                <w:lang w:val="en-US" w:eastAsia="zh-CN"/>
                <w14:textFill>
                  <w14:solidFill>
                    <w14:schemeClr w14:val="tx1"/>
                  </w14:solidFill>
                </w14:textFill>
              </w:rPr>
              <w:t>6</w:t>
            </w:r>
          </w:p>
        </w:tc>
        <w:tc>
          <w:tcPr>
            <w:tcW w:w="1200" w:type="dxa"/>
            <w:noWrap w:val="0"/>
            <w:vAlign w:val="center"/>
          </w:tcPr>
          <w:p w14:paraId="143238C8">
            <w:pPr>
              <w:pStyle w:val="26"/>
              <w:keepNext w:val="0"/>
              <w:keepLines w:val="0"/>
              <w:pageBreakBefore w:val="0"/>
              <w:widowControl w:val="0"/>
              <w:kinsoku/>
              <w:wordWrap/>
              <w:overflowPunct/>
              <w:topLinePunct w:val="0"/>
              <w:autoSpaceDE/>
              <w:autoSpaceDN/>
              <w:bidi w:val="0"/>
              <w:spacing w:before="109" w:line="480" w:lineRule="exact"/>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pacing w:val="-7"/>
                <w:sz w:val="21"/>
                <w:szCs w:val="21"/>
                <w:lang w:val="en-US" w:eastAsia="zh-CN"/>
                <w14:textFill>
                  <w14:solidFill>
                    <w14:schemeClr w14:val="tx1"/>
                  </w14:solidFill>
                </w14:textFill>
              </w:rPr>
              <w:t>88.9</w:t>
            </w:r>
            <w:r>
              <w:rPr>
                <w:rFonts w:hint="eastAsia" w:ascii="宋体" w:hAnsi="宋体" w:eastAsia="宋体" w:cs="宋体"/>
                <w:color w:val="000000" w:themeColor="text1"/>
                <w:spacing w:val="-7"/>
                <w:sz w:val="21"/>
                <w:szCs w:val="21"/>
                <w14:textFill>
                  <w14:solidFill>
                    <w14:schemeClr w14:val="tx1"/>
                  </w14:solidFill>
                </w14:textFill>
              </w:rPr>
              <w:t>%</w:t>
            </w:r>
          </w:p>
        </w:tc>
        <w:tc>
          <w:tcPr>
            <w:tcW w:w="876" w:type="dxa"/>
            <w:noWrap w:val="0"/>
            <w:vAlign w:val="center"/>
          </w:tcPr>
          <w:p w14:paraId="0AB18730">
            <w:pPr>
              <w:pStyle w:val="26"/>
              <w:keepNext w:val="0"/>
              <w:keepLines w:val="0"/>
              <w:pageBreakBefore w:val="0"/>
              <w:widowControl w:val="0"/>
              <w:kinsoku/>
              <w:wordWrap/>
              <w:overflowPunct/>
              <w:topLinePunct w:val="0"/>
              <w:autoSpaceDE/>
              <w:autoSpaceDN/>
              <w:bidi w:val="0"/>
              <w:spacing w:before="147" w:line="480" w:lineRule="exact"/>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2</w:t>
            </w:r>
          </w:p>
        </w:tc>
        <w:tc>
          <w:tcPr>
            <w:tcW w:w="1056" w:type="dxa"/>
            <w:noWrap w:val="0"/>
            <w:vAlign w:val="center"/>
          </w:tcPr>
          <w:p w14:paraId="718DC225">
            <w:pPr>
              <w:pStyle w:val="26"/>
              <w:keepNext w:val="0"/>
              <w:keepLines w:val="0"/>
              <w:pageBreakBefore w:val="0"/>
              <w:widowControl w:val="0"/>
              <w:kinsoku/>
              <w:wordWrap/>
              <w:overflowPunct/>
              <w:topLinePunct w:val="0"/>
              <w:autoSpaceDE/>
              <w:autoSpaceDN/>
              <w:bidi w:val="0"/>
              <w:spacing w:before="109" w:line="480" w:lineRule="exact"/>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pacing w:val="-7"/>
                <w:sz w:val="21"/>
                <w:szCs w:val="21"/>
                <w:lang w:val="en-US" w:eastAsia="zh-CN"/>
                <w14:textFill>
                  <w14:solidFill>
                    <w14:schemeClr w14:val="tx1"/>
                  </w14:solidFill>
                </w14:textFill>
              </w:rPr>
              <w:t>12.1</w:t>
            </w:r>
            <w:r>
              <w:rPr>
                <w:rFonts w:hint="eastAsia" w:ascii="宋体" w:hAnsi="宋体" w:eastAsia="宋体" w:cs="宋体"/>
                <w:color w:val="000000" w:themeColor="text1"/>
                <w:spacing w:val="-7"/>
                <w:sz w:val="21"/>
                <w:szCs w:val="21"/>
                <w14:textFill>
                  <w14:solidFill>
                    <w14:schemeClr w14:val="tx1"/>
                  </w14:solidFill>
                </w14:textFill>
              </w:rPr>
              <w:t>%</w:t>
            </w:r>
          </w:p>
        </w:tc>
        <w:tc>
          <w:tcPr>
            <w:tcW w:w="816" w:type="dxa"/>
            <w:noWrap w:val="0"/>
            <w:vAlign w:val="center"/>
          </w:tcPr>
          <w:p w14:paraId="3229CFFF">
            <w:pPr>
              <w:pStyle w:val="26"/>
              <w:keepNext w:val="0"/>
              <w:keepLines w:val="0"/>
              <w:pageBreakBefore w:val="0"/>
              <w:widowControl w:val="0"/>
              <w:kinsoku/>
              <w:wordWrap/>
              <w:overflowPunct/>
              <w:topLinePunct w:val="0"/>
              <w:autoSpaceDE/>
              <w:autoSpaceDN/>
              <w:bidi w:val="0"/>
              <w:spacing w:before="109" w:line="480" w:lineRule="exact"/>
              <w:jc w:val="center"/>
              <w:textAlignment w:val="auto"/>
              <w:rPr>
                <w:rFonts w:hint="eastAsia" w:ascii="宋体" w:hAnsi="宋体" w:eastAsia="宋体" w:cs="宋体"/>
                <w:color w:val="000000" w:themeColor="text1"/>
                <w:spacing w:val="-3"/>
                <w:sz w:val="21"/>
                <w:szCs w:val="21"/>
                <w:lang w:val="en-US" w:eastAsia="zh-CN"/>
                <w14:textFill>
                  <w14:solidFill>
                    <w14:schemeClr w14:val="tx1"/>
                  </w14:solidFill>
                </w14:textFill>
              </w:rPr>
            </w:pPr>
            <w:r>
              <w:rPr>
                <w:rFonts w:hint="eastAsia" w:ascii="宋体" w:hAnsi="宋体" w:eastAsia="宋体" w:cs="宋体"/>
                <w:color w:val="000000" w:themeColor="text1"/>
                <w:spacing w:val="-3"/>
                <w:sz w:val="21"/>
                <w:szCs w:val="21"/>
                <w:lang w:val="en-US" w:eastAsia="zh-CN"/>
                <w14:textFill>
                  <w14:solidFill>
                    <w14:schemeClr w14:val="tx1"/>
                  </w14:solidFill>
                </w14:textFill>
              </w:rPr>
              <w:t>0</w:t>
            </w:r>
          </w:p>
        </w:tc>
        <w:tc>
          <w:tcPr>
            <w:tcW w:w="1253" w:type="dxa"/>
            <w:noWrap w:val="0"/>
            <w:vAlign w:val="center"/>
          </w:tcPr>
          <w:p w14:paraId="3EE50DEF">
            <w:pPr>
              <w:pStyle w:val="26"/>
              <w:keepNext w:val="0"/>
              <w:keepLines w:val="0"/>
              <w:pageBreakBefore w:val="0"/>
              <w:widowControl w:val="0"/>
              <w:kinsoku/>
              <w:wordWrap/>
              <w:overflowPunct/>
              <w:topLinePunct w:val="0"/>
              <w:autoSpaceDE/>
              <w:autoSpaceDN/>
              <w:bidi w:val="0"/>
              <w:spacing w:before="109" w:line="480" w:lineRule="exact"/>
              <w:jc w:val="center"/>
              <w:textAlignment w:val="auto"/>
              <w:rPr>
                <w:rFonts w:hint="eastAsia" w:ascii="宋体" w:hAnsi="宋体" w:eastAsia="宋体" w:cs="宋体"/>
                <w:color w:val="000000" w:themeColor="text1"/>
                <w:spacing w:val="-3"/>
                <w:sz w:val="21"/>
                <w:szCs w:val="21"/>
                <w:lang w:val="en-US" w:eastAsia="zh-CN"/>
                <w14:textFill>
                  <w14:solidFill>
                    <w14:schemeClr w14:val="tx1"/>
                  </w14:solidFill>
                </w14:textFill>
              </w:rPr>
            </w:pPr>
            <w:r>
              <w:rPr>
                <w:rFonts w:hint="eastAsia" w:ascii="宋体" w:hAnsi="宋体" w:eastAsia="宋体" w:cs="宋体"/>
                <w:color w:val="000000" w:themeColor="text1"/>
                <w:spacing w:val="-3"/>
                <w:sz w:val="21"/>
                <w:szCs w:val="21"/>
                <w:lang w:val="en-US" w:eastAsia="zh-CN"/>
                <w14:textFill>
                  <w14:solidFill>
                    <w14:schemeClr w14:val="tx1"/>
                  </w14:solidFill>
                </w14:textFill>
              </w:rPr>
              <w:t>0</w:t>
            </w:r>
          </w:p>
        </w:tc>
      </w:tr>
      <w:tr w14:paraId="569B2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6" w:hRule="atLeast"/>
        </w:trPr>
        <w:tc>
          <w:tcPr>
            <w:tcW w:w="1802" w:type="dxa"/>
            <w:noWrap w:val="0"/>
            <w:vAlign w:val="center"/>
          </w:tcPr>
          <w:p w14:paraId="33B9D0BC">
            <w:pPr>
              <w:pStyle w:val="26"/>
              <w:keepNext w:val="0"/>
              <w:keepLines w:val="0"/>
              <w:pageBreakBefore w:val="0"/>
              <w:widowControl w:val="0"/>
              <w:kinsoku/>
              <w:wordWrap/>
              <w:overflowPunct/>
              <w:topLinePunct w:val="0"/>
              <w:autoSpaceDE/>
              <w:autoSpaceDN/>
              <w:bidi w:val="0"/>
              <w:spacing w:before="112" w:line="48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2"/>
                <w:sz w:val="21"/>
                <w:szCs w:val="21"/>
                <w14:textFill>
                  <w14:solidFill>
                    <w14:schemeClr w14:val="tx1"/>
                  </w14:solidFill>
                </w14:textFill>
              </w:rPr>
              <w:t>建（构）筑物等土建工程单元</w:t>
            </w:r>
          </w:p>
        </w:tc>
        <w:tc>
          <w:tcPr>
            <w:tcW w:w="984" w:type="dxa"/>
            <w:noWrap w:val="0"/>
            <w:vAlign w:val="center"/>
          </w:tcPr>
          <w:p w14:paraId="3A038EF9">
            <w:pPr>
              <w:pStyle w:val="26"/>
              <w:keepNext w:val="0"/>
              <w:keepLines w:val="0"/>
              <w:pageBreakBefore w:val="0"/>
              <w:widowControl w:val="0"/>
              <w:kinsoku/>
              <w:wordWrap/>
              <w:overflowPunct/>
              <w:topLinePunct w:val="0"/>
              <w:autoSpaceDE/>
              <w:autoSpaceDN/>
              <w:bidi w:val="0"/>
              <w:spacing w:before="149" w:line="480" w:lineRule="exact"/>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pacing w:val="-8"/>
                <w:sz w:val="21"/>
                <w:szCs w:val="21"/>
                <w:lang w:val="en-US" w:eastAsia="zh-CN"/>
                <w14:textFill>
                  <w14:solidFill>
                    <w14:schemeClr w14:val="tx1"/>
                  </w14:solidFill>
                </w14:textFill>
              </w:rPr>
              <w:t>14</w:t>
            </w:r>
          </w:p>
        </w:tc>
        <w:tc>
          <w:tcPr>
            <w:tcW w:w="900" w:type="dxa"/>
            <w:noWrap w:val="0"/>
            <w:vAlign w:val="center"/>
          </w:tcPr>
          <w:p w14:paraId="7E592D7A">
            <w:pPr>
              <w:pStyle w:val="26"/>
              <w:keepNext w:val="0"/>
              <w:keepLines w:val="0"/>
              <w:pageBreakBefore w:val="0"/>
              <w:widowControl w:val="0"/>
              <w:kinsoku/>
              <w:wordWrap/>
              <w:overflowPunct/>
              <w:topLinePunct w:val="0"/>
              <w:autoSpaceDE/>
              <w:autoSpaceDN/>
              <w:bidi w:val="0"/>
              <w:spacing w:before="149" w:line="480" w:lineRule="exact"/>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pacing w:val="-8"/>
                <w:sz w:val="21"/>
                <w:szCs w:val="21"/>
                <w:lang w:val="en-US" w:eastAsia="zh-CN"/>
                <w14:textFill>
                  <w14:solidFill>
                    <w14:schemeClr w14:val="tx1"/>
                  </w14:solidFill>
                </w14:textFill>
              </w:rPr>
              <w:t>14</w:t>
            </w:r>
          </w:p>
        </w:tc>
        <w:tc>
          <w:tcPr>
            <w:tcW w:w="1200" w:type="dxa"/>
            <w:noWrap w:val="0"/>
            <w:vAlign w:val="center"/>
          </w:tcPr>
          <w:p w14:paraId="56A47EB0">
            <w:pPr>
              <w:pStyle w:val="26"/>
              <w:keepNext w:val="0"/>
              <w:keepLines w:val="0"/>
              <w:pageBreakBefore w:val="0"/>
              <w:widowControl w:val="0"/>
              <w:kinsoku/>
              <w:wordWrap/>
              <w:overflowPunct/>
              <w:topLinePunct w:val="0"/>
              <w:autoSpaceDE/>
              <w:autoSpaceDN/>
              <w:bidi w:val="0"/>
              <w:spacing w:before="111" w:line="48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100%</w:t>
            </w:r>
          </w:p>
        </w:tc>
        <w:tc>
          <w:tcPr>
            <w:tcW w:w="876" w:type="dxa"/>
            <w:noWrap w:val="0"/>
            <w:vAlign w:val="center"/>
          </w:tcPr>
          <w:p w14:paraId="4FB6288E">
            <w:pPr>
              <w:pStyle w:val="26"/>
              <w:keepNext w:val="0"/>
              <w:keepLines w:val="0"/>
              <w:pageBreakBefore w:val="0"/>
              <w:widowControl w:val="0"/>
              <w:kinsoku/>
              <w:wordWrap/>
              <w:overflowPunct/>
              <w:topLinePunct w:val="0"/>
              <w:autoSpaceDE/>
              <w:autoSpaceDN/>
              <w:bidi w:val="0"/>
              <w:spacing w:before="149" w:line="48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0</w:t>
            </w:r>
          </w:p>
        </w:tc>
        <w:tc>
          <w:tcPr>
            <w:tcW w:w="1056" w:type="dxa"/>
            <w:noWrap w:val="0"/>
            <w:vAlign w:val="center"/>
          </w:tcPr>
          <w:p w14:paraId="0CD78FC5">
            <w:pPr>
              <w:pStyle w:val="26"/>
              <w:keepNext w:val="0"/>
              <w:keepLines w:val="0"/>
              <w:pageBreakBefore w:val="0"/>
              <w:widowControl w:val="0"/>
              <w:kinsoku/>
              <w:wordWrap/>
              <w:overflowPunct/>
              <w:topLinePunct w:val="0"/>
              <w:autoSpaceDE/>
              <w:autoSpaceDN/>
              <w:bidi w:val="0"/>
              <w:spacing w:before="149" w:line="48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0</w:t>
            </w:r>
          </w:p>
        </w:tc>
        <w:tc>
          <w:tcPr>
            <w:tcW w:w="816" w:type="dxa"/>
            <w:noWrap w:val="0"/>
            <w:vAlign w:val="center"/>
          </w:tcPr>
          <w:p w14:paraId="01B3D4A9">
            <w:pPr>
              <w:pStyle w:val="26"/>
              <w:keepNext w:val="0"/>
              <w:keepLines w:val="0"/>
              <w:pageBreakBefore w:val="0"/>
              <w:widowControl w:val="0"/>
              <w:kinsoku/>
              <w:wordWrap/>
              <w:overflowPunct/>
              <w:topLinePunct w:val="0"/>
              <w:autoSpaceDE/>
              <w:autoSpaceDN/>
              <w:bidi w:val="0"/>
              <w:spacing w:before="149" w:line="480" w:lineRule="exact"/>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c>
          <w:tcPr>
            <w:tcW w:w="1253" w:type="dxa"/>
            <w:noWrap w:val="0"/>
            <w:vAlign w:val="center"/>
          </w:tcPr>
          <w:p w14:paraId="63CDC180">
            <w:pPr>
              <w:pStyle w:val="26"/>
              <w:keepNext w:val="0"/>
              <w:keepLines w:val="0"/>
              <w:pageBreakBefore w:val="0"/>
              <w:widowControl w:val="0"/>
              <w:kinsoku/>
              <w:wordWrap/>
              <w:overflowPunct/>
              <w:topLinePunct w:val="0"/>
              <w:autoSpaceDE/>
              <w:autoSpaceDN/>
              <w:bidi w:val="0"/>
              <w:spacing w:before="149" w:line="480" w:lineRule="exact"/>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r>
      <w:tr w14:paraId="09082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6" w:hRule="atLeast"/>
        </w:trPr>
        <w:tc>
          <w:tcPr>
            <w:tcW w:w="1802" w:type="dxa"/>
            <w:noWrap w:val="0"/>
            <w:vAlign w:val="center"/>
          </w:tcPr>
          <w:p w14:paraId="6415147F">
            <w:pPr>
              <w:pStyle w:val="26"/>
              <w:keepNext w:val="0"/>
              <w:keepLines w:val="0"/>
              <w:pageBreakBefore w:val="0"/>
              <w:widowControl w:val="0"/>
              <w:kinsoku/>
              <w:wordWrap/>
              <w:overflowPunct/>
              <w:topLinePunct w:val="0"/>
              <w:autoSpaceDE/>
              <w:autoSpaceDN/>
              <w:bidi w:val="0"/>
              <w:spacing w:before="112" w:line="480" w:lineRule="exact"/>
              <w:jc w:val="center"/>
              <w:textAlignment w:val="auto"/>
              <w:rPr>
                <w:rFonts w:hint="eastAsia" w:ascii="宋体" w:hAnsi="宋体" w:eastAsia="宋体" w:cs="宋体"/>
                <w:color w:val="000000" w:themeColor="text1"/>
                <w:spacing w:val="-2"/>
                <w:sz w:val="21"/>
                <w:szCs w:val="21"/>
                <w14:textFill>
                  <w14:solidFill>
                    <w14:schemeClr w14:val="tx1"/>
                  </w14:solidFill>
                </w14:textFill>
              </w:rPr>
            </w:pPr>
            <w:r>
              <w:rPr>
                <w:rFonts w:hint="eastAsia" w:ascii="宋体" w:hAnsi="宋体" w:eastAsia="宋体" w:cs="宋体"/>
                <w:color w:val="000000" w:themeColor="text1"/>
                <w:spacing w:val="-2"/>
                <w:sz w:val="21"/>
                <w:szCs w:val="21"/>
                <w14:textFill>
                  <w14:solidFill>
                    <w14:schemeClr w14:val="tx1"/>
                  </w14:solidFill>
                </w14:textFill>
              </w:rPr>
              <w:t>光伏发电系统单元</w:t>
            </w:r>
          </w:p>
        </w:tc>
        <w:tc>
          <w:tcPr>
            <w:tcW w:w="984" w:type="dxa"/>
            <w:noWrap w:val="0"/>
            <w:vAlign w:val="center"/>
          </w:tcPr>
          <w:p w14:paraId="0AE05CD4">
            <w:pPr>
              <w:pStyle w:val="26"/>
              <w:keepNext w:val="0"/>
              <w:keepLines w:val="0"/>
              <w:pageBreakBefore w:val="0"/>
              <w:widowControl w:val="0"/>
              <w:kinsoku/>
              <w:wordWrap/>
              <w:overflowPunct/>
              <w:topLinePunct w:val="0"/>
              <w:autoSpaceDE/>
              <w:autoSpaceDN/>
              <w:bidi w:val="0"/>
              <w:spacing w:before="149" w:line="480" w:lineRule="exact"/>
              <w:jc w:val="center"/>
              <w:textAlignment w:val="auto"/>
              <w:rPr>
                <w:rFonts w:hint="default" w:ascii="宋体" w:hAnsi="宋体" w:eastAsia="宋体" w:cs="宋体"/>
                <w:color w:val="000000" w:themeColor="text1"/>
                <w:spacing w:val="-8"/>
                <w:sz w:val="21"/>
                <w:szCs w:val="21"/>
                <w:lang w:val="en-US" w:eastAsia="zh-CN"/>
                <w14:textFill>
                  <w14:solidFill>
                    <w14:schemeClr w14:val="tx1"/>
                  </w14:solidFill>
                </w14:textFill>
              </w:rPr>
            </w:pPr>
            <w:r>
              <w:rPr>
                <w:rFonts w:hint="eastAsia" w:ascii="宋体" w:hAnsi="宋体" w:eastAsia="宋体" w:cs="宋体"/>
                <w:color w:val="000000" w:themeColor="text1"/>
                <w:spacing w:val="-8"/>
                <w:sz w:val="21"/>
                <w:szCs w:val="21"/>
                <w:lang w:val="en-US" w:eastAsia="zh-CN"/>
                <w14:textFill>
                  <w14:solidFill>
                    <w14:schemeClr w14:val="tx1"/>
                  </w14:solidFill>
                </w14:textFill>
              </w:rPr>
              <w:t>17</w:t>
            </w:r>
          </w:p>
        </w:tc>
        <w:tc>
          <w:tcPr>
            <w:tcW w:w="900" w:type="dxa"/>
            <w:noWrap w:val="0"/>
            <w:vAlign w:val="center"/>
          </w:tcPr>
          <w:p w14:paraId="474FE756">
            <w:pPr>
              <w:pStyle w:val="26"/>
              <w:keepNext w:val="0"/>
              <w:keepLines w:val="0"/>
              <w:pageBreakBefore w:val="0"/>
              <w:widowControl w:val="0"/>
              <w:kinsoku/>
              <w:wordWrap/>
              <w:overflowPunct/>
              <w:topLinePunct w:val="0"/>
              <w:autoSpaceDE/>
              <w:autoSpaceDN/>
              <w:bidi w:val="0"/>
              <w:spacing w:before="149" w:line="480" w:lineRule="exact"/>
              <w:jc w:val="center"/>
              <w:textAlignment w:val="auto"/>
              <w:rPr>
                <w:rFonts w:hint="default" w:ascii="宋体" w:hAnsi="宋体" w:eastAsia="宋体" w:cs="宋体"/>
                <w:color w:val="000000" w:themeColor="text1"/>
                <w:spacing w:val="-8"/>
                <w:sz w:val="21"/>
                <w:szCs w:val="21"/>
                <w:lang w:val="en-US" w:eastAsia="zh-CN"/>
                <w14:textFill>
                  <w14:solidFill>
                    <w14:schemeClr w14:val="tx1"/>
                  </w14:solidFill>
                </w14:textFill>
              </w:rPr>
            </w:pPr>
            <w:r>
              <w:rPr>
                <w:rFonts w:hint="eastAsia" w:ascii="宋体" w:hAnsi="宋体" w:eastAsia="宋体" w:cs="宋体"/>
                <w:color w:val="000000" w:themeColor="text1"/>
                <w:spacing w:val="-8"/>
                <w:sz w:val="21"/>
                <w:szCs w:val="21"/>
                <w:lang w:val="en-US" w:eastAsia="zh-CN"/>
                <w14:textFill>
                  <w14:solidFill>
                    <w14:schemeClr w14:val="tx1"/>
                  </w14:solidFill>
                </w14:textFill>
              </w:rPr>
              <w:t>17</w:t>
            </w:r>
          </w:p>
        </w:tc>
        <w:tc>
          <w:tcPr>
            <w:tcW w:w="1200" w:type="dxa"/>
            <w:noWrap w:val="0"/>
            <w:vAlign w:val="center"/>
          </w:tcPr>
          <w:p w14:paraId="655ADC2A">
            <w:pPr>
              <w:pStyle w:val="26"/>
              <w:keepNext w:val="0"/>
              <w:keepLines w:val="0"/>
              <w:pageBreakBefore w:val="0"/>
              <w:widowControl w:val="0"/>
              <w:kinsoku/>
              <w:wordWrap/>
              <w:overflowPunct/>
              <w:topLinePunct w:val="0"/>
              <w:autoSpaceDE/>
              <w:autoSpaceDN/>
              <w:bidi w:val="0"/>
              <w:spacing w:before="111" w:line="480" w:lineRule="exact"/>
              <w:jc w:val="center"/>
              <w:textAlignment w:val="auto"/>
              <w:rPr>
                <w:rFonts w:hint="eastAsia" w:ascii="宋体" w:hAnsi="宋体" w:eastAsia="宋体" w:cs="宋体"/>
                <w:color w:val="000000" w:themeColor="text1"/>
                <w:spacing w:val="-7"/>
                <w:sz w:val="21"/>
                <w:szCs w:val="21"/>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100%</w:t>
            </w:r>
          </w:p>
        </w:tc>
        <w:tc>
          <w:tcPr>
            <w:tcW w:w="876" w:type="dxa"/>
            <w:noWrap w:val="0"/>
            <w:vAlign w:val="center"/>
          </w:tcPr>
          <w:p w14:paraId="2223BDC9">
            <w:pPr>
              <w:pStyle w:val="26"/>
              <w:keepNext w:val="0"/>
              <w:keepLines w:val="0"/>
              <w:pageBreakBefore w:val="0"/>
              <w:widowControl w:val="0"/>
              <w:kinsoku/>
              <w:wordWrap/>
              <w:overflowPunct/>
              <w:topLinePunct w:val="0"/>
              <w:autoSpaceDE/>
              <w:autoSpaceDN/>
              <w:bidi w:val="0"/>
              <w:spacing w:before="149" w:line="480" w:lineRule="exact"/>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0</w:t>
            </w:r>
          </w:p>
        </w:tc>
        <w:tc>
          <w:tcPr>
            <w:tcW w:w="1056" w:type="dxa"/>
            <w:noWrap w:val="0"/>
            <w:vAlign w:val="center"/>
          </w:tcPr>
          <w:p w14:paraId="02C9E684">
            <w:pPr>
              <w:pStyle w:val="26"/>
              <w:keepNext w:val="0"/>
              <w:keepLines w:val="0"/>
              <w:pageBreakBefore w:val="0"/>
              <w:widowControl w:val="0"/>
              <w:kinsoku/>
              <w:wordWrap/>
              <w:overflowPunct/>
              <w:topLinePunct w:val="0"/>
              <w:autoSpaceDE/>
              <w:autoSpaceDN/>
              <w:bidi w:val="0"/>
              <w:spacing w:before="149" w:line="480" w:lineRule="exact"/>
              <w:ind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0</w:t>
            </w:r>
          </w:p>
        </w:tc>
        <w:tc>
          <w:tcPr>
            <w:tcW w:w="816" w:type="dxa"/>
            <w:noWrap w:val="0"/>
            <w:vAlign w:val="center"/>
          </w:tcPr>
          <w:p w14:paraId="1E305268">
            <w:pPr>
              <w:pStyle w:val="26"/>
              <w:keepNext w:val="0"/>
              <w:keepLines w:val="0"/>
              <w:pageBreakBefore w:val="0"/>
              <w:widowControl w:val="0"/>
              <w:kinsoku/>
              <w:wordWrap/>
              <w:overflowPunct/>
              <w:topLinePunct w:val="0"/>
              <w:autoSpaceDE/>
              <w:autoSpaceDN/>
              <w:bidi w:val="0"/>
              <w:spacing w:before="149" w:line="480" w:lineRule="exact"/>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c>
          <w:tcPr>
            <w:tcW w:w="1253" w:type="dxa"/>
            <w:noWrap w:val="0"/>
            <w:vAlign w:val="center"/>
          </w:tcPr>
          <w:p w14:paraId="5705E6E4">
            <w:pPr>
              <w:pStyle w:val="26"/>
              <w:keepNext w:val="0"/>
              <w:keepLines w:val="0"/>
              <w:pageBreakBefore w:val="0"/>
              <w:widowControl w:val="0"/>
              <w:kinsoku/>
              <w:wordWrap/>
              <w:overflowPunct/>
              <w:topLinePunct w:val="0"/>
              <w:autoSpaceDE/>
              <w:autoSpaceDN/>
              <w:bidi w:val="0"/>
              <w:spacing w:before="149" w:line="480" w:lineRule="exact"/>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r>
      <w:tr w14:paraId="0EC1D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6" w:hRule="atLeast"/>
        </w:trPr>
        <w:tc>
          <w:tcPr>
            <w:tcW w:w="1802" w:type="dxa"/>
            <w:noWrap w:val="0"/>
            <w:vAlign w:val="center"/>
          </w:tcPr>
          <w:p w14:paraId="62D6A19C">
            <w:pPr>
              <w:pStyle w:val="26"/>
              <w:keepNext w:val="0"/>
              <w:keepLines w:val="0"/>
              <w:pageBreakBefore w:val="0"/>
              <w:widowControl w:val="0"/>
              <w:kinsoku/>
              <w:wordWrap/>
              <w:overflowPunct/>
              <w:topLinePunct w:val="0"/>
              <w:autoSpaceDE/>
              <w:autoSpaceDN/>
              <w:bidi w:val="0"/>
              <w:spacing w:before="112" w:line="480" w:lineRule="exact"/>
              <w:jc w:val="center"/>
              <w:textAlignment w:val="auto"/>
              <w:rPr>
                <w:rFonts w:hint="eastAsia" w:ascii="宋体" w:hAnsi="宋体" w:eastAsia="宋体" w:cs="宋体"/>
                <w:color w:val="000000" w:themeColor="text1"/>
                <w:spacing w:val="-2"/>
                <w:sz w:val="21"/>
                <w:szCs w:val="21"/>
                <w14:textFill>
                  <w14:solidFill>
                    <w14:schemeClr w14:val="tx1"/>
                  </w14:solidFill>
                </w14:textFill>
              </w:rPr>
            </w:pPr>
            <w:r>
              <w:rPr>
                <w:rFonts w:hint="eastAsia" w:ascii="宋体" w:hAnsi="宋体" w:eastAsia="宋体" w:cs="宋体"/>
                <w:color w:val="000000" w:themeColor="text1"/>
                <w:spacing w:val="-2"/>
                <w:sz w:val="21"/>
                <w:szCs w:val="21"/>
                <w14:textFill>
                  <w14:solidFill>
                    <w14:schemeClr w14:val="tx1"/>
                  </w14:solidFill>
                </w14:textFill>
              </w:rPr>
              <w:t>安全设备设施单元</w:t>
            </w:r>
          </w:p>
        </w:tc>
        <w:tc>
          <w:tcPr>
            <w:tcW w:w="984" w:type="dxa"/>
            <w:noWrap w:val="0"/>
            <w:vAlign w:val="center"/>
          </w:tcPr>
          <w:p w14:paraId="1BF2A132">
            <w:pPr>
              <w:pStyle w:val="26"/>
              <w:keepNext w:val="0"/>
              <w:keepLines w:val="0"/>
              <w:pageBreakBefore w:val="0"/>
              <w:widowControl w:val="0"/>
              <w:kinsoku/>
              <w:wordWrap/>
              <w:overflowPunct/>
              <w:topLinePunct w:val="0"/>
              <w:autoSpaceDE/>
              <w:autoSpaceDN/>
              <w:bidi w:val="0"/>
              <w:spacing w:before="149" w:line="480" w:lineRule="exact"/>
              <w:jc w:val="center"/>
              <w:textAlignment w:val="auto"/>
              <w:rPr>
                <w:rFonts w:hint="default" w:ascii="宋体" w:hAnsi="宋体" w:eastAsia="宋体" w:cs="宋体"/>
                <w:color w:val="000000" w:themeColor="text1"/>
                <w:spacing w:val="-8"/>
                <w:sz w:val="21"/>
                <w:szCs w:val="21"/>
                <w:lang w:val="en-US" w:eastAsia="zh-CN"/>
                <w14:textFill>
                  <w14:solidFill>
                    <w14:schemeClr w14:val="tx1"/>
                  </w14:solidFill>
                </w14:textFill>
              </w:rPr>
            </w:pPr>
            <w:r>
              <w:rPr>
                <w:rFonts w:hint="eastAsia" w:cs="宋体"/>
                <w:color w:val="000000" w:themeColor="text1"/>
                <w:spacing w:val="-8"/>
                <w:sz w:val="21"/>
                <w:szCs w:val="21"/>
                <w:lang w:val="en-US" w:eastAsia="zh-CN"/>
                <w14:textFill>
                  <w14:solidFill>
                    <w14:schemeClr w14:val="tx1"/>
                  </w14:solidFill>
                </w14:textFill>
              </w:rPr>
              <w:t>13</w:t>
            </w:r>
          </w:p>
        </w:tc>
        <w:tc>
          <w:tcPr>
            <w:tcW w:w="900" w:type="dxa"/>
            <w:noWrap w:val="0"/>
            <w:vAlign w:val="center"/>
          </w:tcPr>
          <w:p w14:paraId="0F9623AD">
            <w:pPr>
              <w:pStyle w:val="26"/>
              <w:keepNext w:val="0"/>
              <w:keepLines w:val="0"/>
              <w:pageBreakBefore w:val="0"/>
              <w:widowControl w:val="0"/>
              <w:kinsoku/>
              <w:wordWrap/>
              <w:overflowPunct/>
              <w:topLinePunct w:val="0"/>
              <w:autoSpaceDE/>
              <w:autoSpaceDN/>
              <w:bidi w:val="0"/>
              <w:spacing w:before="149" w:line="480" w:lineRule="exact"/>
              <w:jc w:val="center"/>
              <w:textAlignment w:val="auto"/>
              <w:rPr>
                <w:rFonts w:hint="default" w:ascii="宋体" w:hAnsi="宋体" w:eastAsia="宋体" w:cs="宋体"/>
                <w:color w:val="000000" w:themeColor="text1"/>
                <w:spacing w:val="-8"/>
                <w:sz w:val="21"/>
                <w:szCs w:val="21"/>
                <w:lang w:val="en-US" w:eastAsia="zh-CN"/>
                <w14:textFill>
                  <w14:solidFill>
                    <w14:schemeClr w14:val="tx1"/>
                  </w14:solidFill>
                </w14:textFill>
              </w:rPr>
            </w:pPr>
            <w:r>
              <w:rPr>
                <w:rFonts w:hint="eastAsia" w:cs="宋体"/>
                <w:color w:val="000000" w:themeColor="text1"/>
                <w:spacing w:val="-8"/>
                <w:sz w:val="21"/>
                <w:szCs w:val="21"/>
                <w:lang w:val="en-US" w:eastAsia="zh-CN"/>
                <w14:textFill>
                  <w14:solidFill>
                    <w14:schemeClr w14:val="tx1"/>
                  </w14:solidFill>
                </w14:textFill>
              </w:rPr>
              <w:t>13</w:t>
            </w:r>
          </w:p>
        </w:tc>
        <w:tc>
          <w:tcPr>
            <w:tcW w:w="1200" w:type="dxa"/>
            <w:noWrap w:val="0"/>
            <w:vAlign w:val="center"/>
          </w:tcPr>
          <w:p w14:paraId="4A042F5D">
            <w:pPr>
              <w:pStyle w:val="26"/>
              <w:keepNext w:val="0"/>
              <w:keepLines w:val="0"/>
              <w:pageBreakBefore w:val="0"/>
              <w:widowControl w:val="0"/>
              <w:kinsoku/>
              <w:wordWrap/>
              <w:overflowPunct/>
              <w:topLinePunct w:val="0"/>
              <w:autoSpaceDE/>
              <w:autoSpaceDN/>
              <w:bidi w:val="0"/>
              <w:spacing w:before="111" w:line="480" w:lineRule="exact"/>
              <w:jc w:val="center"/>
              <w:textAlignment w:val="auto"/>
              <w:rPr>
                <w:rFonts w:hint="default" w:ascii="宋体" w:hAnsi="宋体" w:eastAsia="宋体" w:cs="宋体"/>
                <w:color w:val="000000" w:themeColor="text1"/>
                <w:spacing w:val="-7"/>
                <w:sz w:val="21"/>
                <w:szCs w:val="21"/>
                <w:lang w:val="en-US" w:eastAsia="zh-CN"/>
                <w14:textFill>
                  <w14:solidFill>
                    <w14:schemeClr w14:val="tx1"/>
                  </w14:solidFill>
                </w14:textFill>
              </w:rPr>
            </w:pPr>
            <w:r>
              <w:rPr>
                <w:rFonts w:hint="eastAsia" w:cs="宋体"/>
                <w:color w:val="000000" w:themeColor="text1"/>
                <w:spacing w:val="-7"/>
                <w:sz w:val="21"/>
                <w:szCs w:val="21"/>
                <w:lang w:val="en-US" w:eastAsia="zh-CN"/>
                <w14:textFill>
                  <w14:solidFill>
                    <w14:schemeClr w14:val="tx1"/>
                  </w14:solidFill>
                </w14:textFill>
              </w:rPr>
              <w:t>100</w:t>
            </w:r>
            <w:r>
              <w:rPr>
                <w:rFonts w:hint="eastAsia" w:ascii="宋体" w:hAnsi="宋体" w:eastAsia="宋体" w:cs="宋体"/>
                <w:color w:val="000000" w:themeColor="text1"/>
                <w:spacing w:val="-7"/>
                <w:sz w:val="21"/>
                <w:szCs w:val="21"/>
                <w14:textFill>
                  <w14:solidFill>
                    <w14:schemeClr w14:val="tx1"/>
                  </w14:solidFill>
                </w14:textFill>
              </w:rPr>
              <w:t>%</w:t>
            </w:r>
          </w:p>
        </w:tc>
        <w:tc>
          <w:tcPr>
            <w:tcW w:w="876" w:type="dxa"/>
            <w:noWrap w:val="0"/>
            <w:vAlign w:val="center"/>
          </w:tcPr>
          <w:p w14:paraId="76BE7512">
            <w:pPr>
              <w:pStyle w:val="26"/>
              <w:keepNext w:val="0"/>
              <w:keepLines w:val="0"/>
              <w:pageBreakBefore w:val="0"/>
              <w:widowControl w:val="0"/>
              <w:kinsoku/>
              <w:wordWrap/>
              <w:overflowPunct/>
              <w:topLinePunct w:val="0"/>
              <w:autoSpaceDE/>
              <w:autoSpaceDN/>
              <w:bidi w:val="0"/>
              <w:spacing w:before="149" w:line="480" w:lineRule="exact"/>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c>
          <w:tcPr>
            <w:tcW w:w="1056" w:type="dxa"/>
            <w:noWrap w:val="0"/>
            <w:vAlign w:val="center"/>
          </w:tcPr>
          <w:p w14:paraId="52B5B309">
            <w:pPr>
              <w:pStyle w:val="26"/>
              <w:keepNext w:val="0"/>
              <w:keepLines w:val="0"/>
              <w:pageBreakBefore w:val="0"/>
              <w:widowControl w:val="0"/>
              <w:kinsoku/>
              <w:wordWrap/>
              <w:overflowPunct/>
              <w:topLinePunct w:val="0"/>
              <w:autoSpaceDE/>
              <w:autoSpaceDN/>
              <w:bidi w:val="0"/>
              <w:spacing w:before="149" w:line="480" w:lineRule="exact"/>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c>
          <w:tcPr>
            <w:tcW w:w="816" w:type="dxa"/>
            <w:noWrap w:val="0"/>
            <w:vAlign w:val="center"/>
          </w:tcPr>
          <w:p w14:paraId="2C653885">
            <w:pPr>
              <w:pStyle w:val="26"/>
              <w:keepNext w:val="0"/>
              <w:keepLines w:val="0"/>
              <w:pageBreakBefore w:val="0"/>
              <w:widowControl w:val="0"/>
              <w:kinsoku/>
              <w:wordWrap/>
              <w:overflowPunct/>
              <w:topLinePunct w:val="0"/>
              <w:autoSpaceDE/>
              <w:autoSpaceDN/>
              <w:bidi w:val="0"/>
              <w:spacing w:before="149" w:line="480" w:lineRule="exact"/>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0</w:t>
            </w:r>
          </w:p>
        </w:tc>
        <w:tc>
          <w:tcPr>
            <w:tcW w:w="1253" w:type="dxa"/>
            <w:noWrap w:val="0"/>
            <w:vAlign w:val="center"/>
          </w:tcPr>
          <w:p w14:paraId="32C18207">
            <w:pPr>
              <w:pStyle w:val="26"/>
              <w:keepNext w:val="0"/>
              <w:keepLines w:val="0"/>
              <w:pageBreakBefore w:val="0"/>
              <w:widowControl w:val="0"/>
              <w:kinsoku/>
              <w:wordWrap/>
              <w:overflowPunct/>
              <w:topLinePunct w:val="0"/>
              <w:autoSpaceDE/>
              <w:autoSpaceDN/>
              <w:bidi w:val="0"/>
              <w:spacing w:before="149" w:line="480" w:lineRule="exact"/>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0</w:t>
            </w:r>
          </w:p>
        </w:tc>
      </w:tr>
    </w:tbl>
    <w:p w14:paraId="4BA79743">
      <w:pPr>
        <w:pStyle w:val="26"/>
        <w:keepNext w:val="0"/>
        <w:keepLines w:val="0"/>
        <w:pageBreakBefore w:val="0"/>
        <w:widowControl w:val="0"/>
        <w:kinsoku/>
        <w:wordWrap/>
        <w:overflowPunct/>
        <w:topLinePunct w:val="0"/>
        <w:autoSpaceDE/>
        <w:autoSpaceDN/>
        <w:bidi w:val="0"/>
        <w:spacing w:before="114" w:line="480" w:lineRule="exact"/>
        <w:jc w:val="center"/>
        <w:textAlignment w:val="auto"/>
        <w:rPr>
          <w:rFonts w:hint="eastAsia" w:ascii="宋体" w:hAnsi="宋体" w:eastAsia="宋体" w:cs="宋体"/>
          <w:color w:val="000000" w:themeColor="text1"/>
          <w:spacing w:val="-3"/>
          <w:sz w:val="21"/>
          <w:szCs w:val="21"/>
          <w14:textFill>
            <w14:solidFill>
              <w14:schemeClr w14:val="tx1"/>
            </w14:solidFill>
          </w14:textFill>
        </w:rPr>
        <w:sectPr>
          <w:footerReference r:id="rId14" w:type="default"/>
          <w:pgSz w:w="11906" w:h="16838"/>
          <w:pgMar w:top="1417" w:right="1417" w:bottom="1417" w:left="1587" w:header="851" w:footer="992" w:gutter="0"/>
          <w:pgNumType w:fmt="decimal"/>
          <w:cols w:space="425" w:num="1"/>
          <w:docGrid w:type="lines" w:linePitch="312" w:charSpace="0"/>
        </w:sectPr>
      </w:pPr>
    </w:p>
    <w:tbl>
      <w:tblPr>
        <w:tblStyle w:val="25"/>
        <w:tblW w:w="8887" w:type="dxa"/>
        <w:tblInd w:w="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802"/>
        <w:gridCol w:w="984"/>
        <w:gridCol w:w="900"/>
        <w:gridCol w:w="1200"/>
        <w:gridCol w:w="876"/>
        <w:gridCol w:w="1056"/>
        <w:gridCol w:w="816"/>
        <w:gridCol w:w="1253"/>
      </w:tblGrid>
      <w:tr w14:paraId="754D9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trPr>
        <w:tc>
          <w:tcPr>
            <w:tcW w:w="1802" w:type="dxa"/>
            <w:noWrap w:val="0"/>
            <w:vAlign w:val="center"/>
          </w:tcPr>
          <w:p w14:paraId="03530203">
            <w:pPr>
              <w:pStyle w:val="26"/>
              <w:keepNext w:val="0"/>
              <w:keepLines w:val="0"/>
              <w:pageBreakBefore w:val="0"/>
              <w:widowControl w:val="0"/>
              <w:kinsoku/>
              <w:wordWrap/>
              <w:overflowPunct/>
              <w:topLinePunct w:val="0"/>
              <w:autoSpaceDE/>
              <w:autoSpaceDN/>
              <w:bidi w:val="0"/>
              <w:spacing w:before="114" w:line="48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公用工程及辅助设施单元</w:t>
            </w:r>
          </w:p>
        </w:tc>
        <w:tc>
          <w:tcPr>
            <w:tcW w:w="984" w:type="dxa"/>
            <w:noWrap w:val="0"/>
            <w:vAlign w:val="center"/>
          </w:tcPr>
          <w:p w14:paraId="0F7E01BB">
            <w:pPr>
              <w:pStyle w:val="26"/>
              <w:keepNext w:val="0"/>
              <w:keepLines w:val="0"/>
              <w:pageBreakBefore w:val="0"/>
              <w:widowControl w:val="0"/>
              <w:kinsoku/>
              <w:wordWrap/>
              <w:overflowPunct/>
              <w:topLinePunct w:val="0"/>
              <w:autoSpaceDE/>
              <w:autoSpaceDN/>
              <w:bidi w:val="0"/>
              <w:spacing w:before="153" w:line="480" w:lineRule="exact"/>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pacing w:val="-8"/>
                <w:sz w:val="21"/>
                <w:szCs w:val="21"/>
                <w:lang w:val="en-US" w:eastAsia="zh-CN"/>
                <w14:textFill>
                  <w14:solidFill>
                    <w14:schemeClr w14:val="tx1"/>
                  </w14:solidFill>
                </w14:textFill>
              </w:rPr>
              <w:t>1</w:t>
            </w:r>
            <w:r>
              <w:rPr>
                <w:rFonts w:hint="eastAsia" w:cs="宋体"/>
                <w:color w:val="000000" w:themeColor="text1"/>
                <w:spacing w:val="-8"/>
                <w:sz w:val="21"/>
                <w:szCs w:val="21"/>
                <w:lang w:val="en-US" w:eastAsia="zh-CN"/>
                <w14:textFill>
                  <w14:solidFill>
                    <w14:schemeClr w14:val="tx1"/>
                  </w14:solidFill>
                </w14:textFill>
              </w:rPr>
              <w:t>9</w:t>
            </w:r>
          </w:p>
        </w:tc>
        <w:tc>
          <w:tcPr>
            <w:tcW w:w="900" w:type="dxa"/>
            <w:noWrap w:val="0"/>
            <w:vAlign w:val="center"/>
          </w:tcPr>
          <w:p w14:paraId="0B0DC607">
            <w:pPr>
              <w:pStyle w:val="26"/>
              <w:keepNext w:val="0"/>
              <w:keepLines w:val="0"/>
              <w:pageBreakBefore w:val="0"/>
              <w:widowControl w:val="0"/>
              <w:kinsoku/>
              <w:wordWrap/>
              <w:overflowPunct/>
              <w:topLinePunct w:val="0"/>
              <w:autoSpaceDE/>
              <w:autoSpaceDN/>
              <w:bidi w:val="0"/>
              <w:spacing w:before="153" w:line="480" w:lineRule="exact"/>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pacing w:val="-8"/>
                <w:sz w:val="21"/>
                <w:szCs w:val="21"/>
                <w:lang w:val="en-US" w:eastAsia="zh-CN"/>
                <w14:textFill>
                  <w14:solidFill>
                    <w14:schemeClr w14:val="tx1"/>
                  </w14:solidFill>
                </w14:textFill>
              </w:rPr>
              <w:t>1</w:t>
            </w:r>
            <w:r>
              <w:rPr>
                <w:rFonts w:hint="eastAsia" w:cs="宋体"/>
                <w:color w:val="000000" w:themeColor="text1"/>
                <w:spacing w:val="-8"/>
                <w:sz w:val="21"/>
                <w:szCs w:val="21"/>
                <w:lang w:val="en-US" w:eastAsia="zh-CN"/>
                <w14:textFill>
                  <w14:solidFill>
                    <w14:schemeClr w14:val="tx1"/>
                  </w14:solidFill>
                </w14:textFill>
              </w:rPr>
              <w:t>9</w:t>
            </w:r>
          </w:p>
        </w:tc>
        <w:tc>
          <w:tcPr>
            <w:tcW w:w="1200" w:type="dxa"/>
            <w:noWrap w:val="0"/>
            <w:vAlign w:val="center"/>
          </w:tcPr>
          <w:p w14:paraId="57BF3D96">
            <w:pPr>
              <w:pStyle w:val="26"/>
              <w:keepNext w:val="0"/>
              <w:keepLines w:val="0"/>
              <w:pageBreakBefore w:val="0"/>
              <w:widowControl w:val="0"/>
              <w:kinsoku/>
              <w:wordWrap/>
              <w:overflowPunct/>
              <w:topLinePunct w:val="0"/>
              <w:autoSpaceDE/>
              <w:autoSpaceDN/>
              <w:bidi w:val="0"/>
              <w:spacing w:before="114" w:line="48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100%</w:t>
            </w:r>
          </w:p>
        </w:tc>
        <w:tc>
          <w:tcPr>
            <w:tcW w:w="876" w:type="dxa"/>
            <w:noWrap w:val="0"/>
            <w:vAlign w:val="center"/>
          </w:tcPr>
          <w:p w14:paraId="6EC9DA06">
            <w:pPr>
              <w:pStyle w:val="26"/>
              <w:keepNext w:val="0"/>
              <w:keepLines w:val="0"/>
              <w:pageBreakBefore w:val="0"/>
              <w:widowControl w:val="0"/>
              <w:kinsoku/>
              <w:wordWrap/>
              <w:overflowPunct/>
              <w:topLinePunct w:val="0"/>
              <w:autoSpaceDE/>
              <w:autoSpaceDN/>
              <w:bidi w:val="0"/>
              <w:spacing w:before="152" w:line="48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0</w:t>
            </w:r>
          </w:p>
        </w:tc>
        <w:tc>
          <w:tcPr>
            <w:tcW w:w="1056" w:type="dxa"/>
            <w:noWrap w:val="0"/>
            <w:vAlign w:val="center"/>
          </w:tcPr>
          <w:p w14:paraId="5BEFEB6A">
            <w:pPr>
              <w:pStyle w:val="26"/>
              <w:keepNext w:val="0"/>
              <w:keepLines w:val="0"/>
              <w:pageBreakBefore w:val="0"/>
              <w:widowControl w:val="0"/>
              <w:kinsoku/>
              <w:wordWrap/>
              <w:overflowPunct/>
              <w:topLinePunct w:val="0"/>
              <w:autoSpaceDE/>
              <w:autoSpaceDN/>
              <w:bidi w:val="0"/>
              <w:spacing w:before="152" w:line="48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0</w:t>
            </w:r>
          </w:p>
        </w:tc>
        <w:tc>
          <w:tcPr>
            <w:tcW w:w="816" w:type="dxa"/>
            <w:noWrap w:val="0"/>
            <w:vAlign w:val="center"/>
          </w:tcPr>
          <w:p w14:paraId="3CD8CA60">
            <w:pPr>
              <w:pStyle w:val="26"/>
              <w:keepNext w:val="0"/>
              <w:keepLines w:val="0"/>
              <w:pageBreakBefore w:val="0"/>
              <w:widowControl w:val="0"/>
              <w:kinsoku/>
              <w:wordWrap/>
              <w:overflowPunct/>
              <w:topLinePunct w:val="0"/>
              <w:autoSpaceDE/>
              <w:autoSpaceDN/>
              <w:bidi w:val="0"/>
              <w:spacing w:before="149" w:line="48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c>
          <w:tcPr>
            <w:tcW w:w="1253" w:type="dxa"/>
            <w:noWrap w:val="0"/>
            <w:vAlign w:val="center"/>
          </w:tcPr>
          <w:p w14:paraId="3F802056">
            <w:pPr>
              <w:pStyle w:val="26"/>
              <w:keepNext w:val="0"/>
              <w:keepLines w:val="0"/>
              <w:pageBreakBefore w:val="0"/>
              <w:widowControl w:val="0"/>
              <w:kinsoku/>
              <w:wordWrap/>
              <w:overflowPunct/>
              <w:topLinePunct w:val="0"/>
              <w:autoSpaceDE/>
              <w:autoSpaceDN/>
              <w:bidi w:val="0"/>
              <w:spacing w:before="149" w:line="48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r>
      <w:tr w14:paraId="078CA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trPr>
        <w:tc>
          <w:tcPr>
            <w:tcW w:w="1802" w:type="dxa"/>
            <w:noWrap w:val="0"/>
            <w:vAlign w:val="center"/>
          </w:tcPr>
          <w:p w14:paraId="210BB478">
            <w:pPr>
              <w:pStyle w:val="26"/>
              <w:spacing w:before="149" w:line="183" w:lineRule="auto"/>
              <w:ind w:firstLine="0" w:firstLineChars="0"/>
              <w:jc w:val="center"/>
              <w:rPr>
                <w:rFonts w:hint="eastAsia" w:ascii="宋体" w:hAnsi="宋体" w:eastAsia="宋体" w:cs="宋体"/>
                <w:color w:val="000000" w:themeColor="text1"/>
                <w:spacing w:val="-3"/>
                <w:sz w:val="21"/>
                <w:szCs w:val="21"/>
                <w14:textFill>
                  <w14:solidFill>
                    <w14:schemeClr w14:val="tx1"/>
                  </w14:solidFill>
                </w14:textFill>
              </w:rPr>
            </w:pPr>
            <w:r>
              <w:rPr>
                <w:rFonts w:hint="eastAsia" w:ascii="宋体" w:hAnsi="宋体" w:cs="宋体"/>
                <w:b w:val="0"/>
                <w:bCs/>
                <w:color w:val="000000" w:themeColor="text1"/>
                <w:sz w:val="21"/>
                <w:szCs w:val="21"/>
                <w:lang w:val="en-US" w:eastAsia="zh-CN"/>
                <w14:textFill>
                  <w14:solidFill>
                    <w14:schemeClr w14:val="tx1"/>
                  </w14:solidFill>
                </w14:textFill>
              </w:rPr>
              <w:t>重大电力事故安全隐患判定单元</w:t>
            </w:r>
          </w:p>
        </w:tc>
        <w:tc>
          <w:tcPr>
            <w:tcW w:w="984" w:type="dxa"/>
            <w:noWrap w:val="0"/>
            <w:vAlign w:val="center"/>
          </w:tcPr>
          <w:p w14:paraId="2A2DC39A">
            <w:pPr>
              <w:pStyle w:val="26"/>
              <w:spacing w:before="149" w:line="183" w:lineRule="auto"/>
              <w:ind w:firstLine="0" w:firstLineChars="0"/>
              <w:jc w:val="center"/>
              <w:rPr>
                <w:rFonts w:hint="eastAsia" w:ascii="宋体" w:hAnsi="宋体" w:eastAsia="宋体" w:cs="宋体"/>
                <w:color w:val="000000" w:themeColor="text1"/>
                <w:spacing w:val="-3"/>
                <w:sz w:val="21"/>
                <w:szCs w:val="21"/>
                <w14:textFill>
                  <w14:solidFill>
                    <w14:schemeClr w14:val="tx1"/>
                  </w14:solidFill>
                </w14:textFill>
              </w:rPr>
            </w:pPr>
            <w:r>
              <w:rPr>
                <w:rFonts w:hint="eastAsia" w:cs="宋体"/>
                <w:color w:val="000000" w:themeColor="text1"/>
                <w:spacing w:val="-3"/>
                <w:sz w:val="21"/>
                <w:szCs w:val="21"/>
                <w:lang w:val="en-US" w:eastAsia="zh-CN"/>
                <w14:textFill>
                  <w14:solidFill>
                    <w14:schemeClr w14:val="tx1"/>
                  </w14:solidFill>
                </w14:textFill>
              </w:rPr>
              <w:t>1</w:t>
            </w:r>
          </w:p>
        </w:tc>
        <w:tc>
          <w:tcPr>
            <w:tcW w:w="900" w:type="dxa"/>
            <w:noWrap w:val="0"/>
            <w:vAlign w:val="center"/>
          </w:tcPr>
          <w:p w14:paraId="736B7205">
            <w:pPr>
              <w:pStyle w:val="26"/>
              <w:spacing w:before="149" w:line="183" w:lineRule="auto"/>
              <w:ind w:firstLine="0" w:firstLineChars="0"/>
              <w:jc w:val="center"/>
              <w:rPr>
                <w:rFonts w:hint="eastAsia" w:ascii="宋体" w:hAnsi="宋体" w:eastAsia="宋体" w:cs="宋体"/>
                <w:color w:val="000000" w:themeColor="text1"/>
                <w:spacing w:val="-3"/>
                <w:sz w:val="21"/>
                <w:szCs w:val="21"/>
                <w14:textFill>
                  <w14:solidFill>
                    <w14:schemeClr w14:val="tx1"/>
                  </w14:solidFill>
                </w14:textFill>
              </w:rPr>
            </w:pPr>
            <w:r>
              <w:rPr>
                <w:rFonts w:hint="eastAsia" w:cs="宋体"/>
                <w:color w:val="000000" w:themeColor="text1"/>
                <w:spacing w:val="-3"/>
                <w:sz w:val="21"/>
                <w:szCs w:val="21"/>
                <w:lang w:val="en-US" w:eastAsia="zh-CN"/>
                <w14:textFill>
                  <w14:solidFill>
                    <w14:schemeClr w14:val="tx1"/>
                  </w14:solidFill>
                </w14:textFill>
              </w:rPr>
              <w:t>1</w:t>
            </w:r>
          </w:p>
        </w:tc>
        <w:tc>
          <w:tcPr>
            <w:tcW w:w="1200" w:type="dxa"/>
            <w:noWrap w:val="0"/>
            <w:vAlign w:val="center"/>
          </w:tcPr>
          <w:p w14:paraId="29CA543F">
            <w:pPr>
              <w:pStyle w:val="26"/>
              <w:spacing w:before="114"/>
              <w:ind w:firstLine="0" w:firstLineChars="0"/>
              <w:jc w:val="center"/>
              <w:rPr>
                <w:rFonts w:hint="eastAsia" w:ascii="宋体" w:hAnsi="宋体" w:eastAsia="宋体" w:cs="宋体"/>
                <w:color w:val="000000" w:themeColor="text1"/>
                <w:spacing w:val="-3"/>
                <w:sz w:val="21"/>
                <w:szCs w:val="21"/>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100%</w:t>
            </w:r>
          </w:p>
        </w:tc>
        <w:tc>
          <w:tcPr>
            <w:tcW w:w="876" w:type="dxa"/>
            <w:noWrap w:val="0"/>
            <w:vAlign w:val="center"/>
          </w:tcPr>
          <w:p w14:paraId="22E4D986">
            <w:pPr>
              <w:pStyle w:val="26"/>
              <w:spacing w:before="152" w:line="183" w:lineRule="auto"/>
              <w:ind w:firstLine="0" w:firstLineChars="0"/>
              <w:jc w:val="center"/>
              <w:rPr>
                <w:rFonts w:hint="eastAsia" w:ascii="宋体" w:hAnsi="宋体" w:eastAsia="宋体" w:cs="宋体"/>
                <w:color w:val="000000" w:themeColor="text1"/>
                <w:spacing w:val="-3"/>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0</w:t>
            </w:r>
          </w:p>
        </w:tc>
        <w:tc>
          <w:tcPr>
            <w:tcW w:w="1056" w:type="dxa"/>
            <w:noWrap w:val="0"/>
            <w:vAlign w:val="center"/>
          </w:tcPr>
          <w:p w14:paraId="33DCB8A2">
            <w:pPr>
              <w:pStyle w:val="26"/>
              <w:spacing w:before="152" w:line="183" w:lineRule="auto"/>
              <w:ind w:firstLine="0" w:firstLineChars="0"/>
              <w:jc w:val="center"/>
              <w:rPr>
                <w:rFonts w:hint="eastAsia" w:ascii="宋体" w:hAnsi="宋体" w:eastAsia="宋体" w:cs="宋体"/>
                <w:color w:val="000000" w:themeColor="text1"/>
                <w:spacing w:val="-3"/>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0</w:t>
            </w:r>
          </w:p>
        </w:tc>
        <w:tc>
          <w:tcPr>
            <w:tcW w:w="816" w:type="dxa"/>
            <w:noWrap w:val="0"/>
            <w:vAlign w:val="center"/>
          </w:tcPr>
          <w:p w14:paraId="05DA95B3">
            <w:pPr>
              <w:pStyle w:val="26"/>
              <w:spacing w:before="149" w:line="183" w:lineRule="auto"/>
              <w:ind w:firstLine="0" w:firstLineChars="0"/>
              <w:jc w:val="center"/>
              <w:rPr>
                <w:rFonts w:hint="eastAsia" w:ascii="宋体" w:hAnsi="宋体" w:eastAsia="宋体" w:cs="宋体"/>
                <w:color w:val="000000" w:themeColor="text1"/>
                <w:spacing w:val="-3"/>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c>
          <w:tcPr>
            <w:tcW w:w="1253" w:type="dxa"/>
            <w:noWrap w:val="0"/>
            <w:vAlign w:val="center"/>
          </w:tcPr>
          <w:p w14:paraId="77AFECDE">
            <w:pPr>
              <w:pStyle w:val="26"/>
              <w:spacing w:before="149" w:line="183" w:lineRule="auto"/>
              <w:ind w:firstLine="0" w:firstLineChars="0"/>
              <w:jc w:val="center"/>
              <w:rPr>
                <w:rFonts w:hint="eastAsia" w:ascii="宋体" w:hAnsi="宋体" w:eastAsia="宋体" w:cs="宋体"/>
                <w:color w:val="000000" w:themeColor="text1"/>
                <w:spacing w:val="-3"/>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r>
      <w:tr w14:paraId="3127D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6" w:hRule="atLeast"/>
        </w:trPr>
        <w:tc>
          <w:tcPr>
            <w:tcW w:w="1802" w:type="dxa"/>
            <w:noWrap w:val="0"/>
            <w:vAlign w:val="center"/>
          </w:tcPr>
          <w:p w14:paraId="27A9B5BA">
            <w:pPr>
              <w:pStyle w:val="26"/>
              <w:keepNext w:val="0"/>
              <w:keepLines w:val="0"/>
              <w:pageBreakBefore w:val="0"/>
              <w:widowControl w:val="0"/>
              <w:kinsoku/>
              <w:wordWrap/>
              <w:overflowPunct/>
              <w:topLinePunct w:val="0"/>
              <w:autoSpaceDE/>
              <w:autoSpaceDN/>
              <w:bidi w:val="0"/>
              <w:spacing w:before="120" w:line="48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安全管理单元</w:t>
            </w:r>
          </w:p>
        </w:tc>
        <w:tc>
          <w:tcPr>
            <w:tcW w:w="984" w:type="dxa"/>
            <w:noWrap w:val="0"/>
            <w:vAlign w:val="center"/>
          </w:tcPr>
          <w:p w14:paraId="3D260866">
            <w:pPr>
              <w:pStyle w:val="26"/>
              <w:keepNext w:val="0"/>
              <w:keepLines w:val="0"/>
              <w:pageBreakBefore w:val="0"/>
              <w:widowControl w:val="0"/>
              <w:kinsoku/>
              <w:wordWrap/>
              <w:overflowPunct/>
              <w:topLinePunct w:val="0"/>
              <w:autoSpaceDE/>
              <w:autoSpaceDN/>
              <w:bidi w:val="0"/>
              <w:spacing w:before="156" w:line="480" w:lineRule="exact"/>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pacing w:val="-14"/>
                <w:sz w:val="21"/>
                <w:szCs w:val="21"/>
                <w:lang w:val="en-US" w:eastAsia="zh-CN"/>
                <w14:textFill>
                  <w14:solidFill>
                    <w14:schemeClr w14:val="tx1"/>
                  </w14:solidFill>
                </w14:textFill>
              </w:rPr>
              <w:t>17</w:t>
            </w:r>
          </w:p>
        </w:tc>
        <w:tc>
          <w:tcPr>
            <w:tcW w:w="900" w:type="dxa"/>
            <w:noWrap w:val="0"/>
            <w:vAlign w:val="center"/>
          </w:tcPr>
          <w:p w14:paraId="6DDC3714">
            <w:pPr>
              <w:pStyle w:val="26"/>
              <w:keepNext w:val="0"/>
              <w:keepLines w:val="0"/>
              <w:pageBreakBefore w:val="0"/>
              <w:widowControl w:val="0"/>
              <w:kinsoku/>
              <w:wordWrap/>
              <w:overflowPunct/>
              <w:topLinePunct w:val="0"/>
              <w:autoSpaceDE/>
              <w:autoSpaceDN/>
              <w:bidi w:val="0"/>
              <w:spacing w:before="156" w:line="480" w:lineRule="exact"/>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pacing w:val="-14"/>
                <w:sz w:val="21"/>
                <w:szCs w:val="21"/>
                <w:lang w:val="en-US" w:eastAsia="zh-CN"/>
                <w14:textFill>
                  <w14:solidFill>
                    <w14:schemeClr w14:val="tx1"/>
                  </w14:solidFill>
                </w14:textFill>
              </w:rPr>
              <w:t>1</w:t>
            </w:r>
            <w:r>
              <w:rPr>
                <w:rFonts w:hint="eastAsia" w:cs="宋体"/>
                <w:color w:val="000000" w:themeColor="text1"/>
                <w:spacing w:val="-14"/>
                <w:sz w:val="21"/>
                <w:szCs w:val="21"/>
                <w:lang w:val="en-US" w:eastAsia="zh-CN"/>
                <w14:textFill>
                  <w14:solidFill>
                    <w14:schemeClr w14:val="tx1"/>
                  </w14:solidFill>
                </w14:textFill>
              </w:rPr>
              <w:t>6</w:t>
            </w:r>
          </w:p>
        </w:tc>
        <w:tc>
          <w:tcPr>
            <w:tcW w:w="1200" w:type="dxa"/>
            <w:noWrap w:val="0"/>
            <w:vAlign w:val="center"/>
          </w:tcPr>
          <w:p w14:paraId="530D42FC">
            <w:pPr>
              <w:pStyle w:val="26"/>
              <w:keepNext w:val="0"/>
              <w:keepLines w:val="0"/>
              <w:pageBreakBefore w:val="0"/>
              <w:widowControl w:val="0"/>
              <w:kinsoku/>
              <w:wordWrap/>
              <w:overflowPunct/>
              <w:topLinePunct w:val="0"/>
              <w:autoSpaceDE/>
              <w:autoSpaceDN/>
              <w:bidi w:val="0"/>
              <w:spacing w:before="119" w:line="480" w:lineRule="exact"/>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pacing w:val="-7"/>
                <w:sz w:val="21"/>
                <w:szCs w:val="21"/>
                <w:lang w:val="en-US" w:eastAsia="zh-CN"/>
                <w14:textFill>
                  <w14:solidFill>
                    <w14:schemeClr w14:val="tx1"/>
                  </w14:solidFill>
                </w14:textFill>
              </w:rPr>
              <w:t>94.1</w:t>
            </w:r>
            <w:r>
              <w:rPr>
                <w:rFonts w:hint="eastAsia" w:ascii="宋体" w:hAnsi="宋体" w:eastAsia="宋体" w:cs="宋体"/>
                <w:color w:val="000000" w:themeColor="text1"/>
                <w:spacing w:val="-7"/>
                <w:sz w:val="21"/>
                <w:szCs w:val="21"/>
                <w14:textFill>
                  <w14:solidFill>
                    <w14:schemeClr w14:val="tx1"/>
                  </w14:solidFill>
                </w14:textFill>
              </w:rPr>
              <w:t>%</w:t>
            </w:r>
          </w:p>
        </w:tc>
        <w:tc>
          <w:tcPr>
            <w:tcW w:w="876" w:type="dxa"/>
            <w:noWrap w:val="0"/>
            <w:vAlign w:val="center"/>
          </w:tcPr>
          <w:p w14:paraId="681A3B68">
            <w:pPr>
              <w:pStyle w:val="26"/>
              <w:keepNext w:val="0"/>
              <w:keepLines w:val="0"/>
              <w:pageBreakBefore w:val="0"/>
              <w:widowControl w:val="0"/>
              <w:kinsoku/>
              <w:wordWrap/>
              <w:overflowPunct/>
              <w:topLinePunct w:val="0"/>
              <w:autoSpaceDE/>
              <w:autoSpaceDN/>
              <w:bidi w:val="0"/>
              <w:spacing w:before="157" w:line="480" w:lineRule="exact"/>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1</w:t>
            </w:r>
          </w:p>
        </w:tc>
        <w:tc>
          <w:tcPr>
            <w:tcW w:w="1056" w:type="dxa"/>
            <w:noWrap w:val="0"/>
            <w:vAlign w:val="center"/>
          </w:tcPr>
          <w:p w14:paraId="3CFBB8AD">
            <w:pPr>
              <w:pStyle w:val="26"/>
              <w:keepNext w:val="0"/>
              <w:keepLines w:val="0"/>
              <w:pageBreakBefore w:val="0"/>
              <w:widowControl w:val="0"/>
              <w:kinsoku/>
              <w:wordWrap/>
              <w:overflowPunct/>
              <w:topLinePunct w:val="0"/>
              <w:autoSpaceDE/>
              <w:autoSpaceDN/>
              <w:bidi w:val="0"/>
              <w:spacing w:before="157" w:line="480" w:lineRule="exact"/>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5.8</w:t>
            </w:r>
            <w:r>
              <w:rPr>
                <w:rFonts w:hint="eastAsia" w:ascii="宋体" w:hAnsi="宋体" w:eastAsia="宋体" w:cs="宋体"/>
                <w:color w:val="000000" w:themeColor="text1"/>
                <w:spacing w:val="-7"/>
                <w:sz w:val="21"/>
                <w:szCs w:val="21"/>
                <w14:textFill>
                  <w14:solidFill>
                    <w14:schemeClr w14:val="tx1"/>
                  </w14:solidFill>
                </w14:textFill>
              </w:rPr>
              <w:t>%</w:t>
            </w:r>
          </w:p>
        </w:tc>
        <w:tc>
          <w:tcPr>
            <w:tcW w:w="816" w:type="dxa"/>
            <w:noWrap w:val="0"/>
            <w:vAlign w:val="center"/>
          </w:tcPr>
          <w:p w14:paraId="37074DE6">
            <w:pPr>
              <w:pStyle w:val="26"/>
              <w:keepNext w:val="0"/>
              <w:keepLines w:val="0"/>
              <w:pageBreakBefore w:val="0"/>
              <w:widowControl w:val="0"/>
              <w:kinsoku/>
              <w:wordWrap/>
              <w:overflowPunct/>
              <w:topLinePunct w:val="0"/>
              <w:autoSpaceDE/>
              <w:autoSpaceDN/>
              <w:bidi w:val="0"/>
              <w:spacing w:before="157" w:line="480" w:lineRule="exact"/>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c>
          <w:tcPr>
            <w:tcW w:w="1253" w:type="dxa"/>
            <w:noWrap w:val="0"/>
            <w:vAlign w:val="center"/>
          </w:tcPr>
          <w:p w14:paraId="57ED93C0">
            <w:pPr>
              <w:pStyle w:val="26"/>
              <w:keepNext w:val="0"/>
              <w:keepLines w:val="0"/>
              <w:pageBreakBefore w:val="0"/>
              <w:widowControl w:val="0"/>
              <w:kinsoku/>
              <w:wordWrap/>
              <w:overflowPunct/>
              <w:topLinePunct w:val="0"/>
              <w:autoSpaceDE/>
              <w:autoSpaceDN/>
              <w:bidi w:val="0"/>
              <w:spacing w:before="157" w:line="480" w:lineRule="exact"/>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r>
      <w:tr w14:paraId="6FB36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0" w:hRule="atLeast"/>
        </w:trPr>
        <w:tc>
          <w:tcPr>
            <w:tcW w:w="1802" w:type="dxa"/>
            <w:noWrap w:val="0"/>
            <w:vAlign w:val="center"/>
          </w:tcPr>
          <w:p w14:paraId="36847090">
            <w:pPr>
              <w:pStyle w:val="26"/>
              <w:keepNext w:val="0"/>
              <w:keepLines w:val="0"/>
              <w:pageBreakBefore w:val="0"/>
              <w:widowControl w:val="0"/>
              <w:kinsoku/>
              <w:wordWrap/>
              <w:overflowPunct/>
              <w:topLinePunct w:val="0"/>
              <w:autoSpaceDE/>
              <w:autoSpaceDN/>
              <w:bidi w:val="0"/>
              <w:spacing w:before="124" w:line="48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6"/>
                <w:sz w:val="21"/>
                <w:szCs w:val="21"/>
                <w14:textFill>
                  <w14:solidFill>
                    <w14:schemeClr w14:val="tx1"/>
                  </w14:solidFill>
                </w14:textFill>
              </w:rPr>
              <w:t>合计</w:t>
            </w:r>
          </w:p>
        </w:tc>
        <w:tc>
          <w:tcPr>
            <w:tcW w:w="984" w:type="dxa"/>
            <w:noWrap w:val="0"/>
            <w:vAlign w:val="center"/>
          </w:tcPr>
          <w:p w14:paraId="0F3F5885">
            <w:pPr>
              <w:pStyle w:val="26"/>
              <w:spacing w:before="161" w:line="184" w:lineRule="auto"/>
              <w:ind w:firstLine="0" w:firstLineChars="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10</w:t>
            </w:r>
            <w:r>
              <w:rPr>
                <w:rFonts w:hint="eastAsia" w:cs="宋体"/>
                <w:color w:val="000000" w:themeColor="text1"/>
                <w:sz w:val="21"/>
                <w:szCs w:val="21"/>
                <w:lang w:val="en-US" w:eastAsia="zh-CN"/>
                <w14:textFill>
                  <w14:solidFill>
                    <w14:schemeClr w14:val="tx1"/>
                  </w14:solidFill>
                </w14:textFill>
              </w:rPr>
              <w:t>8</w:t>
            </w:r>
          </w:p>
        </w:tc>
        <w:tc>
          <w:tcPr>
            <w:tcW w:w="900" w:type="dxa"/>
            <w:noWrap w:val="0"/>
            <w:vAlign w:val="center"/>
          </w:tcPr>
          <w:p w14:paraId="1D7E573D">
            <w:pPr>
              <w:pStyle w:val="26"/>
              <w:spacing w:before="161" w:line="184" w:lineRule="auto"/>
              <w:ind w:firstLine="0" w:firstLineChars="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pacing w:val="-10"/>
                <w:sz w:val="21"/>
                <w:szCs w:val="21"/>
                <w:lang w:val="en-US" w:eastAsia="zh-CN"/>
                <w14:textFill>
                  <w14:solidFill>
                    <w14:schemeClr w14:val="tx1"/>
                  </w14:solidFill>
                </w14:textFill>
              </w:rPr>
              <w:t>106</w:t>
            </w:r>
          </w:p>
        </w:tc>
        <w:tc>
          <w:tcPr>
            <w:tcW w:w="1200" w:type="dxa"/>
            <w:noWrap w:val="0"/>
            <w:vAlign w:val="center"/>
          </w:tcPr>
          <w:p w14:paraId="3C4224FE">
            <w:pPr>
              <w:pStyle w:val="26"/>
              <w:keepNext w:val="0"/>
              <w:keepLines w:val="0"/>
              <w:pageBreakBefore w:val="0"/>
              <w:widowControl w:val="0"/>
              <w:kinsoku/>
              <w:wordWrap/>
              <w:overflowPunct/>
              <w:topLinePunct w:val="0"/>
              <w:autoSpaceDE/>
              <w:autoSpaceDN/>
              <w:bidi w:val="0"/>
              <w:spacing w:before="124" w:line="480" w:lineRule="exact"/>
              <w:ind w:left="293"/>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97.1</w:t>
            </w:r>
            <w:r>
              <w:rPr>
                <w:rFonts w:hint="eastAsia" w:ascii="宋体" w:hAnsi="宋体" w:eastAsia="宋体" w:cs="宋体"/>
                <w:color w:val="000000" w:themeColor="text1"/>
                <w:spacing w:val="-7"/>
                <w:sz w:val="21"/>
                <w:szCs w:val="21"/>
                <w14:textFill>
                  <w14:solidFill>
                    <w14:schemeClr w14:val="tx1"/>
                  </w14:solidFill>
                </w14:textFill>
              </w:rPr>
              <w:t>%</w:t>
            </w:r>
          </w:p>
        </w:tc>
        <w:tc>
          <w:tcPr>
            <w:tcW w:w="876" w:type="dxa"/>
            <w:noWrap w:val="0"/>
            <w:vAlign w:val="center"/>
          </w:tcPr>
          <w:p w14:paraId="2DBEBD40">
            <w:pPr>
              <w:pStyle w:val="26"/>
              <w:keepNext w:val="0"/>
              <w:keepLines w:val="0"/>
              <w:pageBreakBefore w:val="0"/>
              <w:widowControl w:val="0"/>
              <w:kinsoku/>
              <w:wordWrap/>
              <w:overflowPunct/>
              <w:topLinePunct w:val="0"/>
              <w:autoSpaceDE/>
              <w:autoSpaceDN/>
              <w:bidi w:val="0"/>
              <w:spacing w:before="162" w:line="480" w:lineRule="exact"/>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3</w:t>
            </w:r>
          </w:p>
        </w:tc>
        <w:tc>
          <w:tcPr>
            <w:tcW w:w="1056" w:type="dxa"/>
            <w:noWrap w:val="0"/>
            <w:vAlign w:val="center"/>
          </w:tcPr>
          <w:p w14:paraId="532E880F">
            <w:pPr>
              <w:pStyle w:val="26"/>
              <w:keepNext w:val="0"/>
              <w:keepLines w:val="0"/>
              <w:pageBreakBefore w:val="0"/>
              <w:widowControl w:val="0"/>
              <w:kinsoku/>
              <w:wordWrap/>
              <w:overflowPunct/>
              <w:topLinePunct w:val="0"/>
              <w:autoSpaceDE/>
              <w:autoSpaceDN/>
              <w:bidi w:val="0"/>
              <w:spacing w:before="124" w:line="480" w:lineRule="exact"/>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pacing w:val="-7"/>
                <w:sz w:val="21"/>
                <w:szCs w:val="21"/>
                <w:lang w:val="en-US" w:eastAsia="zh-CN"/>
                <w14:textFill>
                  <w14:solidFill>
                    <w14:schemeClr w14:val="tx1"/>
                  </w14:solidFill>
                </w14:textFill>
              </w:rPr>
              <w:t>2.9</w:t>
            </w:r>
            <w:r>
              <w:rPr>
                <w:rFonts w:hint="eastAsia" w:ascii="宋体" w:hAnsi="宋体" w:eastAsia="宋体" w:cs="宋体"/>
                <w:color w:val="000000" w:themeColor="text1"/>
                <w:spacing w:val="-7"/>
                <w:sz w:val="21"/>
                <w:szCs w:val="21"/>
                <w14:textFill>
                  <w14:solidFill>
                    <w14:schemeClr w14:val="tx1"/>
                  </w14:solidFill>
                </w14:textFill>
              </w:rPr>
              <w:t>%</w:t>
            </w:r>
          </w:p>
        </w:tc>
        <w:tc>
          <w:tcPr>
            <w:tcW w:w="816" w:type="dxa"/>
            <w:noWrap w:val="0"/>
            <w:vAlign w:val="center"/>
          </w:tcPr>
          <w:p w14:paraId="2C90A678">
            <w:pPr>
              <w:pStyle w:val="26"/>
              <w:keepNext w:val="0"/>
              <w:keepLines w:val="0"/>
              <w:pageBreakBefore w:val="0"/>
              <w:widowControl w:val="0"/>
              <w:kinsoku/>
              <w:wordWrap/>
              <w:overflowPunct/>
              <w:topLinePunct w:val="0"/>
              <w:autoSpaceDE/>
              <w:autoSpaceDN/>
              <w:bidi w:val="0"/>
              <w:spacing w:before="124" w:line="480" w:lineRule="exact"/>
              <w:jc w:val="center"/>
              <w:textAlignment w:val="auto"/>
              <w:rPr>
                <w:rFonts w:hint="eastAsia" w:ascii="宋体" w:hAnsi="宋体" w:eastAsia="宋体" w:cs="宋体"/>
                <w:color w:val="000000" w:themeColor="text1"/>
                <w:spacing w:val="-6"/>
                <w:sz w:val="21"/>
                <w:szCs w:val="21"/>
                <w:lang w:val="en-US" w:eastAsia="zh-CN"/>
                <w14:textFill>
                  <w14:solidFill>
                    <w14:schemeClr w14:val="tx1"/>
                  </w14:solidFill>
                </w14:textFill>
              </w:rPr>
            </w:pPr>
            <w:r>
              <w:rPr>
                <w:rFonts w:hint="eastAsia" w:cs="宋体"/>
                <w:color w:val="000000" w:themeColor="text1"/>
                <w:spacing w:val="-6"/>
                <w:sz w:val="21"/>
                <w:szCs w:val="21"/>
                <w:lang w:val="en-US" w:eastAsia="zh-CN"/>
                <w14:textFill>
                  <w14:solidFill>
                    <w14:schemeClr w14:val="tx1"/>
                  </w14:solidFill>
                </w14:textFill>
              </w:rPr>
              <w:t>0</w:t>
            </w:r>
          </w:p>
        </w:tc>
        <w:tc>
          <w:tcPr>
            <w:tcW w:w="1253" w:type="dxa"/>
            <w:noWrap w:val="0"/>
            <w:vAlign w:val="center"/>
          </w:tcPr>
          <w:p w14:paraId="6D6265B5">
            <w:pPr>
              <w:pStyle w:val="26"/>
              <w:keepNext w:val="0"/>
              <w:keepLines w:val="0"/>
              <w:pageBreakBefore w:val="0"/>
              <w:widowControl w:val="0"/>
              <w:kinsoku/>
              <w:wordWrap/>
              <w:overflowPunct/>
              <w:topLinePunct w:val="0"/>
              <w:autoSpaceDE/>
              <w:autoSpaceDN/>
              <w:bidi w:val="0"/>
              <w:spacing w:before="124" w:line="480" w:lineRule="exact"/>
              <w:jc w:val="center"/>
              <w:textAlignment w:val="auto"/>
              <w:rPr>
                <w:rFonts w:hint="eastAsia" w:ascii="宋体" w:hAnsi="宋体" w:eastAsia="宋体" w:cs="宋体"/>
                <w:color w:val="000000" w:themeColor="text1"/>
                <w:spacing w:val="-6"/>
                <w:sz w:val="21"/>
                <w:szCs w:val="21"/>
                <w:lang w:val="en-US" w:eastAsia="zh-CN"/>
                <w14:textFill>
                  <w14:solidFill>
                    <w14:schemeClr w14:val="tx1"/>
                  </w14:solidFill>
                </w14:textFill>
              </w:rPr>
            </w:pPr>
            <w:r>
              <w:rPr>
                <w:rFonts w:hint="eastAsia" w:cs="宋体"/>
                <w:color w:val="000000" w:themeColor="text1"/>
                <w:spacing w:val="-6"/>
                <w:sz w:val="21"/>
                <w:szCs w:val="21"/>
                <w:lang w:val="en-US" w:eastAsia="zh-CN"/>
                <w14:textFill>
                  <w14:solidFill>
                    <w14:schemeClr w14:val="tx1"/>
                  </w14:solidFill>
                </w14:textFill>
              </w:rPr>
              <w:t>0</w:t>
            </w:r>
          </w:p>
        </w:tc>
      </w:tr>
    </w:tbl>
    <w:p w14:paraId="6423C4AC">
      <w:pPr>
        <w:keepNext w:val="0"/>
        <w:keepLines w:val="0"/>
        <w:pageBreakBefore w:val="0"/>
        <w:widowControl w:val="0"/>
        <w:kinsoku/>
        <w:wordWrap/>
        <w:overflowPunct/>
        <w:topLinePunct w:val="0"/>
        <w:autoSpaceDE/>
        <w:autoSpaceDN/>
        <w:bidi w:val="0"/>
        <w:adjustRightInd/>
        <w:snapToGrid/>
        <w:spacing w:line="420" w:lineRule="exact"/>
        <w:ind w:firstLine="562" w:firstLineChars="200"/>
        <w:textAlignment w:val="auto"/>
        <w:rPr>
          <w:rFonts w:hint="eastAsia"/>
          <w:color w:val="000000" w:themeColor="text1"/>
          <w:sz w:val="28"/>
          <w:szCs w:val="28"/>
          <w14:textFill>
            <w14:solidFill>
              <w14:schemeClr w14:val="tx1"/>
            </w14:solidFill>
          </w14:textFill>
        </w:rPr>
      </w:pPr>
      <w:r>
        <w:rPr>
          <w:rFonts w:hint="eastAsia" w:ascii="宋体" w:hAnsi="宋体" w:eastAsia="宋体" w:cs="宋体"/>
          <w:b/>
          <w:bCs w:val="0"/>
          <w:color w:val="000000" w:themeColor="text1"/>
          <w:sz w:val="28"/>
          <w:szCs w:val="28"/>
          <w14:textFill>
            <w14:solidFill>
              <w14:schemeClr w14:val="tx1"/>
            </w14:solidFill>
          </w14:textFill>
        </w:rPr>
        <w:t>安全验收评价结论：</w:t>
      </w:r>
      <w:r>
        <w:rPr>
          <w:rFonts w:hint="eastAsia"/>
          <w:b/>
          <w:bCs/>
          <w:color w:val="000000" w:themeColor="text1"/>
          <w:sz w:val="28"/>
          <w:szCs w:val="28"/>
          <w:lang w:eastAsia="zh-CN"/>
          <w14:textFill>
            <w14:solidFill>
              <w14:schemeClr w14:val="tx1"/>
            </w14:solidFill>
          </w14:textFill>
        </w:rPr>
        <w:t>华能澜沧江（景洪）新能源有限公司</w:t>
      </w:r>
      <w:r>
        <w:rPr>
          <w:rFonts w:hint="eastAsia" w:ascii="宋体" w:hAnsi="宋体" w:eastAsia="宋体" w:cs="宋体"/>
          <w:b/>
          <w:bCs/>
          <w:color w:val="000000" w:themeColor="text1"/>
          <w:sz w:val="28"/>
          <w:szCs w:val="28"/>
          <w:lang w:val="en-US" w:eastAsia="zh-CN"/>
          <w14:textFill>
            <w14:solidFill>
              <w14:schemeClr w14:val="tx1"/>
            </w14:solidFill>
          </w14:textFill>
        </w:rPr>
        <w:t>景讷乡大寨村云盘</w:t>
      </w: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光伏电站</w:t>
      </w:r>
      <w:r>
        <w:rPr>
          <w:rFonts w:hint="eastAsia" w:ascii="宋体" w:hAnsi="宋体" w:eastAsia="宋体" w:cs="宋体"/>
          <w:b/>
          <w:color w:val="000000" w:themeColor="text1"/>
          <w:sz w:val="28"/>
          <w:szCs w:val="28"/>
          <w14:textFill>
            <w14:solidFill>
              <w14:schemeClr w14:val="tx1"/>
            </w14:solidFill>
          </w14:textFill>
        </w:rPr>
        <w:t>建设符合国家相关安全法律法规、标准的要求，具备安全设施验收条件。</w:t>
      </w:r>
    </w:p>
    <w:p w14:paraId="060AE744">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Chars="0" w:firstLine="560" w:firstLineChars="200"/>
        <w:jc w:val="both"/>
        <w:textAlignment w:val="auto"/>
        <w:rPr>
          <w:rFonts w:hint="eastAsia"/>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总之，安全生产是一个不断完善的过程，在今后的安全生产过程中，应根据安全生产条件的变化和国家法规的进一步要求，不断完善安全技术措施和管理措施，提升安全技术水平，防止安全事故的发生，切实保障人民生命和企业财产的安全</w:t>
      </w:r>
      <w:r>
        <w:rPr>
          <w:rFonts w:hint="eastAsia"/>
          <w:color w:val="000000" w:themeColor="text1"/>
          <w:sz w:val="28"/>
          <w:szCs w:val="28"/>
          <w14:textFill>
            <w14:solidFill>
              <w14:schemeClr w14:val="tx1"/>
            </w14:solidFill>
          </w14:textFill>
        </w:rPr>
        <w:t>。</w:t>
      </w:r>
    </w:p>
    <w:p w14:paraId="430AC46E">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outlineLvl w:val="9"/>
        <w:rPr>
          <w:rFonts w:hint="eastAsia"/>
          <w:b/>
          <w:bCs/>
          <w:color w:val="000000" w:themeColor="text1"/>
          <w:sz w:val="32"/>
          <w:szCs w:val="32"/>
          <w:lang w:val="en-US" w:eastAsia="zh-CN"/>
          <w14:textFill>
            <w14:solidFill>
              <w14:schemeClr w14:val="tx1"/>
            </w14:solidFill>
          </w14:textFill>
        </w:rPr>
      </w:pPr>
    </w:p>
    <w:p w14:paraId="42BEABAC">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outlineLvl w:val="9"/>
        <w:rPr>
          <w:rFonts w:hint="eastAsia"/>
          <w:b/>
          <w:bCs/>
          <w:color w:val="000000" w:themeColor="text1"/>
          <w:sz w:val="32"/>
          <w:szCs w:val="32"/>
          <w:lang w:val="en-US" w:eastAsia="zh-CN"/>
          <w14:textFill>
            <w14:solidFill>
              <w14:schemeClr w14:val="tx1"/>
            </w14:solidFill>
          </w14:textFill>
        </w:rPr>
      </w:pPr>
    </w:p>
    <w:p w14:paraId="3B5DC14C">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outlineLvl w:val="9"/>
        <w:rPr>
          <w:rFonts w:hint="eastAsia"/>
          <w:b/>
          <w:bCs/>
          <w:color w:val="000000" w:themeColor="text1"/>
          <w:sz w:val="32"/>
          <w:szCs w:val="32"/>
          <w:lang w:val="en-US" w:eastAsia="zh-CN"/>
          <w14:textFill>
            <w14:solidFill>
              <w14:schemeClr w14:val="tx1"/>
            </w14:solidFill>
          </w14:textFill>
        </w:rPr>
      </w:pPr>
    </w:p>
    <w:p w14:paraId="3E48AA8F">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outlineLvl w:val="9"/>
        <w:rPr>
          <w:rFonts w:hint="eastAsia"/>
          <w:b/>
          <w:bCs/>
          <w:color w:val="000000" w:themeColor="text1"/>
          <w:sz w:val="32"/>
          <w:szCs w:val="32"/>
          <w:lang w:val="en-US" w:eastAsia="zh-CN"/>
          <w14:textFill>
            <w14:solidFill>
              <w14:schemeClr w14:val="tx1"/>
            </w14:solidFill>
          </w14:textFill>
        </w:rPr>
      </w:pPr>
    </w:p>
    <w:p w14:paraId="67B40A84">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outlineLvl w:val="9"/>
        <w:rPr>
          <w:rFonts w:hint="eastAsia" w:ascii="Times New Roman" w:hAnsi="Times New Roman" w:eastAsia="宋体" w:cs="Times New Roman"/>
          <w:b/>
          <w:bCs/>
          <w:color w:val="000000" w:themeColor="text1"/>
          <w:kern w:val="2"/>
          <w:sz w:val="32"/>
          <w:szCs w:val="32"/>
          <w:lang w:val="en-US" w:eastAsia="zh-CN" w:bidi="ar-SA"/>
          <w14:textFill>
            <w14:solidFill>
              <w14:schemeClr w14:val="tx1"/>
            </w14:solidFill>
          </w14:textFill>
        </w:rPr>
      </w:pPr>
    </w:p>
    <w:p w14:paraId="2402F49D">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outlineLvl w:val="9"/>
        <w:rPr>
          <w:rFonts w:hint="eastAsia" w:ascii="Times New Roman" w:hAnsi="Times New Roman" w:eastAsia="宋体" w:cs="Times New Roman"/>
          <w:b/>
          <w:bCs/>
          <w:color w:val="000000" w:themeColor="text1"/>
          <w:kern w:val="2"/>
          <w:sz w:val="32"/>
          <w:szCs w:val="32"/>
          <w:lang w:val="en-US" w:eastAsia="zh-CN" w:bidi="ar-SA"/>
          <w14:textFill>
            <w14:solidFill>
              <w14:schemeClr w14:val="tx1"/>
            </w14:solidFill>
          </w14:textFill>
        </w:rPr>
      </w:pPr>
    </w:p>
    <w:p w14:paraId="260CEA30">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outlineLvl w:val="9"/>
        <w:rPr>
          <w:rFonts w:hint="eastAsia" w:ascii="Times New Roman" w:hAnsi="Times New Roman" w:eastAsia="宋体" w:cs="Times New Roman"/>
          <w:b/>
          <w:bCs/>
          <w:color w:val="000000" w:themeColor="text1"/>
          <w:kern w:val="2"/>
          <w:sz w:val="32"/>
          <w:szCs w:val="32"/>
          <w:lang w:val="en-US" w:eastAsia="zh-CN" w:bidi="ar-SA"/>
          <w14:textFill>
            <w14:solidFill>
              <w14:schemeClr w14:val="tx1"/>
            </w14:solidFill>
          </w14:textFill>
        </w:rPr>
      </w:pPr>
    </w:p>
    <w:p w14:paraId="51B701B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outlineLvl w:val="9"/>
        <w:rPr>
          <w:rFonts w:hint="eastAsia" w:ascii="Times New Roman" w:hAnsi="Times New Roman" w:eastAsia="宋体" w:cs="Times New Roman"/>
          <w:b/>
          <w:bCs/>
          <w:color w:val="000000" w:themeColor="text1"/>
          <w:kern w:val="2"/>
          <w:sz w:val="32"/>
          <w:szCs w:val="32"/>
          <w:lang w:val="en-US" w:eastAsia="zh-CN" w:bidi="ar-SA"/>
          <w14:textFill>
            <w14:solidFill>
              <w14:schemeClr w14:val="tx1"/>
            </w14:solidFill>
          </w14:textFill>
        </w:rPr>
      </w:pPr>
    </w:p>
    <w:p w14:paraId="0AE5C464">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outlineLvl w:val="9"/>
        <w:rPr>
          <w:rFonts w:hint="eastAsia" w:ascii="Times New Roman" w:hAnsi="Times New Roman" w:eastAsia="宋体" w:cs="Times New Roman"/>
          <w:b/>
          <w:bCs/>
          <w:color w:val="000000" w:themeColor="text1"/>
          <w:kern w:val="2"/>
          <w:sz w:val="32"/>
          <w:szCs w:val="32"/>
          <w:lang w:val="en-US" w:eastAsia="zh-CN" w:bidi="ar-SA"/>
          <w14:textFill>
            <w14:solidFill>
              <w14:schemeClr w14:val="tx1"/>
            </w14:solidFill>
          </w14:textFill>
        </w:rPr>
      </w:pPr>
    </w:p>
    <w:p w14:paraId="238BEC1E">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outlineLvl w:val="9"/>
        <w:rPr>
          <w:rFonts w:hint="eastAsia" w:ascii="Times New Roman" w:hAnsi="Times New Roman" w:eastAsia="宋体" w:cs="Times New Roman"/>
          <w:b/>
          <w:bCs/>
          <w:color w:val="000000" w:themeColor="text1"/>
          <w:kern w:val="2"/>
          <w:sz w:val="32"/>
          <w:szCs w:val="32"/>
          <w:lang w:val="en-US" w:eastAsia="zh-CN" w:bidi="ar-SA"/>
          <w14:textFill>
            <w14:solidFill>
              <w14:schemeClr w14:val="tx1"/>
            </w14:solidFill>
          </w14:textFill>
        </w:rPr>
      </w:pPr>
    </w:p>
    <w:p w14:paraId="10466E64">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outlineLvl w:val="9"/>
        <w:rPr>
          <w:rFonts w:hint="eastAsia" w:ascii="Times New Roman" w:hAnsi="Times New Roman" w:eastAsia="宋体" w:cs="Times New Roman"/>
          <w:b/>
          <w:bCs/>
          <w:color w:val="000000" w:themeColor="text1"/>
          <w:kern w:val="2"/>
          <w:sz w:val="32"/>
          <w:szCs w:val="32"/>
          <w:lang w:val="en-US" w:eastAsia="zh-CN" w:bidi="ar-SA"/>
          <w14:textFill>
            <w14:solidFill>
              <w14:schemeClr w14:val="tx1"/>
            </w14:solidFill>
          </w14:textFill>
        </w:rPr>
      </w:pPr>
    </w:p>
    <w:p w14:paraId="2C340F9F">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outlineLvl w:val="9"/>
        <w:rPr>
          <w:rFonts w:hint="eastAsia" w:ascii="Times New Roman" w:hAnsi="Times New Roman" w:eastAsia="宋体" w:cs="Times New Roman"/>
          <w:b/>
          <w:bCs/>
          <w:color w:val="000000" w:themeColor="text1"/>
          <w:kern w:val="2"/>
          <w:sz w:val="32"/>
          <w:szCs w:val="32"/>
          <w:lang w:val="en-US" w:eastAsia="zh-CN" w:bidi="ar-SA"/>
          <w14:textFill>
            <w14:solidFill>
              <w14:schemeClr w14:val="tx1"/>
            </w14:solidFill>
          </w14:textFill>
        </w:rPr>
      </w:pPr>
    </w:p>
    <w:p w14:paraId="15292ECF">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outlineLvl w:val="9"/>
        <w:rPr>
          <w:rFonts w:hint="eastAsia" w:ascii="Times New Roman" w:hAnsi="Times New Roman" w:eastAsia="宋体" w:cs="Times New Roman"/>
          <w:b/>
          <w:bCs/>
          <w:color w:val="000000" w:themeColor="text1"/>
          <w:kern w:val="2"/>
          <w:sz w:val="32"/>
          <w:szCs w:val="32"/>
          <w:lang w:val="en-US" w:eastAsia="zh-CN" w:bidi="ar-SA"/>
          <w14:textFill>
            <w14:solidFill>
              <w14:schemeClr w14:val="tx1"/>
            </w14:solidFill>
          </w14:textFill>
        </w:rPr>
      </w:pPr>
    </w:p>
    <w:p w14:paraId="4CEBF6C2">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outlineLvl w:val="9"/>
        <w:rPr>
          <w:rFonts w:hint="eastAsia" w:ascii="Times New Roman" w:hAnsi="Times New Roman" w:eastAsia="宋体" w:cs="Times New Roman"/>
          <w:b/>
          <w:bCs/>
          <w:color w:val="000000" w:themeColor="text1"/>
          <w:kern w:val="2"/>
          <w:sz w:val="32"/>
          <w:szCs w:val="32"/>
          <w:lang w:val="en-US" w:eastAsia="zh-CN" w:bidi="ar-SA"/>
          <w14:textFill>
            <w14:solidFill>
              <w14:schemeClr w14:val="tx1"/>
            </w14:solidFill>
          </w14:textFill>
        </w:rPr>
      </w:pPr>
    </w:p>
    <w:p w14:paraId="05890E0B">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outlineLvl w:val="9"/>
        <w:rPr>
          <w:rFonts w:hint="eastAsia" w:ascii="Times New Roman" w:hAnsi="Times New Roman" w:eastAsia="宋体" w:cs="Times New Roman"/>
          <w:b/>
          <w:bCs/>
          <w:color w:val="000000" w:themeColor="text1"/>
          <w:kern w:val="2"/>
          <w:sz w:val="32"/>
          <w:szCs w:val="32"/>
          <w:lang w:val="en-US" w:eastAsia="zh-CN" w:bidi="ar-SA"/>
          <w14:textFill>
            <w14:solidFill>
              <w14:schemeClr w14:val="tx1"/>
            </w14:solidFill>
          </w14:textFill>
        </w:rPr>
      </w:pPr>
    </w:p>
    <w:p w14:paraId="39588AB8">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auto"/>
        <w:outlineLvl w:val="0"/>
        <w:rPr>
          <w:rFonts w:hint="eastAsia" w:ascii="宋体" w:hAnsi="宋体" w:eastAsia="宋体" w:cs="宋体"/>
          <w:b/>
          <w:bCs/>
          <w:color w:val="000000" w:themeColor="text1"/>
          <w:kern w:val="2"/>
          <w:sz w:val="32"/>
          <w:szCs w:val="32"/>
          <w:lang w:val="en-US" w:eastAsia="zh-CN" w:bidi="ar-SA"/>
          <w14:textFill>
            <w14:solidFill>
              <w14:schemeClr w14:val="tx1"/>
            </w14:solidFill>
          </w14:textFill>
        </w:rPr>
        <w:sectPr>
          <w:footerReference r:id="rId15" w:type="default"/>
          <w:pgSz w:w="11906" w:h="16838"/>
          <w:pgMar w:top="1417" w:right="1417" w:bottom="1417" w:left="1587" w:header="851" w:footer="992" w:gutter="0"/>
          <w:pgNumType w:fmt="decimal"/>
          <w:cols w:space="425" w:num="1"/>
          <w:docGrid w:type="lines" w:linePitch="312" w:charSpace="0"/>
        </w:sectPr>
      </w:pPr>
      <w:bookmarkStart w:id="529" w:name="_Toc23632"/>
    </w:p>
    <w:p w14:paraId="15794ABA">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0" w:leftChars="0" w:firstLine="0" w:firstLineChars="0"/>
        <w:jc w:val="center"/>
        <w:textAlignment w:val="auto"/>
        <w:outlineLvl w:val="0"/>
        <w:rPr>
          <w:rFonts w:hint="eastAsia"/>
          <w:b/>
          <w:bCs/>
          <w:color w:val="000000" w:themeColor="text1"/>
          <w:sz w:val="32"/>
          <w:szCs w:val="32"/>
          <w:lang w:val="en-US" w:eastAsia="zh-CN"/>
          <w14:textFill>
            <w14:solidFill>
              <w14:schemeClr w14:val="tx1"/>
            </w14:solidFill>
          </w14:textFill>
        </w:rPr>
      </w:pPr>
      <w:r>
        <w:rPr>
          <w:rFonts w:hint="eastAsia" w:ascii="宋体" w:hAnsi="宋体" w:eastAsia="宋体" w:cs="宋体"/>
          <w:b/>
          <w:bCs/>
          <w:color w:val="000000" w:themeColor="text1"/>
          <w:kern w:val="2"/>
          <w:sz w:val="32"/>
          <w:szCs w:val="32"/>
          <w:lang w:val="en-US" w:eastAsia="zh-CN" w:bidi="ar-SA"/>
          <w14:textFill>
            <w14:solidFill>
              <w14:schemeClr w14:val="tx1"/>
            </w14:solidFill>
          </w14:textFill>
        </w:rPr>
        <w:t>8</w:t>
      </w:r>
      <w:r>
        <w:rPr>
          <w:rFonts w:hint="eastAsia" w:cs="Times New Roman"/>
          <w:b/>
          <w:bCs/>
          <w:color w:val="000000" w:themeColor="text1"/>
          <w:kern w:val="2"/>
          <w:sz w:val="32"/>
          <w:szCs w:val="32"/>
          <w:lang w:val="en-US" w:eastAsia="zh-CN" w:bidi="ar-SA"/>
          <w14:textFill>
            <w14:solidFill>
              <w14:schemeClr w14:val="tx1"/>
            </w14:solidFill>
          </w14:textFill>
        </w:rPr>
        <w:t xml:space="preserve"> </w:t>
      </w:r>
      <w:r>
        <w:rPr>
          <w:rFonts w:hint="eastAsia"/>
          <w:b/>
          <w:bCs/>
          <w:color w:val="000000" w:themeColor="text1"/>
          <w:sz w:val="32"/>
          <w:szCs w:val="32"/>
          <w:lang w:val="en-US" w:eastAsia="zh-CN"/>
          <w14:textFill>
            <w14:solidFill>
              <w14:schemeClr w14:val="tx1"/>
            </w14:solidFill>
          </w14:textFill>
        </w:rPr>
        <w:t>与建设单位交换意见情况</w:t>
      </w:r>
      <w:bookmarkEnd w:id="529"/>
    </w:p>
    <w:p w14:paraId="719595C5">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针对项目验收评价过程中发现的问题，评价组向华能澜沧江（</w:t>
      </w:r>
      <w:r>
        <w:rPr>
          <w:rFonts w:hint="eastAsia" w:ascii="宋体" w:hAnsi="宋体" w:cs="宋体"/>
          <w:color w:val="000000" w:themeColor="text1"/>
          <w:sz w:val="28"/>
          <w:szCs w:val="28"/>
          <w:lang w:val="en-US" w:eastAsia="zh-CN"/>
          <w14:textFill>
            <w14:solidFill>
              <w14:schemeClr w14:val="tx1"/>
            </w14:solidFill>
          </w14:textFill>
        </w:rPr>
        <w:t>景洪</w:t>
      </w:r>
      <w:r>
        <w:rPr>
          <w:rFonts w:hint="eastAsia" w:ascii="宋体" w:hAnsi="宋体" w:eastAsia="宋体" w:cs="宋体"/>
          <w:color w:val="000000" w:themeColor="text1"/>
          <w:sz w:val="28"/>
          <w:szCs w:val="28"/>
          <w14:textFill>
            <w14:solidFill>
              <w14:schemeClr w14:val="tx1"/>
            </w14:solidFill>
          </w14:textFill>
        </w:rPr>
        <w:t>）新能源有限公司交换了意见，提出下面的意见建议：</w:t>
      </w:r>
    </w:p>
    <w:p w14:paraId="002015AB">
      <w:pPr>
        <w:keepNext w:val="0"/>
        <w:keepLines w:val="0"/>
        <w:pageBreakBefore w:val="0"/>
        <w:widowControl w:val="0"/>
        <w:numPr>
          <w:ilvl w:val="0"/>
          <w:numId w:val="57"/>
        </w:numPr>
        <w:kinsoku/>
        <w:wordWrap/>
        <w:overflowPunct/>
        <w:topLinePunct w:val="0"/>
        <w:autoSpaceDE/>
        <w:autoSpaceDN/>
        <w:bidi w:val="0"/>
        <w:adjustRightInd/>
        <w:snapToGrid/>
        <w:spacing w:line="42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电站</w:t>
      </w:r>
      <w:r>
        <w:rPr>
          <w:rFonts w:hint="eastAsia" w:ascii="宋体" w:hAnsi="宋体" w:eastAsia="宋体" w:cs="宋体"/>
          <w:color w:val="000000" w:themeColor="text1"/>
          <w:sz w:val="28"/>
          <w:szCs w:val="28"/>
          <w14:textFill>
            <w14:solidFill>
              <w14:schemeClr w14:val="tx1"/>
            </w14:solidFill>
          </w14:textFill>
        </w:rPr>
        <w:t>应进一步深化落实安全风险分级管控和隐患排查治理双重预防机制建设，从源头上防范化解重大安全风险、防止生产安全事故的发生。</w:t>
      </w:r>
    </w:p>
    <w:p w14:paraId="7F2BF76D">
      <w:pPr>
        <w:keepNext w:val="0"/>
        <w:keepLines w:val="0"/>
        <w:pageBreakBefore w:val="0"/>
        <w:widowControl w:val="0"/>
        <w:numPr>
          <w:ilvl w:val="0"/>
          <w:numId w:val="57"/>
        </w:numPr>
        <w:kinsoku/>
        <w:wordWrap/>
        <w:overflowPunct/>
        <w:topLinePunct w:val="0"/>
        <w:autoSpaceDE/>
        <w:autoSpaceDN/>
        <w:bidi w:val="0"/>
        <w:adjustRightInd/>
        <w:snapToGrid/>
        <w:spacing w:line="420" w:lineRule="exact"/>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电站</w:t>
      </w:r>
      <w:r>
        <w:rPr>
          <w:rFonts w:hint="eastAsia" w:ascii="宋体" w:hAnsi="宋体" w:eastAsia="宋体" w:cs="宋体"/>
          <w:color w:val="000000" w:themeColor="text1"/>
          <w:sz w:val="28"/>
          <w:szCs w:val="28"/>
          <w14:textFill>
            <w14:solidFill>
              <w14:schemeClr w14:val="tx1"/>
            </w14:solidFill>
          </w14:textFill>
        </w:rPr>
        <w:t>应当认真组织应急预案、应急知识、自救互救和避险逃生技能的培训活动，使有关人员了解应急预案内容，熟悉应急职责、应急处置程序和措施。并根据公司制定的应急预案，每年制定应急预案演练计划，定期开展综合（专项）应急预案演练和现场处置方案演练。</w:t>
      </w:r>
    </w:p>
    <w:p w14:paraId="59BB94EB">
      <w:pPr>
        <w:keepNext w:val="0"/>
        <w:keepLines w:val="0"/>
        <w:pageBreakBefore w:val="0"/>
        <w:widowControl w:val="0"/>
        <w:numPr>
          <w:ilvl w:val="0"/>
          <w:numId w:val="57"/>
        </w:numPr>
        <w:kinsoku/>
        <w:wordWrap/>
        <w:overflowPunct/>
        <w:topLinePunct w:val="0"/>
        <w:autoSpaceDE/>
        <w:autoSpaceDN/>
        <w:bidi w:val="0"/>
        <w:adjustRightInd/>
        <w:snapToGrid/>
        <w:spacing w:line="420" w:lineRule="exact"/>
        <w:ind w:left="0" w:leftChars="0"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按照《中华人民共和国安全生产法》、《关于深入开展电力安全生 产标准化工作的指导意见》（电监安全〔2011〕21 号）和《关于印发发电 企业安全生产标准化规范及达标评级标准的通知》（电监安全〔2011〕23 号），开展电站安全生产标准化达标创建工作。</w:t>
      </w:r>
    </w:p>
    <w:p w14:paraId="3CBA91E0">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华能澜沧江（</w:t>
      </w:r>
      <w:r>
        <w:rPr>
          <w:rFonts w:hint="eastAsia" w:ascii="宋体" w:hAnsi="宋体" w:cs="宋体"/>
          <w:color w:val="000000" w:themeColor="text1"/>
          <w:sz w:val="28"/>
          <w:szCs w:val="28"/>
          <w:lang w:val="en-US" w:eastAsia="zh-CN"/>
          <w14:textFill>
            <w14:solidFill>
              <w14:schemeClr w14:val="tx1"/>
            </w14:solidFill>
          </w14:textFill>
        </w:rPr>
        <w:t>景洪</w:t>
      </w:r>
      <w:r>
        <w:rPr>
          <w:rFonts w:hint="eastAsia" w:ascii="宋体" w:hAnsi="宋体" w:eastAsia="宋体" w:cs="宋体"/>
          <w:color w:val="000000" w:themeColor="text1"/>
          <w:sz w:val="28"/>
          <w:szCs w:val="28"/>
          <w14:textFill>
            <w14:solidFill>
              <w14:schemeClr w14:val="tx1"/>
            </w14:solidFill>
          </w14:textFill>
        </w:rPr>
        <w:t>）新能源有限公司对评价小组提出的意见和建议完全接受。</w:t>
      </w:r>
    </w:p>
    <w:p w14:paraId="20E4FBE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center"/>
        <w:textAlignment w:val="auto"/>
        <w:outlineLvl w:val="9"/>
        <w:rPr>
          <w:rFonts w:hint="eastAsia"/>
          <w:b/>
          <w:bCs/>
          <w:color w:val="000000" w:themeColor="text1"/>
          <w:sz w:val="32"/>
          <w:szCs w:val="32"/>
          <w:lang w:val="en-US" w:eastAsia="zh-CN"/>
          <w14:textFill>
            <w14:solidFill>
              <w14:schemeClr w14:val="tx1"/>
            </w14:solidFill>
          </w14:textFill>
        </w:rPr>
      </w:pPr>
    </w:p>
    <w:p w14:paraId="318DF47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center"/>
        <w:textAlignment w:val="auto"/>
        <w:outlineLvl w:val="9"/>
        <w:rPr>
          <w:rFonts w:hint="eastAsia"/>
          <w:b/>
          <w:bCs/>
          <w:color w:val="000000" w:themeColor="text1"/>
          <w:sz w:val="32"/>
          <w:szCs w:val="32"/>
          <w:lang w:val="en-US" w:eastAsia="zh-CN"/>
          <w14:textFill>
            <w14:solidFill>
              <w14:schemeClr w14:val="tx1"/>
            </w14:solidFill>
          </w14:textFill>
        </w:rPr>
      </w:pPr>
    </w:p>
    <w:p w14:paraId="027ADED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center"/>
        <w:textAlignment w:val="auto"/>
        <w:outlineLvl w:val="9"/>
        <w:rPr>
          <w:rFonts w:hint="eastAsia"/>
          <w:b/>
          <w:bCs/>
          <w:color w:val="000000" w:themeColor="text1"/>
          <w:sz w:val="32"/>
          <w:szCs w:val="32"/>
          <w:lang w:val="en-US" w:eastAsia="zh-CN"/>
          <w14:textFill>
            <w14:solidFill>
              <w14:schemeClr w14:val="tx1"/>
            </w14:solidFill>
          </w14:textFill>
        </w:rPr>
      </w:pPr>
    </w:p>
    <w:p w14:paraId="2254235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center"/>
        <w:textAlignment w:val="auto"/>
        <w:outlineLvl w:val="9"/>
        <w:rPr>
          <w:rFonts w:hint="eastAsia"/>
          <w:b/>
          <w:bCs/>
          <w:color w:val="000000" w:themeColor="text1"/>
          <w:sz w:val="32"/>
          <w:szCs w:val="32"/>
          <w:lang w:val="en-US" w:eastAsia="zh-CN"/>
          <w14:textFill>
            <w14:solidFill>
              <w14:schemeClr w14:val="tx1"/>
            </w14:solidFill>
          </w14:textFill>
        </w:rPr>
      </w:pPr>
    </w:p>
    <w:p w14:paraId="0E0005D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center"/>
        <w:textAlignment w:val="auto"/>
        <w:outlineLvl w:val="9"/>
        <w:rPr>
          <w:rFonts w:hint="eastAsia"/>
          <w:b/>
          <w:bCs/>
          <w:color w:val="000000" w:themeColor="text1"/>
          <w:sz w:val="32"/>
          <w:szCs w:val="32"/>
          <w:lang w:val="en-US" w:eastAsia="zh-CN"/>
          <w14:textFill>
            <w14:solidFill>
              <w14:schemeClr w14:val="tx1"/>
            </w14:solidFill>
          </w14:textFill>
        </w:rPr>
      </w:pPr>
    </w:p>
    <w:p w14:paraId="613B8F7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center"/>
        <w:textAlignment w:val="auto"/>
        <w:outlineLvl w:val="9"/>
        <w:rPr>
          <w:rFonts w:hint="eastAsia"/>
          <w:b/>
          <w:bCs/>
          <w:color w:val="000000" w:themeColor="text1"/>
          <w:sz w:val="32"/>
          <w:szCs w:val="32"/>
          <w:lang w:val="en-US" w:eastAsia="zh-CN"/>
          <w14:textFill>
            <w14:solidFill>
              <w14:schemeClr w14:val="tx1"/>
            </w14:solidFill>
          </w14:textFill>
        </w:rPr>
      </w:pPr>
    </w:p>
    <w:p w14:paraId="7AD3660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outlineLvl w:val="9"/>
        <w:rPr>
          <w:rFonts w:hint="eastAsia" w:ascii="Times New Roman" w:hAnsi="Times New Roman" w:eastAsia="宋体" w:cs="Times New Roman"/>
          <w:b/>
          <w:bCs/>
          <w:color w:val="000000" w:themeColor="text1"/>
          <w:kern w:val="2"/>
          <w:sz w:val="32"/>
          <w:szCs w:val="32"/>
          <w:lang w:val="en-US" w:eastAsia="zh-CN" w:bidi="ar-SA"/>
          <w14:textFill>
            <w14:solidFill>
              <w14:schemeClr w14:val="tx1"/>
            </w14:solidFill>
          </w14:textFill>
        </w:rPr>
      </w:pPr>
    </w:p>
    <w:p w14:paraId="627A24B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outlineLvl w:val="9"/>
        <w:rPr>
          <w:rFonts w:hint="eastAsia" w:ascii="Times New Roman" w:hAnsi="Times New Roman" w:eastAsia="宋体" w:cs="Times New Roman"/>
          <w:b/>
          <w:bCs/>
          <w:color w:val="000000" w:themeColor="text1"/>
          <w:kern w:val="2"/>
          <w:sz w:val="32"/>
          <w:szCs w:val="32"/>
          <w:lang w:val="en-US" w:eastAsia="zh-CN" w:bidi="ar-SA"/>
          <w14:textFill>
            <w14:solidFill>
              <w14:schemeClr w14:val="tx1"/>
            </w14:solidFill>
          </w14:textFill>
        </w:rPr>
      </w:pPr>
    </w:p>
    <w:p w14:paraId="131FF48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outlineLvl w:val="9"/>
        <w:rPr>
          <w:rFonts w:hint="eastAsia" w:ascii="Times New Roman" w:hAnsi="Times New Roman" w:eastAsia="宋体" w:cs="Times New Roman"/>
          <w:b/>
          <w:bCs/>
          <w:color w:val="000000" w:themeColor="text1"/>
          <w:kern w:val="2"/>
          <w:sz w:val="32"/>
          <w:szCs w:val="32"/>
          <w:lang w:val="en-US" w:eastAsia="zh-CN" w:bidi="ar-SA"/>
          <w14:textFill>
            <w14:solidFill>
              <w14:schemeClr w14:val="tx1"/>
            </w14:solidFill>
          </w14:textFill>
        </w:rPr>
      </w:pPr>
    </w:p>
    <w:p w14:paraId="6658137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outlineLvl w:val="9"/>
        <w:rPr>
          <w:rFonts w:hint="eastAsia" w:ascii="Times New Roman" w:hAnsi="Times New Roman" w:eastAsia="宋体" w:cs="Times New Roman"/>
          <w:b/>
          <w:bCs/>
          <w:color w:val="000000" w:themeColor="text1"/>
          <w:kern w:val="2"/>
          <w:sz w:val="32"/>
          <w:szCs w:val="32"/>
          <w:lang w:val="en-US" w:eastAsia="zh-CN" w:bidi="ar-SA"/>
          <w14:textFill>
            <w14:solidFill>
              <w14:schemeClr w14:val="tx1"/>
            </w14:solidFill>
          </w14:textFill>
        </w:rPr>
      </w:pPr>
    </w:p>
    <w:p w14:paraId="411C442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outlineLvl w:val="9"/>
        <w:rPr>
          <w:rFonts w:hint="eastAsia" w:ascii="Times New Roman" w:hAnsi="Times New Roman" w:eastAsia="宋体" w:cs="Times New Roman"/>
          <w:b/>
          <w:bCs/>
          <w:color w:val="000000" w:themeColor="text1"/>
          <w:kern w:val="2"/>
          <w:sz w:val="32"/>
          <w:szCs w:val="32"/>
          <w:lang w:val="en-US" w:eastAsia="zh-CN" w:bidi="ar-SA"/>
          <w14:textFill>
            <w14:solidFill>
              <w14:schemeClr w14:val="tx1"/>
            </w14:solidFill>
          </w14:textFill>
        </w:rPr>
      </w:pPr>
    </w:p>
    <w:p w14:paraId="3365285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outlineLvl w:val="9"/>
        <w:rPr>
          <w:rFonts w:hint="eastAsia" w:ascii="Times New Roman" w:hAnsi="Times New Roman" w:eastAsia="宋体" w:cs="Times New Roman"/>
          <w:b/>
          <w:bCs/>
          <w:color w:val="000000" w:themeColor="text1"/>
          <w:kern w:val="2"/>
          <w:sz w:val="32"/>
          <w:szCs w:val="32"/>
          <w:lang w:val="en-US" w:eastAsia="zh-CN" w:bidi="ar-SA"/>
          <w14:textFill>
            <w14:solidFill>
              <w14:schemeClr w14:val="tx1"/>
            </w14:solidFill>
          </w14:textFill>
        </w:rPr>
      </w:pPr>
    </w:p>
    <w:p w14:paraId="2F3BEC6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outlineLvl w:val="0"/>
        <w:rPr>
          <w:rFonts w:hint="eastAsia" w:ascii="Times New Roman" w:hAnsi="Times New Roman" w:eastAsia="宋体" w:cs="Times New Roman"/>
          <w:b/>
          <w:bCs/>
          <w:color w:val="000000" w:themeColor="text1"/>
          <w:kern w:val="2"/>
          <w:sz w:val="32"/>
          <w:szCs w:val="32"/>
          <w:lang w:val="en-US" w:eastAsia="zh-CN" w:bidi="ar-SA"/>
          <w14:textFill>
            <w14:solidFill>
              <w14:schemeClr w14:val="tx1"/>
            </w14:solidFill>
          </w14:textFill>
        </w:rPr>
      </w:pPr>
    </w:p>
    <w:p w14:paraId="3F3B330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outlineLvl w:val="0"/>
        <w:rPr>
          <w:rFonts w:hint="eastAsia" w:ascii="Times New Roman" w:hAnsi="Times New Roman" w:eastAsia="宋体" w:cs="Times New Roman"/>
          <w:b/>
          <w:bCs/>
          <w:color w:val="000000" w:themeColor="text1"/>
          <w:kern w:val="2"/>
          <w:sz w:val="32"/>
          <w:szCs w:val="32"/>
          <w:lang w:val="en-US" w:eastAsia="zh-CN" w:bidi="ar-SA"/>
          <w14:textFill>
            <w14:solidFill>
              <w14:schemeClr w14:val="tx1"/>
            </w14:solidFill>
          </w14:textFill>
        </w:rPr>
      </w:pPr>
    </w:p>
    <w:p w14:paraId="766E371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jc w:val="center"/>
        <w:textAlignment w:val="auto"/>
        <w:outlineLvl w:val="0"/>
        <w:rPr>
          <w:rFonts w:hint="eastAsia"/>
          <w:b/>
          <w:bCs/>
          <w:color w:val="000000" w:themeColor="text1"/>
          <w:sz w:val="32"/>
          <w:szCs w:val="32"/>
          <w:lang w:val="en-US" w:eastAsia="zh-CN"/>
          <w14:textFill>
            <w14:solidFill>
              <w14:schemeClr w14:val="tx1"/>
            </w14:solidFill>
          </w14:textFill>
        </w:rPr>
      </w:pPr>
      <w:bookmarkStart w:id="530" w:name="_Toc5761"/>
      <w:r>
        <w:rPr>
          <w:rFonts w:hint="eastAsia" w:ascii="宋体" w:hAnsi="宋体" w:eastAsia="宋体" w:cs="宋体"/>
          <w:b/>
          <w:bCs/>
          <w:color w:val="000000" w:themeColor="text1"/>
          <w:kern w:val="2"/>
          <w:sz w:val="32"/>
          <w:szCs w:val="32"/>
          <w:lang w:val="en-US" w:eastAsia="zh-CN" w:bidi="ar-SA"/>
          <w14:textFill>
            <w14:solidFill>
              <w14:schemeClr w14:val="tx1"/>
            </w14:solidFill>
          </w14:textFill>
        </w:rPr>
        <w:t>9</w:t>
      </w:r>
      <w:r>
        <w:rPr>
          <w:rFonts w:hint="eastAsia" w:cs="Times New Roman"/>
          <w:b/>
          <w:bCs/>
          <w:color w:val="000000" w:themeColor="text1"/>
          <w:kern w:val="2"/>
          <w:sz w:val="32"/>
          <w:szCs w:val="32"/>
          <w:lang w:val="en-US" w:eastAsia="zh-CN" w:bidi="ar-SA"/>
          <w14:textFill>
            <w14:solidFill>
              <w14:schemeClr w14:val="tx1"/>
            </w14:solidFill>
          </w14:textFill>
        </w:rPr>
        <w:t xml:space="preserve"> </w:t>
      </w:r>
      <w:r>
        <w:rPr>
          <w:rFonts w:hint="eastAsia"/>
          <w:b/>
          <w:bCs/>
          <w:color w:val="000000" w:themeColor="text1"/>
          <w:sz w:val="32"/>
          <w:szCs w:val="32"/>
          <w:lang w:val="en-US" w:eastAsia="zh-CN"/>
          <w14:textFill>
            <w14:solidFill>
              <w14:schemeClr w14:val="tx1"/>
            </w14:solidFill>
          </w14:textFill>
        </w:rPr>
        <w:t>附件附图</w:t>
      </w:r>
      <w:bookmarkEnd w:id="530"/>
    </w:p>
    <w:p w14:paraId="760888C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both"/>
        <w:textAlignment w:val="auto"/>
        <w:outlineLvl w:val="1"/>
        <w:rPr>
          <w:rFonts w:hint="eastAsia" w:ascii="宋体" w:hAnsi="宋体" w:eastAsia="宋体" w:cs="宋体"/>
          <w:b/>
          <w:bCs/>
          <w:color w:val="000000" w:themeColor="text1"/>
          <w:sz w:val="30"/>
          <w:szCs w:val="30"/>
          <w:lang w:val="en-US" w:eastAsia="zh-CN"/>
          <w14:textFill>
            <w14:solidFill>
              <w14:schemeClr w14:val="tx1"/>
            </w14:solidFill>
          </w14:textFill>
        </w:rPr>
      </w:pPr>
      <w:bookmarkStart w:id="531" w:name="_Toc29779"/>
      <w:r>
        <w:rPr>
          <w:rFonts w:hint="eastAsia" w:ascii="宋体" w:hAnsi="宋体" w:eastAsia="宋体" w:cs="宋体"/>
          <w:b/>
          <w:bCs/>
          <w:color w:val="000000" w:themeColor="text1"/>
          <w:sz w:val="30"/>
          <w:szCs w:val="30"/>
          <w:lang w:val="en-US" w:eastAsia="zh-CN"/>
          <w14:textFill>
            <w14:solidFill>
              <w14:schemeClr w14:val="tx1"/>
            </w14:solidFill>
          </w14:textFill>
        </w:rPr>
        <w:t>9.1附件</w:t>
      </w:r>
      <w:bookmarkEnd w:id="531"/>
    </w:p>
    <w:p w14:paraId="011888A1">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附件1  </w:t>
      </w:r>
      <w:r>
        <w:rPr>
          <w:color w:val="000000" w:themeColor="text1"/>
          <w:sz w:val="28"/>
          <w:szCs w:val="28"/>
          <w14:textFill>
            <w14:solidFill>
              <w14:schemeClr w14:val="tx1"/>
            </w14:solidFill>
          </w14:textFill>
        </w:rPr>
        <w:t>安全评价委托书</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承诺书</w:t>
      </w:r>
    </w:p>
    <w:p w14:paraId="5B6152B0">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附件2  </w:t>
      </w:r>
      <w:r>
        <w:rPr>
          <w:color w:val="000000" w:themeColor="text1"/>
          <w:sz w:val="28"/>
          <w:szCs w:val="28"/>
          <w14:textFill>
            <w14:solidFill>
              <w14:schemeClr w14:val="tx1"/>
            </w14:solidFill>
          </w14:textFill>
        </w:rPr>
        <w:t>企业营业执照</w:t>
      </w:r>
    </w:p>
    <w:p w14:paraId="0F8B3AA2">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附件3  </w:t>
      </w:r>
      <w:r>
        <w:rPr>
          <w:rFonts w:hint="eastAsia" w:cs="Times New Roman"/>
          <w:color w:val="000000" w:themeColor="text1"/>
          <w:kern w:val="2"/>
          <w:sz w:val="28"/>
          <w:szCs w:val="28"/>
          <w:lang w:val="en-US" w:eastAsia="zh-CN" w:bidi="ar-SA"/>
          <w14:textFill>
            <w14:solidFill>
              <w14:schemeClr w14:val="tx1"/>
            </w14:solidFill>
          </w14:textFill>
        </w:rPr>
        <w:t>建设项目</w:t>
      </w:r>
      <w:r>
        <w:rPr>
          <w:rStyle w:val="38"/>
          <w:rFonts w:hint="eastAsia"/>
          <w:color w:val="000000" w:themeColor="text1"/>
          <w14:textFill>
            <w14:solidFill>
              <w14:schemeClr w14:val="tx1"/>
            </w14:solidFill>
          </w14:textFill>
        </w:rPr>
        <w:t>《投资项目备案证》</w:t>
      </w:r>
    </w:p>
    <w:p w14:paraId="0C37818C">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color w:val="000000" w:themeColor="text1"/>
          <w:sz w:val="28"/>
          <w:szCs w:val="28"/>
          <w:highlight w:val="none"/>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附件4  </w:t>
      </w:r>
      <w:r>
        <w:rPr>
          <w:rStyle w:val="38"/>
          <w:rFonts w:hint="eastAsia"/>
          <w:color w:val="000000" w:themeColor="text1"/>
          <w:highlight w:val="none"/>
          <w:lang w:val="en-US" w:eastAsia="zh-CN"/>
          <w14:textFill>
            <w14:solidFill>
              <w14:schemeClr w14:val="tx1"/>
            </w14:solidFill>
          </w14:textFill>
        </w:rPr>
        <w:t>岩土工程勘查报告封面、资质</w:t>
      </w:r>
    </w:p>
    <w:p w14:paraId="54D5890E">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附件5  </w:t>
      </w:r>
      <w:r>
        <w:rPr>
          <w:rFonts w:hint="eastAsia" w:eastAsia="宋体"/>
          <w:color w:val="000000" w:themeColor="text1"/>
          <w:sz w:val="28"/>
          <w:szCs w:val="28"/>
          <w:lang w:val="en-US" w:eastAsia="zh-CN"/>
          <w14:textFill>
            <w14:solidFill>
              <w14:schemeClr w14:val="tx1"/>
            </w14:solidFill>
          </w14:textFill>
        </w:rPr>
        <w:t>安全生产条件和设施综合分析报告封面、资质、扉页</w:t>
      </w:r>
    </w:p>
    <w:p w14:paraId="427AA53C">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附件6  </w:t>
      </w:r>
      <w:r>
        <w:rPr>
          <w:rFonts w:hint="eastAsia" w:eastAsia="宋体"/>
          <w:color w:val="000000" w:themeColor="text1"/>
          <w:sz w:val="28"/>
          <w:szCs w:val="28"/>
          <w:lang w:val="en-US" w:eastAsia="zh-CN"/>
          <w14:textFill>
            <w14:solidFill>
              <w14:schemeClr w14:val="tx1"/>
            </w14:solidFill>
          </w14:textFill>
        </w:rPr>
        <w:t>安全设施设计封面及资质、扉页、评审意见</w:t>
      </w:r>
    </w:p>
    <w:p w14:paraId="4965D74C">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附件7  </w:t>
      </w:r>
      <w:r>
        <w:rPr>
          <w:rFonts w:hint="eastAsia" w:eastAsia="宋体"/>
          <w:color w:val="000000" w:themeColor="text1"/>
          <w:sz w:val="28"/>
          <w:szCs w:val="28"/>
          <w:lang w:val="en-US" w:eastAsia="zh-CN"/>
          <w14:textFill>
            <w14:solidFill>
              <w14:schemeClr w14:val="tx1"/>
            </w14:solidFill>
          </w14:textFill>
        </w:rPr>
        <w:t>施工单位资质及施工总结报告</w:t>
      </w:r>
    </w:p>
    <w:p w14:paraId="7F16103E">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附件8  </w:t>
      </w:r>
      <w:r>
        <w:rPr>
          <w:rFonts w:hint="eastAsia" w:eastAsia="宋体"/>
          <w:color w:val="000000" w:themeColor="text1"/>
          <w:sz w:val="28"/>
          <w:szCs w:val="28"/>
          <w:lang w:val="en-US" w:eastAsia="zh-CN"/>
          <w14:textFill>
            <w14:solidFill>
              <w14:schemeClr w14:val="tx1"/>
            </w14:solidFill>
          </w14:textFill>
        </w:rPr>
        <w:t>监理单位资质及监理总结报告</w:t>
      </w:r>
    </w:p>
    <w:p w14:paraId="169EF18C">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附件9  </w:t>
      </w:r>
      <w:r>
        <w:rPr>
          <w:rFonts w:hint="eastAsia" w:eastAsia="宋体"/>
          <w:color w:val="000000" w:themeColor="text1"/>
          <w:sz w:val="28"/>
          <w:szCs w:val="28"/>
          <w:lang w:val="en-US" w:eastAsia="zh-CN"/>
          <w14:textFill>
            <w14:solidFill>
              <w14:schemeClr w14:val="tx1"/>
            </w14:solidFill>
          </w14:textFill>
        </w:rPr>
        <w:t>试运行总结报告</w:t>
      </w:r>
    </w:p>
    <w:p w14:paraId="73FF62D3">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附件10  </w:t>
      </w:r>
      <w:r>
        <w:rPr>
          <w:rFonts w:hint="eastAsia" w:eastAsia="宋体"/>
          <w:color w:val="000000" w:themeColor="text1"/>
          <w:sz w:val="28"/>
          <w:szCs w:val="28"/>
          <w:lang w:val="en-US" w:eastAsia="zh-CN"/>
          <w14:textFill>
            <w14:solidFill>
              <w14:schemeClr w14:val="tx1"/>
            </w14:solidFill>
          </w14:textFill>
        </w:rPr>
        <w:t>工程试运行验收证书</w:t>
      </w:r>
    </w:p>
    <w:p w14:paraId="0C0899BD">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附件11  </w:t>
      </w:r>
      <w:r>
        <w:rPr>
          <w:rFonts w:hint="eastAsia" w:eastAsia="宋体"/>
          <w:color w:val="000000" w:themeColor="text1"/>
          <w:sz w:val="28"/>
          <w:szCs w:val="28"/>
          <w:lang w:val="en-US" w:eastAsia="zh-CN"/>
          <w14:textFill>
            <w14:solidFill>
              <w14:schemeClr w14:val="tx1"/>
            </w14:solidFill>
          </w14:textFill>
        </w:rPr>
        <w:t>企业主要负责人证书、授权委托书及任命文件、安全管理人员证书、特种作业人员证书</w:t>
      </w:r>
    </w:p>
    <w:p w14:paraId="65B0FF78">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附件12  </w:t>
      </w:r>
      <w:r>
        <w:rPr>
          <w:rFonts w:hint="eastAsia" w:eastAsia="宋体"/>
          <w:color w:val="000000" w:themeColor="text1"/>
          <w:sz w:val="28"/>
          <w:szCs w:val="28"/>
          <w:lang w:val="en-US" w:eastAsia="zh-CN"/>
          <w14:textFill>
            <w14:solidFill>
              <w14:schemeClr w14:val="tx1"/>
            </w14:solidFill>
          </w14:textFill>
        </w:rPr>
        <w:t>关于成立安全生产领导小组的通知和专职安全管理人员任命文件</w:t>
      </w:r>
    </w:p>
    <w:p w14:paraId="51FED4F2">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附件13  </w:t>
      </w:r>
      <w:r>
        <w:rPr>
          <w:rFonts w:hint="eastAsia" w:eastAsia="宋体"/>
          <w:color w:val="000000" w:themeColor="text1"/>
          <w:sz w:val="28"/>
          <w:szCs w:val="28"/>
          <w:lang w:val="en-US" w:eastAsia="zh-CN"/>
          <w14:textFill>
            <w14:solidFill>
              <w14:schemeClr w14:val="tx1"/>
            </w14:solidFill>
          </w14:textFill>
        </w:rPr>
        <w:t>工伤保险购买凭证</w:t>
      </w:r>
    </w:p>
    <w:p w14:paraId="581F851F">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附件14  </w:t>
      </w:r>
      <w:r>
        <w:rPr>
          <w:rFonts w:hint="eastAsia" w:eastAsia="宋体"/>
          <w:color w:val="000000" w:themeColor="text1"/>
          <w:sz w:val="28"/>
          <w:szCs w:val="28"/>
          <w:lang w:val="en-US" w:eastAsia="zh-CN"/>
          <w14:textFill>
            <w14:solidFill>
              <w14:schemeClr w14:val="tx1"/>
            </w14:solidFill>
          </w14:textFill>
        </w:rPr>
        <w:t>安全管理制度汇编</w:t>
      </w:r>
    </w:p>
    <w:p w14:paraId="62C1589B">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附件15  </w:t>
      </w:r>
      <w:r>
        <w:rPr>
          <w:rFonts w:hint="eastAsia" w:eastAsia="宋体"/>
          <w:color w:val="000000" w:themeColor="text1"/>
          <w:sz w:val="28"/>
          <w:szCs w:val="28"/>
          <w:lang w:val="en-US" w:eastAsia="zh-CN"/>
          <w14:textFill>
            <w14:solidFill>
              <w14:schemeClr w14:val="tx1"/>
            </w14:solidFill>
          </w14:textFill>
        </w:rPr>
        <w:t>责任制汇编</w:t>
      </w:r>
    </w:p>
    <w:p w14:paraId="796BD3F6">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附件16  </w:t>
      </w:r>
      <w:r>
        <w:rPr>
          <w:rFonts w:hint="eastAsia" w:eastAsia="宋体"/>
          <w:color w:val="000000" w:themeColor="text1"/>
          <w:sz w:val="28"/>
          <w:szCs w:val="28"/>
          <w:lang w:val="en-US" w:eastAsia="zh-CN"/>
          <w14:textFill>
            <w14:solidFill>
              <w14:schemeClr w14:val="tx1"/>
            </w14:solidFill>
          </w14:textFill>
        </w:rPr>
        <w:t>操作规程汇编</w:t>
      </w:r>
    </w:p>
    <w:p w14:paraId="5C691BAB">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附件17  </w:t>
      </w:r>
      <w:r>
        <w:rPr>
          <w:rFonts w:hint="eastAsia" w:eastAsia="宋体"/>
          <w:color w:val="000000" w:themeColor="text1"/>
          <w:sz w:val="28"/>
          <w:szCs w:val="28"/>
          <w:lang w:val="en-US" w:eastAsia="zh-CN"/>
          <w14:textFill>
            <w14:solidFill>
              <w14:schemeClr w14:val="tx1"/>
            </w14:solidFill>
          </w14:textFill>
        </w:rPr>
        <w:t>应急预案备案登记表</w:t>
      </w:r>
      <w:r>
        <w:rPr>
          <w:rFonts w:hint="eastAsia"/>
          <w:color w:val="000000" w:themeColor="text1"/>
          <w:sz w:val="28"/>
          <w:szCs w:val="28"/>
          <w:lang w:val="en-US" w:eastAsia="zh-CN"/>
          <w14:textFill>
            <w14:solidFill>
              <w14:schemeClr w14:val="tx1"/>
            </w14:solidFill>
          </w14:textFill>
        </w:rPr>
        <w:t>、演练记录</w:t>
      </w:r>
    </w:p>
    <w:p w14:paraId="60A3B5F0">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附件18  </w:t>
      </w:r>
      <w:r>
        <w:rPr>
          <w:rFonts w:hint="eastAsia" w:eastAsia="宋体"/>
          <w:color w:val="000000" w:themeColor="text1"/>
          <w:sz w:val="28"/>
          <w:szCs w:val="28"/>
          <w:lang w:val="en-US" w:eastAsia="zh-CN"/>
          <w14:textFill>
            <w14:solidFill>
              <w14:schemeClr w14:val="tx1"/>
            </w14:solidFill>
          </w14:textFill>
        </w:rPr>
        <w:t>应急</w:t>
      </w:r>
      <w:r>
        <w:rPr>
          <w:rFonts w:hint="eastAsia"/>
          <w:color w:val="000000" w:themeColor="text1"/>
          <w:sz w:val="28"/>
          <w:szCs w:val="28"/>
          <w:lang w:val="en-US" w:eastAsia="zh-CN"/>
          <w14:textFill>
            <w14:solidFill>
              <w14:schemeClr w14:val="tx1"/>
            </w14:solidFill>
          </w14:textFill>
        </w:rPr>
        <w:t>救援</w:t>
      </w:r>
      <w:r>
        <w:rPr>
          <w:rFonts w:hint="eastAsia" w:eastAsia="宋体"/>
          <w:color w:val="000000" w:themeColor="text1"/>
          <w:sz w:val="28"/>
          <w:szCs w:val="28"/>
          <w:lang w:val="en-US" w:eastAsia="zh-CN"/>
          <w14:textFill>
            <w14:solidFill>
              <w14:schemeClr w14:val="tx1"/>
            </w14:solidFill>
          </w14:textFill>
        </w:rPr>
        <w:t>小组成立文件</w:t>
      </w:r>
    </w:p>
    <w:p w14:paraId="7D8ADBDF">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附件19  </w:t>
      </w:r>
      <w:r>
        <w:rPr>
          <w:rFonts w:hint="eastAsia" w:eastAsia="宋体"/>
          <w:color w:val="000000" w:themeColor="text1"/>
          <w:sz w:val="28"/>
          <w:szCs w:val="28"/>
          <w:lang w:val="en-US" w:eastAsia="zh-CN"/>
          <w14:textFill>
            <w14:solidFill>
              <w14:schemeClr w14:val="tx1"/>
            </w14:solidFill>
          </w14:textFill>
        </w:rPr>
        <w:t>安全教育培训</w:t>
      </w:r>
    </w:p>
    <w:p w14:paraId="7C8CF1E9">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附件20  </w:t>
      </w:r>
      <w:r>
        <w:rPr>
          <w:rFonts w:hint="eastAsia" w:eastAsia="宋体"/>
          <w:color w:val="000000" w:themeColor="text1"/>
          <w:sz w:val="28"/>
          <w:szCs w:val="28"/>
          <w:lang w:val="en-US" w:eastAsia="zh-CN"/>
          <w14:textFill>
            <w14:solidFill>
              <w14:schemeClr w14:val="tx1"/>
            </w14:solidFill>
          </w14:textFill>
        </w:rPr>
        <w:t>劳动防护用品发放记录</w:t>
      </w:r>
    </w:p>
    <w:p w14:paraId="78D5DBAE">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附件21  </w:t>
      </w:r>
      <w:r>
        <w:rPr>
          <w:rFonts w:hint="eastAsia" w:eastAsia="宋体"/>
          <w:color w:val="000000" w:themeColor="text1"/>
          <w:sz w:val="28"/>
          <w:szCs w:val="28"/>
          <w:lang w:val="en-US" w:eastAsia="zh-CN"/>
          <w14:textFill>
            <w14:solidFill>
              <w14:schemeClr w14:val="tx1"/>
            </w14:solidFill>
          </w14:textFill>
        </w:rPr>
        <w:t>安全生产检查台账</w:t>
      </w:r>
    </w:p>
    <w:p w14:paraId="7B640589">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附件22  </w:t>
      </w:r>
      <w:r>
        <w:rPr>
          <w:rFonts w:hint="eastAsia" w:eastAsia="宋体"/>
          <w:color w:val="000000" w:themeColor="text1"/>
          <w:sz w:val="28"/>
          <w:szCs w:val="28"/>
          <w:lang w:val="en-US" w:eastAsia="zh-CN"/>
          <w14:textFill>
            <w14:solidFill>
              <w14:schemeClr w14:val="tx1"/>
            </w14:solidFill>
          </w14:textFill>
        </w:rPr>
        <w:t>安全专项投资及其使用情况</w:t>
      </w:r>
    </w:p>
    <w:p w14:paraId="5179386F">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default" w:eastAsia="宋体"/>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附件2</w:t>
      </w:r>
      <w:r>
        <w:rPr>
          <w:rFonts w:hint="eastAsia" w:cs="Times New Roman"/>
          <w:color w:val="000000" w:themeColor="text1"/>
          <w:kern w:val="2"/>
          <w:sz w:val="28"/>
          <w:szCs w:val="28"/>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  </w:t>
      </w:r>
      <w:r>
        <w:rPr>
          <w:rFonts w:hint="eastAsia"/>
          <w:color w:val="000000" w:themeColor="text1"/>
          <w:sz w:val="28"/>
          <w:szCs w:val="28"/>
          <w:lang w:val="en-US" w:eastAsia="zh-CN"/>
          <w14:textFill>
            <w14:solidFill>
              <w14:schemeClr w14:val="tx1"/>
            </w14:solidFill>
          </w14:textFill>
        </w:rPr>
        <w:t>项目消防工程备案的回函</w:t>
      </w:r>
    </w:p>
    <w:p w14:paraId="2A2FAB69">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default" w:eastAsia="宋体"/>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附件24  </w:t>
      </w:r>
      <w:r>
        <w:rPr>
          <w:rFonts w:hint="default" w:eastAsia="宋体"/>
          <w:color w:val="000000" w:themeColor="text1"/>
          <w:sz w:val="28"/>
          <w:szCs w:val="28"/>
          <w:lang w:val="en-US" w:eastAsia="zh-CN"/>
          <w14:textFill>
            <w14:solidFill>
              <w14:schemeClr w14:val="tx1"/>
            </w14:solidFill>
          </w14:textFill>
        </w:rPr>
        <w:t>电站</w:t>
      </w:r>
      <w:r>
        <w:rPr>
          <w:rFonts w:hint="default" w:ascii="Times New Roman" w:hAnsi="Times New Roman" w:eastAsia="宋体" w:cs="Times New Roman"/>
          <w:b w:val="0"/>
          <w:bCs w:val="0"/>
          <w:color w:val="000000" w:themeColor="text1"/>
          <w:sz w:val="28"/>
          <w:szCs w:val="28"/>
          <w:highlight w:val="none"/>
          <w:lang w:eastAsia="zh-CN"/>
          <w14:textFill>
            <w14:solidFill>
              <w14:schemeClr w14:val="tx1"/>
            </w14:solidFill>
          </w14:textFill>
        </w:rPr>
        <w:t>运行记录</w:t>
      </w:r>
    </w:p>
    <w:p w14:paraId="58AC0475">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default" w:eastAsia="宋体"/>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附件25  </w:t>
      </w:r>
      <w:r>
        <w:rPr>
          <w:rFonts w:hint="eastAsia"/>
          <w:color w:val="000000" w:themeColor="text1"/>
          <w:sz w:val="28"/>
          <w:szCs w:val="28"/>
          <w:lang w:val="en-US" w:eastAsia="zh-CN"/>
          <w14:textFill>
            <w14:solidFill>
              <w14:schemeClr w14:val="tx1"/>
            </w14:solidFill>
          </w14:textFill>
        </w:rPr>
        <w:t>防雷检测报告</w:t>
      </w:r>
    </w:p>
    <w:p w14:paraId="29CC2A2A">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default" w:eastAsia="宋体"/>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附件26  </w:t>
      </w:r>
      <w:r>
        <w:rPr>
          <w:rFonts w:hint="default" w:eastAsia="宋体"/>
          <w:color w:val="000000" w:themeColor="text1"/>
          <w:sz w:val="28"/>
          <w:szCs w:val="28"/>
          <w:lang w:val="en-US" w:eastAsia="zh-CN"/>
          <w14:textFill>
            <w14:solidFill>
              <w14:schemeClr w14:val="tx1"/>
            </w14:solidFill>
          </w14:textFill>
        </w:rPr>
        <w:t>应急救援物资清单</w:t>
      </w:r>
    </w:p>
    <w:p w14:paraId="346180E5">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default"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附件27  </w:t>
      </w:r>
      <w:r>
        <w:rPr>
          <w:rFonts w:hint="eastAsia" w:eastAsia="宋体"/>
          <w:color w:val="000000" w:themeColor="text1"/>
          <w:sz w:val="28"/>
          <w:szCs w:val="28"/>
          <w:lang w:val="en-US" w:eastAsia="zh-CN"/>
          <w14:textFill>
            <w14:solidFill>
              <w14:schemeClr w14:val="tx1"/>
            </w14:solidFill>
          </w14:textFill>
        </w:rPr>
        <w:t>并网调试运</w:t>
      </w: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行意见书-</w:t>
      </w:r>
      <w:r>
        <w:rPr>
          <w:rFonts w:hint="default" w:ascii="Times New Roman" w:hAnsi="Times New Roman" w:eastAsia="宋体" w:cs="Times New Roman"/>
          <w:color w:val="000000" w:themeColor="text1"/>
          <w:kern w:val="2"/>
          <w:sz w:val="28"/>
          <w:szCs w:val="28"/>
          <w:lang w:val="en-US" w:eastAsia="zh-CN" w:bidi="ar-SA"/>
          <w14:textFill>
            <w14:solidFill>
              <w14:schemeClr w14:val="tx1"/>
            </w14:solidFill>
          </w14:textFill>
        </w:rPr>
        <w:t>调〔202</w:t>
      </w:r>
      <w:r>
        <w:rPr>
          <w:rFonts w:hint="eastAsia" w:cs="Times New Roman"/>
          <w:color w:val="000000" w:themeColor="text1"/>
          <w:kern w:val="2"/>
          <w:sz w:val="28"/>
          <w:szCs w:val="28"/>
          <w:lang w:val="en-US" w:eastAsia="zh-CN" w:bidi="ar-SA"/>
          <w14:textFill>
            <w14:solidFill>
              <w14:schemeClr w14:val="tx1"/>
            </w14:solidFill>
          </w14:textFill>
        </w:rPr>
        <w:t>5</w:t>
      </w:r>
      <w:r>
        <w:rPr>
          <w:rFonts w:hint="default" w:ascii="Times New Roman" w:hAnsi="Times New Roman" w:eastAsia="宋体" w:cs="Times New Roman"/>
          <w:color w:val="000000" w:themeColor="text1"/>
          <w:kern w:val="2"/>
          <w:sz w:val="28"/>
          <w:szCs w:val="28"/>
          <w:lang w:val="en-US" w:eastAsia="zh-CN" w:bidi="ar-SA"/>
          <w14:textFill>
            <w14:solidFill>
              <w14:schemeClr w14:val="tx1"/>
            </w14:solidFill>
          </w14:textFill>
        </w:rPr>
        <w:t>〕</w:t>
      </w:r>
      <w:r>
        <w:rPr>
          <w:rFonts w:hint="eastAsia" w:cs="Times New Roman"/>
          <w:color w:val="000000" w:themeColor="text1"/>
          <w:kern w:val="2"/>
          <w:sz w:val="28"/>
          <w:szCs w:val="28"/>
          <w:lang w:val="en-US" w:eastAsia="zh-CN" w:bidi="ar-SA"/>
          <w14:textFill>
            <w14:solidFill>
              <w14:schemeClr w14:val="tx1"/>
            </w14:solidFill>
          </w14:textFill>
        </w:rPr>
        <w:t>438</w:t>
      </w:r>
      <w:r>
        <w:rPr>
          <w:rFonts w:hint="default" w:ascii="Times New Roman" w:hAnsi="Times New Roman" w:eastAsia="宋体" w:cs="Times New Roman"/>
          <w:color w:val="000000" w:themeColor="text1"/>
          <w:kern w:val="2"/>
          <w:sz w:val="28"/>
          <w:szCs w:val="28"/>
          <w:lang w:val="en-US" w:eastAsia="zh-CN" w:bidi="ar-SA"/>
          <w14:textFill>
            <w14:solidFill>
              <w14:schemeClr w14:val="tx1"/>
            </w14:solidFill>
          </w14:textFill>
        </w:rPr>
        <w:t>号</w:t>
      </w:r>
    </w:p>
    <w:p w14:paraId="0ECA5190">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default"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附件2</w:t>
      </w:r>
      <w:r>
        <w:rPr>
          <w:rFonts w:hint="eastAsia" w:cs="Times New Roman"/>
          <w:color w:val="000000" w:themeColor="text1"/>
          <w:kern w:val="2"/>
          <w:sz w:val="28"/>
          <w:szCs w:val="28"/>
          <w:lang w:val="en-US" w:eastAsia="zh-CN" w:bidi="ar-SA"/>
          <w14:textFill>
            <w14:solidFill>
              <w14:schemeClr w14:val="tx1"/>
            </w14:solidFill>
          </w14:textFill>
        </w:rPr>
        <w:t>8  隐蔽工程验收记录</w:t>
      </w:r>
    </w:p>
    <w:p w14:paraId="62448E81">
      <w:pPr>
        <w:pStyle w:val="37"/>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560" w:firstLineChars="200"/>
        <w:jc w:val="left"/>
        <w:textAlignment w:val="auto"/>
        <w:rPr>
          <w:rFonts w:hint="default" w:eastAsia="宋体"/>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附件2</w:t>
      </w:r>
      <w:r>
        <w:rPr>
          <w:rFonts w:hint="eastAsia" w:cs="Times New Roman"/>
          <w:color w:val="000000" w:themeColor="text1"/>
          <w:kern w:val="2"/>
          <w:sz w:val="28"/>
          <w:szCs w:val="28"/>
          <w:lang w:val="en-US" w:eastAsia="zh-CN" w:bidi="ar-SA"/>
          <w14:textFill>
            <w14:solidFill>
              <w14:schemeClr w14:val="tx1"/>
            </w14:solidFill>
          </w14:textFill>
        </w:rPr>
        <w:t>9</w:t>
      </w: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 xml:space="preserve">  </w:t>
      </w:r>
      <w:r>
        <w:rPr>
          <w:rFonts w:hint="eastAsia" w:eastAsia="宋体"/>
          <w:color w:val="000000" w:themeColor="text1"/>
          <w:sz w:val="28"/>
          <w:szCs w:val="28"/>
          <w:lang w:val="en-US" w:eastAsia="zh-CN"/>
          <w14:textFill>
            <w14:solidFill>
              <w14:schemeClr w14:val="tx1"/>
            </w14:solidFill>
          </w14:textFill>
        </w:rPr>
        <w:t>整改回复</w:t>
      </w:r>
    </w:p>
    <w:p w14:paraId="2D1B54A5">
      <w:pPr>
        <w:pStyle w:val="3"/>
        <w:keepNext/>
        <w:keepLines/>
        <w:pageBreakBefore w:val="0"/>
        <w:widowControl w:val="0"/>
        <w:tabs>
          <w:tab w:val="left" w:pos="0"/>
        </w:tabs>
        <w:kinsoku/>
        <w:wordWrap/>
        <w:overflowPunct/>
        <w:topLinePunct w:val="0"/>
        <w:autoSpaceDE/>
        <w:autoSpaceDN/>
        <w:bidi w:val="0"/>
        <w:adjustRightInd/>
        <w:snapToGrid w:val="0"/>
        <w:spacing w:before="313" w:beforeLines="100" w:after="313" w:afterLines="100" w:line="500" w:lineRule="exact"/>
        <w:ind w:left="573" w:hanging="573"/>
        <w:textAlignment w:val="auto"/>
        <w:rPr>
          <w:rFonts w:hint="eastAsia" w:ascii="宋体" w:hAnsi="宋体" w:eastAsia="宋体" w:cs="宋体"/>
          <w:color w:val="000000" w:themeColor="text1"/>
          <w:sz w:val="30"/>
          <w:szCs w:val="30"/>
          <w14:textFill>
            <w14:solidFill>
              <w14:schemeClr w14:val="tx1"/>
            </w14:solidFill>
          </w14:textFill>
        </w:rPr>
      </w:pPr>
      <w:bookmarkStart w:id="534" w:name="_GoBack"/>
      <w:bookmarkEnd w:id="534"/>
      <w:bookmarkStart w:id="532" w:name="_Toc13154"/>
      <w:bookmarkStart w:id="533" w:name="_Toc16342"/>
      <w:r>
        <w:rPr>
          <w:rFonts w:hint="eastAsia" w:ascii="宋体" w:hAnsi="宋体" w:eastAsia="宋体" w:cs="宋体"/>
          <w:color w:val="000000" w:themeColor="text1"/>
          <w:sz w:val="30"/>
          <w:szCs w:val="30"/>
          <w:lang w:val="en-US" w:eastAsia="zh-CN"/>
          <w14:textFill>
            <w14:solidFill>
              <w14:schemeClr w14:val="tx1"/>
            </w14:solidFill>
          </w14:textFill>
        </w:rPr>
        <w:t>9.2附图</w:t>
      </w:r>
      <w:bookmarkEnd w:id="532"/>
      <w:bookmarkEnd w:id="533"/>
    </w:p>
    <w:p w14:paraId="46ADB45B">
      <w:pPr>
        <w:pStyle w:val="37"/>
        <w:keepNext w:val="0"/>
        <w:keepLines w:val="0"/>
        <w:pageBreakBefore w:val="0"/>
        <w:widowControl w:val="0"/>
        <w:kinsoku/>
        <w:wordWrap/>
        <w:overflowPunct/>
        <w:topLinePunct w:val="0"/>
        <w:autoSpaceDE/>
        <w:autoSpaceDN/>
        <w:bidi w:val="0"/>
        <w:adjustRightInd/>
        <w:snapToGrid/>
        <w:spacing w:line="500" w:lineRule="exact"/>
        <w:ind w:firstLine="1120" w:firstLineChars="4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w:t>
      </w:r>
      <w:r>
        <w:rPr>
          <w:rFonts w:hint="eastAsia" w:ascii="宋体" w:hAnsi="宋体" w:cs="宋体"/>
          <w:color w:val="000000" w:themeColor="text1"/>
          <w:sz w:val="28"/>
          <w:szCs w:val="28"/>
          <w:lang w:val="en-US" w:eastAsia="zh-CN"/>
          <w14:textFill>
            <w14:solidFill>
              <w14:schemeClr w14:val="tx1"/>
            </w14:solidFill>
          </w14:textFill>
        </w:rPr>
        <w:t>光伏区</w:t>
      </w:r>
      <w:r>
        <w:rPr>
          <w:rFonts w:hint="eastAsia" w:ascii="宋体" w:hAnsi="宋体" w:eastAsia="宋体" w:cs="宋体"/>
          <w:color w:val="000000" w:themeColor="text1"/>
          <w:sz w:val="28"/>
          <w:szCs w:val="28"/>
          <w14:textFill>
            <w14:solidFill>
              <w14:schemeClr w14:val="tx1"/>
            </w14:solidFill>
          </w14:textFill>
        </w:rPr>
        <w:t>总平面布置图</w:t>
      </w:r>
    </w:p>
    <w:p w14:paraId="47DC1447">
      <w:pPr>
        <w:keepNext w:val="0"/>
        <w:keepLines w:val="0"/>
        <w:pageBreakBefore w:val="0"/>
        <w:numPr>
          <w:ilvl w:val="0"/>
          <w:numId w:val="0"/>
        </w:numPr>
        <w:kinsoku/>
        <w:wordWrap/>
        <w:overflowPunct/>
        <w:topLinePunct w:val="0"/>
        <w:autoSpaceDE/>
        <w:autoSpaceDN/>
        <w:bidi w:val="0"/>
        <w:adjustRightInd/>
        <w:snapToGrid/>
        <w:spacing w:line="480" w:lineRule="exact"/>
        <w:ind w:firstLine="1120" w:firstLineChars="400"/>
        <w:jc w:val="both"/>
        <w:textAlignment w:val="auto"/>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2、竣工图</w:t>
      </w:r>
    </w:p>
    <w:sectPr>
      <w:footerReference r:id="rId16" w:type="default"/>
      <w:pgSz w:w="11906" w:h="16838"/>
      <w:pgMar w:top="1417" w:right="1417" w:bottom="141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ì.">
    <w:altName w:val="宋体"/>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B25964">
    <w:pPr>
      <w:pStyle w:val="14"/>
      <w:ind w:firstLine="0" w:firstLineChars="0"/>
    </w:pPr>
    <w:r>
      <w:rPr>
        <w:rFonts w:hint="eastAsia"/>
      </w:rPr>
      <w:t>昭通市鼎安科技有限公司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2931AC">
    <w:pPr>
      <w:pStyle w:val="14"/>
      <w:ind w:firstLine="0" w:firstLineChars="0"/>
    </w:pPr>
    <w:r>
      <w:rPr>
        <w:rFonts w:hint="eastAsia"/>
      </w:rPr>
      <w:t>昭通市鼎安科技有限公司</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23B98">
    <w:pPr>
      <w:pStyle w:val="14"/>
      <w:ind w:firstLine="0" w:firstLineChars="0"/>
    </w:pPr>
    <w:r>
      <w:rPr>
        <w:sz w:val="21"/>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5FFFB6">
                          <w:pPr>
                            <w:pStyle w:val="1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A5FFFB6">
                    <w:pPr>
                      <w:pStyle w:val="14"/>
                    </w:pPr>
                    <w:r>
                      <w:fldChar w:fldCharType="begin"/>
                    </w:r>
                    <w:r>
                      <w:instrText xml:space="preserve"> PAGE  \* MERGEFORMAT </w:instrText>
                    </w:r>
                    <w:r>
                      <w:fldChar w:fldCharType="separate"/>
                    </w:r>
                    <w:r>
                      <w:t>4</w:t>
                    </w:r>
                    <w:r>
                      <w:fldChar w:fldCharType="end"/>
                    </w:r>
                  </w:p>
                </w:txbxContent>
              </v:textbox>
            </v:shape>
          </w:pict>
        </mc:Fallback>
      </mc:AlternateContent>
    </w:r>
    <w:r>
      <w:rPr>
        <w:rFonts w:hint="eastAsia"/>
      </w:rPr>
      <w:t>昭通市鼎安科技有限公司</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17FD33">
    <w:pPr>
      <w:pStyle w:val="14"/>
      <w:ind w:firstLine="0" w:firstLineChars="0"/>
    </w:pPr>
    <w:r>
      <w:rPr>
        <w:rFonts w:hint="eastAsia"/>
      </w:rPr>
      <w:t>昭通市鼎安科技有限公司</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FA53F">
    <w:pPr>
      <w:pStyle w:val="14"/>
      <w:ind w:firstLine="0" w:firstLineChars="0"/>
    </w:pPr>
    <w:r>
      <w:rPr>
        <w:rFonts w:hint="eastAsia"/>
      </w:rPr>
      <w:t>昭通市鼎安科技有限公司</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12275C">
    <w:pPr>
      <w:pStyle w:val="14"/>
      <w:ind w:firstLine="0" w:firstLineChars="0"/>
    </w:pPr>
    <w:r>
      <w:rPr>
        <w:rFonts w:hint="eastAsia"/>
      </w:rPr>
      <w:t>昭通市鼎安科技有限公司</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D90395">
    <w:pPr>
      <w:pStyle w:val="14"/>
      <w:ind w:firstLine="0" w:firstLineChars="0"/>
    </w:pPr>
    <w:r>
      <w:rPr>
        <w:rFonts w:hint="eastAsia"/>
      </w:rPr>
      <w:t>昭通市鼎安科技有限公司</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585EED">
    <w:pPr>
      <w:pStyle w:val="14"/>
      <w:ind w:firstLine="0" w:firstLineChars="0"/>
    </w:pPr>
    <w:r>
      <w:rPr>
        <w:rFonts w:hint="eastAsia"/>
      </w:rPr>
      <w:t>昭通市鼎安科技有限公司</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268EAD">
    <w:pPr>
      <w:pStyle w:val="14"/>
      <w:ind w:firstLine="0" w:firstLineChars="0"/>
    </w:pPr>
    <w:r>
      <w:rPr>
        <w:rFonts w:hint="eastAsia"/>
      </w:rPr>
      <w:t>昭通市鼎安科技有限公司</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CD15E6">
    <w:pPr>
      <w:pStyle w:val="14"/>
      <w:ind w:firstLine="0" w:firstLineChars="0"/>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57F11C6">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9f0jeAgAAJg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WWGT6HugrRQ&#10;8ftvX++//7z/8QXBHgi0VWYMcQsFkXZ3JXfQNv2+gU3He1fp1v0DIwR+kPfuIC/bWUTdoXSQphG4&#10;KPj6BeCHx+NKG/uKyRY5I8Ma6udlJZu5sV1oH+JuE7JoOPc15AJtMzw8PYv8gYMHwLlwsZAFYOyt&#10;rjafRtHoOr1OkyAZDK+DJMrzYFrMkmBYxOdn+Wk+m+XxZ4cXJ+O6KUsm3H19n8TJ8+qw75WuwodO&#10;MZI3pYNzKRm9Ws64RhsCfVr4n1MYkn8QFj5Ow7uB1RNK8SCJrgajoBim50FSJGfB6DxKgygeXY2G&#10;UTJK8uIxpXkj2L9TeqT+g6TJ2BXswG3JCf3wV2ounSM1UKAvXOj6sOs3Z9ndcgcSOXMpyzvoTS27&#10;520ULRq4dE6MvSUa3jP0HEw8ewOfikvoE7m3MKql/vinfRcP5QUvRluYDxkWMA4x4q8FPD8AtL2h&#10;e2PZG2LdziQUMoZJqqg34YC2vDcrLdv3MAan7g5wEUHhpgzb3pzZbkbBGKVsOvVBa6WbVd0dgOGh&#10;iJ2LhaLuGt9Carq28B78MzmqAlK6BYwPL+p+1Ln59HDto47jffI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Nn9f0jeAgAAJgYAAA4AAAAAAAAAAQAgAAAAHwEAAGRycy9lMm9Eb2MueG1sUEsF&#10;BgAAAAAGAAYAWQEAAG8GAAAAAA==&#10;">
              <v:fill on="f" focussize="0,0"/>
              <v:stroke on="f" weight="0.5pt"/>
              <v:imagedata o:title=""/>
              <o:lock v:ext="edit" aspectratio="f"/>
              <v:textbox inset="0mm,0mm,0mm,0mm" style="mso-fit-shape-to-text:t;">
                <w:txbxContent>
                  <w:p w14:paraId="657F11C6">
                    <w:pPr>
                      <w:pStyle w:val="14"/>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rPr>
      <w:t>昭通市鼎安科技有限公司</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7BB5C5">
    <w:pPr>
      <w:pStyle w:val="14"/>
      <w:ind w:firstLine="0" w:firstLineChars="0"/>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029506F">
                          <w:pPr>
                            <w:pStyle w:val="14"/>
                          </w:pPr>
                          <w:r>
                            <w:fldChar w:fldCharType="begin"/>
                          </w:r>
                          <w:r>
                            <w:instrText xml:space="preserve"> PAGE  \* MERGEFORMAT </w:instrText>
                          </w:r>
                          <w:r>
                            <w:fldChar w:fldCharType="separate"/>
                          </w:r>
                          <w:r>
                            <w:t>104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CQeLeAgAAJgYAAA4AAABkcnMvZTJvRG9jLnhtbK1UzW7UMBC+I/EO&#10;lu9pkm26TVbNVttNg5AqWqkgzl7H2UQ4tmV7fwriCm/AiQt3nqvPwdjZ7LYFoUqwh+zYM/483zfj&#10;OTvfdhytmTatFDmOjyKMmKCyasUyx+/elkGKkbFEVIRLwXJ8xww+n758cbZREzaSjeQV0whAhJls&#10;VI4ba9UkDA1tWEfMkVRMgLOWuiMWlnoZVppsAL3j4SiKxuFG6kppSZkxsFv0TrxD1M8BlHXdUlZI&#10;uuqYsD2qZpxYoGSaVhk89dnWNaP2uq4Ns4jnGJha/4VLwF64bzg9I5OlJqpp6S4F8pwUnnDqSCvg&#10;0j1UQSxBK93+BtW1VEsja3tEZRf2RLwiwCKOnmhz2xDFPBeQ2qi96Ob/wdI36xuN2irHxxlGgnRQ&#10;8ftvX++//7z/8QXBHgi0UWYCcbcKIu32Qm6hbYZ9A5uO97bWnfsHRgj8IO/dXl62tYi6Q+koTSNw&#10;UfANC8APD8eVNvYVkx1yRo411M/LStZXxvahQ4i7Tciy5dzXkAu0yfH4+CTyB/YeAOfCxUIWgLGz&#10;+tp8yqLsMr1MkyAZjS+DJCqKYFbOk2BcxqcnxXExnxfxZ4cXJ5OmrSom3H1Dn8TJ8+qw65W+wvtO&#10;MZK3lYNzKRm9XMy5RmsCfVr6n1MYkn8QFj5Ow7uB1RNK8SiJLkZZUI7T0yApk5MgO43SIIqzi2wc&#10;JVlSlI8pXbWC/TulR+o/SJpMXMH23Bac0A9/pebSOVADBYbCha4P+35zlt0utiCRMxeyuoPe1LJ/&#10;3kbRsoVLr4ixN0TDe4aeg4lnr+FTcwl9IncWRo3UH/+07+KhvODFaAPzIccCxiFG/LWA5weAdjD0&#10;YCwGQ6y6uYRCxjBJFfUmHNCWD2atZfcexuDM3QEuIijclGM7mHPbzygYo5TNZj5opXS7bPoDMDwU&#10;sVfiVlF3jW8hNVtZeA/+mRxUASndAsaHF3U36tx8erj2UYfxPv0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I/CQeLeAgAAJgYAAA4AAAAAAAAAAQAgAAAAHwEAAGRycy9lMm9Eb2MueG1sUEsF&#10;BgAAAAAGAAYAWQEAAG8GAAAAAA==&#10;">
              <v:fill on="f" focussize="0,0"/>
              <v:stroke on="f" weight="0.5pt"/>
              <v:imagedata o:title=""/>
              <o:lock v:ext="edit" aspectratio="f"/>
              <v:textbox inset="0mm,0mm,0mm,0mm" style="mso-fit-shape-to-text:t;">
                <w:txbxContent>
                  <w:p w14:paraId="2029506F">
                    <w:pPr>
                      <w:pStyle w:val="14"/>
                    </w:pPr>
                    <w:r>
                      <w:fldChar w:fldCharType="begin"/>
                    </w:r>
                    <w:r>
                      <w:instrText xml:space="preserve"> PAGE  \* MERGEFORMAT </w:instrText>
                    </w:r>
                    <w:r>
                      <w:fldChar w:fldCharType="separate"/>
                    </w:r>
                    <w:r>
                      <w:t>104</w:t>
                    </w:r>
                    <w:r>
                      <w:fldChar w:fldCharType="end"/>
                    </w:r>
                  </w:p>
                </w:txbxContent>
              </v:textbox>
            </v:shape>
          </w:pict>
        </mc:Fallback>
      </mc:AlternateContent>
    </w:r>
    <w:r>
      <w:rPr>
        <w:rFonts w:hint="eastAsia"/>
      </w:rPr>
      <w:t>昭通市鼎安科技有限公司</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1EAFC4">
    <w:pPr>
      <w:pStyle w:val="14"/>
      <w:ind w:firstLine="0" w:firstLineChars="0"/>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564B2EA">
                          <w:pPr>
                            <w:pStyle w:val="14"/>
                          </w:pPr>
                          <w:r>
                            <w:fldChar w:fldCharType="begin"/>
                          </w:r>
                          <w:r>
                            <w:instrText xml:space="preserve"> PAGE  \* MERGEFORMAT </w:instrText>
                          </w:r>
                          <w:r>
                            <w:fldChar w:fldCharType="separate"/>
                          </w:r>
                          <w:r>
                            <w:t>106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ZsVyLd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gCSSNFDx&#10;+29f77//vP/xBcEeCLTVdgxxCw2RbneldtA2/b6FTc97V5nG/wMjBH7AujvIy3YOUX8oHaRpBC4K&#10;vn4B+OHxuDbWvWKqQd7IsIH6tbKSzdy6LrQP8bdJVXAh2hoKibYZHp6eRe2BgwfAhfSxkAVg7K2u&#10;Np9G0eg6vU6TIBkMr4MkyvNgWsySYFjE52f5aT6b5fFnjxcn45qXJZP+vr5P4uR5ddj3SlfhQ6dY&#10;JXjp4XxK1qyWM2HQhkCfFu3PKwzJPwgLH6fRuoHVE0rxIImuBqOgGKbnQVIkZ8HoPEqDKB5djYZR&#10;Mkry4jGlOZfs3yk9Uv9B0mTsC3bgthSEfvgrNZ/OkRoo0Bcu9H3Y9Zu33G65A4m8uVTlHfSmUd3z&#10;tpoWHC6dE+tuiYH3DD0HE8/dwKcSCvpE7S2MamU+/mnfx0N5wYvRFuZDhiWMQ4zEawnPDwBdb5je&#10;WPaGXDczBYWMYZJq2ppwwDjRm5VRzXsYg1N/B7iIpHBThl1vzlw3o2CMUjadtkFrbfiq7g7A8NDE&#10;zeVCU39N20J6unbwHtpnclQFpPQLGB+tqPtR5+fTw3UbdRzvk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1mxXIt0CAAAmBgAADgAAAAAAAAABACAAAAAfAQAAZHJzL2Uyb0RvYy54bWxQSwUG&#10;AAAAAAYABgBZAQAAbgYAAAAA&#10;">
              <v:fill on="f" focussize="0,0"/>
              <v:stroke on="f" weight="0.5pt"/>
              <v:imagedata o:title=""/>
              <o:lock v:ext="edit" aspectratio="f"/>
              <v:textbox inset="0mm,0mm,0mm,0mm" style="mso-fit-shape-to-text:t;">
                <w:txbxContent>
                  <w:p w14:paraId="5564B2EA">
                    <w:pPr>
                      <w:pStyle w:val="14"/>
                    </w:pPr>
                    <w:r>
                      <w:fldChar w:fldCharType="begin"/>
                    </w:r>
                    <w:r>
                      <w:instrText xml:space="preserve"> PAGE  \* MERGEFORMAT </w:instrText>
                    </w:r>
                    <w:r>
                      <w:fldChar w:fldCharType="separate"/>
                    </w:r>
                    <w:r>
                      <w:t>106</w:t>
                    </w:r>
                    <w:r>
                      <w:fldChar w:fldCharType="end"/>
                    </w:r>
                  </w:p>
                </w:txbxContent>
              </v:textbox>
            </v:shape>
          </w:pict>
        </mc:Fallback>
      </mc:AlternateContent>
    </w:r>
    <w:r>
      <w:rPr>
        <w:rFonts w:hint="eastAsia"/>
      </w:rPr>
      <w:t>昭通市鼎安科技有限公司</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38EB87">
    <w:pPr>
      <w:pStyle w:val="14"/>
      <w:ind w:firstLine="0" w:firstLineChars="0"/>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28B5902">
                          <w:pPr>
                            <w:pStyle w:val="14"/>
                          </w:pPr>
                          <w:r>
                            <w:fldChar w:fldCharType="begin"/>
                          </w:r>
                          <w:r>
                            <w:instrText xml:space="preserve"> PAGE  \* MERGEFORMAT </w:instrText>
                          </w:r>
                          <w:r>
                            <w:fldChar w:fldCharType="separate"/>
                          </w:r>
                          <w:r>
                            <w:t>107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TaYjdAgAAJgYAAA4AAABkcnMvZTJvRG9jLnhtbK1US27bMBDdF+gd&#10;CO4VSY7iyEbkwLGiooDRBHCLrmmKsohSJEHSn7Totr1BV91033PlHB1Klp2kRRGg9UIecoYz8958&#10;Li53jUAbZixXMsPxSYQRk1SVXK4y/O5tEaQYWUdkSYSSLMN3zOLLycsXF1s9ZgNVK1Eyg8CJtOOt&#10;znDtnB6HoaU1a4g9UZpJUFbKNMTB0azC0pAteG9EOIiiYbhVptRGUWYt3OadEu89muc4VFXFKcsV&#10;XTdMus6rYYI4gGRrri2etNlWFaPupqosc0hkGJC69gtBQF76bzi5IOOVIbrmdJ8CeU4KTzA1hEsI&#10;enCVE0fQ2vDfXDWcGmVV5U6oasIOSMsIoIijJ9wsaqJZiwWotvpAuv1/bumbza1BvMxwEmMkSQMV&#10;v//29f77z/sfXxDcAUFbbcdgt9Bg6XZXagdt099buPS4d5Vp/D8gQqAHeu8O9LKdQ9Q/SgdpGoGK&#10;gq4/gP/w+Fwb614x1SAvZNhA/VpayWZuXWfam/hoUhVciLaGQqJthoenZ1H74KAB50J6W8gCfOyl&#10;rjafRtHoOr1OkyAZDK+DJMrzYFrMkmBYxOdn+Wk+m+XxZ+8vTsY1L0smfby+T+LkeXXY90pX4UOn&#10;WCV46d35lKxZLWfCoA2BPi3an2cYkn9gFj5Oo1UDqieQ4kESXQ1GQTFMz4OkSM6C0XmUBlE8uhoN&#10;o2SU5MVjSHMu2b9DesT+g6TJ2BfsgG0pCP3wV2g+nSM0YKAvXOj7sOs3L7ndcgcUeXGpyjvoTaO6&#10;8baaFhyCzol1t8TAPEPPwcZzN/CphII+UXsJo1qZj3+69/ZQXtBitIX9kGEJ6xAj8VrC+IFD1wum&#10;F5a9INfNTEEhYaIgl1aEB8aJXqyMat7DGpz6GKAikkKkDLtenLluR8EapWw6bY3W2vBV3T2A5aGJ&#10;m8uFpj5M20J6unYwD+2YHFkBKv0B1kdL6n7V+f308NxaHdf75B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gFNpiN0CAAAmBgAADgAAAAAAAAABACAAAAAfAQAAZHJzL2Uyb0RvYy54bWxQSwUG&#10;AAAAAAYABgBZAQAAbgYAAAAA&#10;">
              <v:fill on="f" focussize="0,0"/>
              <v:stroke on="f" weight="0.5pt"/>
              <v:imagedata o:title=""/>
              <o:lock v:ext="edit" aspectratio="f"/>
              <v:textbox inset="0mm,0mm,0mm,0mm" style="mso-fit-shape-to-text:t;">
                <w:txbxContent>
                  <w:p w14:paraId="428B5902">
                    <w:pPr>
                      <w:pStyle w:val="14"/>
                    </w:pPr>
                    <w:r>
                      <w:fldChar w:fldCharType="begin"/>
                    </w:r>
                    <w:r>
                      <w:instrText xml:space="preserve"> PAGE  \* MERGEFORMAT </w:instrText>
                    </w:r>
                    <w:r>
                      <w:fldChar w:fldCharType="separate"/>
                    </w:r>
                    <w:r>
                      <w:t>107</w:t>
                    </w:r>
                    <w:r>
                      <w:fldChar w:fldCharType="end"/>
                    </w:r>
                  </w:p>
                </w:txbxContent>
              </v:textbox>
            </v:shape>
          </w:pict>
        </mc:Fallback>
      </mc:AlternateContent>
    </w:r>
    <w:r>
      <w:rPr>
        <w:rFonts w:hint="eastAsia"/>
      </w:rPr>
      <w:t>昭通市鼎安科技有限公司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811AC">
    <w:pPr>
      <w:pBdr>
        <w:bottom w:val="double" w:color="auto" w:sz="8" w:space="0"/>
      </w:pBdr>
      <w:ind w:left="0" w:leftChars="0" w:right="0" w:rightChars="0" w:firstLine="0" w:firstLineChars="0"/>
      <w:jc w:val="center"/>
      <w:rPr>
        <w:rFonts w:hint="default" w:cs="Times New Roman" w:asciiTheme="minorEastAsia" w:hAnsiTheme="minorEastAsia" w:eastAsiaTheme="minorEastAsia"/>
        <w:color w:val="auto"/>
        <w:sz w:val="21"/>
        <w:szCs w:val="21"/>
        <w:lang w:val="en-US" w:eastAsia="zh-CN"/>
      </w:rPr>
    </w:pPr>
    <w:r>
      <w:rPr>
        <w:rFonts w:hint="eastAsia" w:cs="Times New Roman" w:asciiTheme="minorEastAsia" w:hAnsiTheme="minorEastAsia" w:eastAsiaTheme="minorEastAsia"/>
        <w:color w:val="auto"/>
        <w:sz w:val="21"/>
        <w:szCs w:val="21"/>
        <w:lang w:val="en-US" w:eastAsia="zh-CN"/>
      </w:rPr>
      <w:t>华能澜沧江（景洪）新能源有限公司景讷乡大寨村云盘光伏电站</w:t>
    </w:r>
  </w:p>
  <w:p w14:paraId="0478563C">
    <w:pPr>
      <w:pBdr>
        <w:bottom w:val="double" w:color="auto" w:sz="8" w:space="0"/>
      </w:pBdr>
      <w:ind w:left="0" w:leftChars="0" w:right="0" w:rightChars="0" w:firstLine="0" w:firstLineChars="0"/>
      <w:jc w:val="center"/>
    </w:pPr>
    <w:r>
      <w:rPr>
        <w:rFonts w:hint="eastAsia" w:cs="Times New Roman" w:asciiTheme="minorEastAsia" w:hAnsiTheme="minorEastAsia" w:eastAsiaTheme="minorEastAsia"/>
        <w:color w:val="auto"/>
        <w:sz w:val="21"/>
        <w:szCs w:val="21"/>
        <w:lang w:val="en-US" w:eastAsia="zh-CN"/>
      </w:rPr>
      <w:t>安全</w:t>
    </w:r>
    <w:r>
      <w:rPr>
        <w:rFonts w:hint="eastAsia" w:asciiTheme="minorEastAsia" w:hAnsiTheme="minorEastAsia" w:eastAsiaTheme="minorEastAsia"/>
        <w:color w:val="auto"/>
        <w:sz w:val="21"/>
        <w:szCs w:val="21"/>
        <w:lang w:val="en-US" w:eastAsia="zh-CN"/>
      </w:rPr>
      <w:t>设施竣工验收评价报告</w:t>
    </w:r>
  </w:p>
  <w:p w14:paraId="16FC021B">
    <w:pPr>
      <w:pStyle w:val="1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72FD35"/>
    <w:multiLevelType w:val="singleLevel"/>
    <w:tmpl w:val="8072FD35"/>
    <w:lvl w:ilvl="0" w:tentative="0">
      <w:start w:val="1"/>
      <w:numFmt w:val="decimal"/>
      <w:suff w:val="nothing"/>
      <w:lvlText w:val="%1．"/>
      <w:lvlJc w:val="left"/>
      <w:pPr>
        <w:ind w:left="0" w:firstLine="400"/>
      </w:pPr>
      <w:rPr>
        <w:rFonts w:hint="default"/>
      </w:rPr>
    </w:lvl>
  </w:abstractNum>
  <w:abstractNum w:abstractNumId="1">
    <w:nsid w:val="8D64691E"/>
    <w:multiLevelType w:val="singleLevel"/>
    <w:tmpl w:val="8D64691E"/>
    <w:lvl w:ilvl="0" w:tentative="0">
      <w:start w:val="1"/>
      <w:numFmt w:val="decimal"/>
      <w:suff w:val="nothing"/>
      <w:lvlText w:val="%1"/>
      <w:lvlJc w:val="left"/>
      <w:pPr>
        <w:tabs>
          <w:tab w:val="left" w:pos="0"/>
        </w:tabs>
        <w:ind w:left="425" w:hanging="425"/>
      </w:pPr>
      <w:rPr>
        <w:rFonts w:hint="default"/>
      </w:rPr>
    </w:lvl>
  </w:abstractNum>
  <w:abstractNum w:abstractNumId="2">
    <w:nsid w:val="8E8D5B3D"/>
    <w:multiLevelType w:val="singleLevel"/>
    <w:tmpl w:val="8E8D5B3D"/>
    <w:lvl w:ilvl="0" w:tentative="0">
      <w:start w:val="1"/>
      <w:numFmt w:val="decimal"/>
      <w:suff w:val="nothing"/>
      <w:lvlText w:val="%1"/>
      <w:lvlJc w:val="left"/>
      <w:pPr>
        <w:tabs>
          <w:tab w:val="left" w:pos="0"/>
        </w:tabs>
        <w:ind w:left="425" w:hanging="425"/>
      </w:pPr>
      <w:rPr>
        <w:rFonts w:hint="default"/>
      </w:rPr>
    </w:lvl>
  </w:abstractNum>
  <w:abstractNum w:abstractNumId="3">
    <w:nsid w:val="9038A1EE"/>
    <w:multiLevelType w:val="singleLevel"/>
    <w:tmpl w:val="9038A1EE"/>
    <w:lvl w:ilvl="0" w:tentative="0">
      <w:start w:val="1"/>
      <w:numFmt w:val="decimal"/>
      <w:suff w:val="nothing"/>
      <w:lvlText w:val="%1"/>
      <w:lvlJc w:val="left"/>
      <w:pPr>
        <w:tabs>
          <w:tab w:val="left" w:pos="0"/>
        </w:tabs>
        <w:ind w:left="425" w:hanging="425"/>
      </w:pPr>
      <w:rPr>
        <w:rFonts w:hint="default"/>
      </w:rPr>
    </w:lvl>
  </w:abstractNum>
  <w:abstractNum w:abstractNumId="4">
    <w:nsid w:val="934F3B40"/>
    <w:multiLevelType w:val="singleLevel"/>
    <w:tmpl w:val="934F3B40"/>
    <w:lvl w:ilvl="0" w:tentative="0">
      <w:start w:val="1"/>
      <w:numFmt w:val="decimal"/>
      <w:suff w:val="space"/>
      <w:lvlText w:val="(%1)"/>
      <w:lvlJc w:val="left"/>
      <w:pPr>
        <w:ind w:left="425" w:hanging="425"/>
      </w:pPr>
      <w:rPr>
        <w:rFonts w:hint="default"/>
      </w:rPr>
    </w:lvl>
  </w:abstractNum>
  <w:abstractNum w:abstractNumId="5">
    <w:nsid w:val="959A01F9"/>
    <w:multiLevelType w:val="singleLevel"/>
    <w:tmpl w:val="959A01F9"/>
    <w:lvl w:ilvl="0" w:tentative="0">
      <w:start w:val="1"/>
      <w:numFmt w:val="decimal"/>
      <w:suff w:val="space"/>
      <w:lvlText w:val="(%1)"/>
      <w:lvlJc w:val="left"/>
      <w:pPr>
        <w:ind w:left="425" w:hanging="425"/>
      </w:pPr>
      <w:rPr>
        <w:rFonts w:hint="default"/>
      </w:rPr>
    </w:lvl>
  </w:abstractNum>
  <w:abstractNum w:abstractNumId="6">
    <w:nsid w:val="9B0C0A99"/>
    <w:multiLevelType w:val="singleLevel"/>
    <w:tmpl w:val="9B0C0A99"/>
    <w:lvl w:ilvl="0" w:tentative="0">
      <w:start w:val="1"/>
      <w:numFmt w:val="decimal"/>
      <w:lvlText w:val="%1."/>
      <w:lvlJc w:val="left"/>
      <w:pPr>
        <w:ind w:left="425" w:hanging="425"/>
      </w:pPr>
      <w:rPr>
        <w:rFonts w:hint="default"/>
      </w:rPr>
    </w:lvl>
  </w:abstractNum>
  <w:abstractNum w:abstractNumId="7">
    <w:nsid w:val="A310CD94"/>
    <w:multiLevelType w:val="singleLevel"/>
    <w:tmpl w:val="A310CD94"/>
    <w:lvl w:ilvl="0" w:tentative="0">
      <w:start w:val="1"/>
      <w:numFmt w:val="decimal"/>
      <w:suff w:val="nothing"/>
      <w:lvlText w:val="%1．"/>
      <w:lvlJc w:val="left"/>
      <w:pPr>
        <w:ind w:left="0" w:firstLine="400"/>
      </w:pPr>
      <w:rPr>
        <w:rFonts w:hint="default"/>
      </w:rPr>
    </w:lvl>
  </w:abstractNum>
  <w:abstractNum w:abstractNumId="8">
    <w:nsid w:val="A37AFE44"/>
    <w:multiLevelType w:val="singleLevel"/>
    <w:tmpl w:val="A37AFE44"/>
    <w:lvl w:ilvl="0" w:tentative="0">
      <w:start w:val="1"/>
      <w:numFmt w:val="decimal"/>
      <w:suff w:val="nothing"/>
      <w:lvlText w:val="%1．"/>
      <w:lvlJc w:val="left"/>
      <w:pPr>
        <w:ind w:left="0" w:firstLine="400"/>
      </w:pPr>
      <w:rPr>
        <w:rFonts w:hint="default" w:ascii="宋体" w:hAnsi="宋体" w:eastAsia="宋体" w:cs="宋体"/>
        <w:sz w:val="28"/>
        <w:szCs w:val="28"/>
      </w:rPr>
    </w:lvl>
  </w:abstractNum>
  <w:abstractNum w:abstractNumId="9">
    <w:nsid w:val="A3BCECA2"/>
    <w:multiLevelType w:val="singleLevel"/>
    <w:tmpl w:val="A3BCECA2"/>
    <w:lvl w:ilvl="0" w:tentative="0">
      <w:start w:val="1"/>
      <w:numFmt w:val="decimal"/>
      <w:suff w:val="nothing"/>
      <w:lvlText w:val="%1．"/>
      <w:lvlJc w:val="left"/>
      <w:pPr>
        <w:ind w:left="0" w:firstLine="400"/>
      </w:pPr>
      <w:rPr>
        <w:rFonts w:hint="default"/>
      </w:rPr>
    </w:lvl>
  </w:abstractNum>
  <w:abstractNum w:abstractNumId="10">
    <w:nsid w:val="A455993E"/>
    <w:multiLevelType w:val="singleLevel"/>
    <w:tmpl w:val="A455993E"/>
    <w:lvl w:ilvl="0" w:tentative="0">
      <w:start w:val="1"/>
      <w:numFmt w:val="decimal"/>
      <w:suff w:val="space"/>
      <w:lvlText w:val="(%1)"/>
      <w:lvlJc w:val="left"/>
      <w:pPr>
        <w:ind w:left="425" w:hanging="425"/>
      </w:pPr>
      <w:rPr>
        <w:rFonts w:hint="default" w:ascii="宋体" w:hAnsi="宋体" w:eastAsia="宋体" w:cs="宋体"/>
      </w:rPr>
    </w:lvl>
  </w:abstractNum>
  <w:abstractNum w:abstractNumId="11">
    <w:nsid w:val="A5EDF006"/>
    <w:multiLevelType w:val="singleLevel"/>
    <w:tmpl w:val="A5EDF006"/>
    <w:lvl w:ilvl="0" w:tentative="0">
      <w:start w:val="15"/>
      <w:numFmt w:val="decimal"/>
      <w:suff w:val="nothing"/>
      <w:lvlText w:val="（%1）"/>
      <w:lvlJc w:val="left"/>
    </w:lvl>
  </w:abstractNum>
  <w:abstractNum w:abstractNumId="12">
    <w:nsid w:val="AA1CF7E3"/>
    <w:multiLevelType w:val="singleLevel"/>
    <w:tmpl w:val="AA1CF7E3"/>
    <w:lvl w:ilvl="0" w:tentative="0">
      <w:start w:val="1"/>
      <w:numFmt w:val="decimal"/>
      <w:suff w:val="nothing"/>
      <w:lvlText w:val="%1．"/>
      <w:lvlJc w:val="left"/>
      <w:pPr>
        <w:ind w:left="0" w:firstLine="400"/>
      </w:pPr>
      <w:rPr>
        <w:rFonts w:hint="default"/>
      </w:rPr>
    </w:lvl>
  </w:abstractNum>
  <w:abstractNum w:abstractNumId="13">
    <w:nsid w:val="AAC0ABDF"/>
    <w:multiLevelType w:val="singleLevel"/>
    <w:tmpl w:val="AAC0ABDF"/>
    <w:lvl w:ilvl="0" w:tentative="0">
      <w:start w:val="1"/>
      <w:numFmt w:val="decimal"/>
      <w:suff w:val="nothing"/>
      <w:lvlText w:val="%1．"/>
      <w:lvlJc w:val="left"/>
      <w:pPr>
        <w:ind w:left="0" w:firstLine="400"/>
      </w:pPr>
      <w:rPr>
        <w:rFonts w:hint="default"/>
      </w:rPr>
    </w:lvl>
  </w:abstractNum>
  <w:abstractNum w:abstractNumId="14">
    <w:nsid w:val="ACF03355"/>
    <w:multiLevelType w:val="singleLevel"/>
    <w:tmpl w:val="ACF03355"/>
    <w:lvl w:ilvl="0" w:tentative="0">
      <w:start w:val="1"/>
      <w:numFmt w:val="decimal"/>
      <w:suff w:val="nothing"/>
      <w:lvlText w:val="%1"/>
      <w:lvlJc w:val="left"/>
      <w:pPr>
        <w:tabs>
          <w:tab w:val="left" w:pos="0"/>
        </w:tabs>
        <w:ind w:left="425" w:hanging="425"/>
      </w:pPr>
      <w:rPr>
        <w:rFonts w:hint="default"/>
      </w:rPr>
    </w:lvl>
  </w:abstractNum>
  <w:abstractNum w:abstractNumId="15">
    <w:nsid w:val="AD6E3169"/>
    <w:multiLevelType w:val="singleLevel"/>
    <w:tmpl w:val="AD6E3169"/>
    <w:lvl w:ilvl="0" w:tentative="0">
      <w:start w:val="1"/>
      <w:numFmt w:val="decimal"/>
      <w:suff w:val="nothing"/>
      <w:lvlText w:val="%1．"/>
      <w:lvlJc w:val="left"/>
      <w:pPr>
        <w:ind w:left="280" w:firstLine="400"/>
      </w:pPr>
      <w:rPr>
        <w:rFonts w:hint="default"/>
      </w:rPr>
    </w:lvl>
  </w:abstractNum>
  <w:abstractNum w:abstractNumId="16">
    <w:nsid w:val="AE4E9D74"/>
    <w:multiLevelType w:val="singleLevel"/>
    <w:tmpl w:val="AE4E9D74"/>
    <w:lvl w:ilvl="0" w:tentative="0">
      <w:start w:val="1"/>
      <w:numFmt w:val="decimal"/>
      <w:suff w:val="nothing"/>
      <w:lvlText w:val="(%1)"/>
      <w:lvlJc w:val="left"/>
      <w:pPr>
        <w:ind w:left="425" w:hanging="425"/>
      </w:pPr>
      <w:rPr>
        <w:rFonts w:hint="default" w:ascii="宋体" w:hAnsi="宋体" w:eastAsia="宋体" w:cs="宋体"/>
        <w:sz w:val="28"/>
        <w:szCs w:val="28"/>
      </w:rPr>
    </w:lvl>
  </w:abstractNum>
  <w:abstractNum w:abstractNumId="17">
    <w:nsid w:val="AF79EE75"/>
    <w:multiLevelType w:val="singleLevel"/>
    <w:tmpl w:val="AF79EE75"/>
    <w:lvl w:ilvl="0" w:tentative="0">
      <w:start w:val="1"/>
      <w:numFmt w:val="decimal"/>
      <w:suff w:val="nothing"/>
      <w:lvlText w:val="%1．"/>
      <w:lvlJc w:val="left"/>
      <w:pPr>
        <w:ind w:left="0" w:firstLine="400"/>
      </w:pPr>
      <w:rPr>
        <w:rFonts w:hint="default"/>
      </w:rPr>
    </w:lvl>
  </w:abstractNum>
  <w:abstractNum w:abstractNumId="18">
    <w:nsid w:val="B23DF75D"/>
    <w:multiLevelType w:val="singleLevel"/>
    <w:tmpl w:val="B23DF75D"/>
    <w:lvl w:ilvl="0" w:tentative="0">
      <w:start w:val="1"/>
      <w:numFmt w:val="decimal"/>
      <w:suff w:val="nothing"/>
      <w:lvlText w:val="%1．"/>
      <w:lvlJc w:val="left"/>
      <w:pPr>
        <w:ind w:left="0" w:firstLine="400"/>
      </w:pPr>
      <w:rPr>
        <w:rFonts w:hint="default"/>
      </w:rPr>
    </w:lvl>
  </w:abstractNum>
  <w:abstractNum w:abstractNumId="19">
    <w:nsid w:val="B51A0D3D"/>
    <w:multiLevelType w:val="singleLevel"/>
    <w:tmpl w:val="B51A0D3D"/>
    <w:lvl w:ilvl="0" w:tentative="0">
      <w:start w:val="1"/>
      <w:numFmt w:val="decimal"/>
      <w:suff w:val="nothing"/>
      <w:lvlText w:val="%1．"/>
      <w:lvlJc w:val="left"/>
      <w:pPr>
        <w:ind w:left="0" w:firstLine="400"/>
      </w:pPr>
      <w:rPr>
        <w:rFonts w:hint="default"/>
      </w:rPr>
    </w:lvl>
  </w:abstractNum>
  <w:abstractNum w:abstractNumId="20">
    <w:nsid w:val="B5A31D75"/>
    <w:multiLevelType w:val="singleLevel"/>
    <w:tmpl w:val="B5A31D75"/>
    <w:lvl w:ilvl="0" w:tentative="0">
      <w:start w:val="1"/>
      <w:numFmt w:val="decimal"/>
      <w:suff w:val="nothing"/>
      <w:lvlText w:val="%1"/>
      <w:lvlJc w:val="left"/>
      <w:pPr>
        <w:tabs>
          <w:tab w:val="left" w:pos="0"/>
        </w:tabs>
        <w:ind w:left="425" w:hanging="425"/>
      </w:pPr>
      <w:rPr>
        <w:rFonts w:hint="default"/>
      </w:rPr>
    </w:lvl>
  </w:abstractNum>
  <w:abstractNum w:abstractNumId="21">
    <w:nsid w:val="BEA4F242"/>
    <w:multiLevelType w:val="singleLevel"/>
    <w:tmpl w:val="BEA4F242"/>
    <w:lvl w:ilvl="0" w:tentative="0">
      <w:start w:val="1"/>
      <w:numFmt w:val="decimal"/>
      <w:suff w:val="nothing"/>
      <w:lvlText w:val="%1．"/>
      <w:lvlJc w:val="left"/>
      <w:pPr>
        <w:ind w:left="0" w:firstLine="400"/>
      </w:pPr>
      <w:rPr>
        <w:rFonts w:hint="default"/>
      </w:rPr>
    </w:lvl>
  </w:abstractNum>
  <w:abstractNum w:abstractNumId="22">
    <w:nsid w:val="C59C0E11"/>
    <w:multiLevelType w:val="singleLevel"/>
    <w:tmpl w:val="C59C0E11"/>
    <w:lvl w:ilvl="0" w:tentative="0">
      <w:start w:val="1"/>
      <w:numFmt w:val="decimal"/>
      <w:suff w:val="nothing"/>
      <w:lvlText w:val="%1．"/>
      <w:lvlJc w:val="left"/>
      <w:pPr>
        <w:ind w:left="0" w:firstLine="400"/>
      </w:pPr>
      <w:rPr>
        <w:rFonts w:hint="default"/>
      </w:rPr>
    </w:lvl>
  </w:abstractNum>
  <w:abstractNum w:abstractNumId="23">
    <w:nsid w:val="C8C67933"/>
    <w:multiLevelType w:val="singleLevel"/>
    <w:tmpl w:val="C8C67933"/>
    <w:lvl w:ilvl="0" w:tentative="0">
      <w:start w:val="1"/>
      <w:numFmt w:val="decimal"/>
      <w:suff w:val="nothing"/>
      <w:lvlText w:val="%1"/>
      <w:lvlJc w:val="left"/>
      <w:pPr>
        <w:tabs>
          <w:tab w:val="left" w:pos="0"/>
        </w:tabs>
        <w:ind w:left="425" w:hanging="425"/>
      </w:pPr>
      <w:rPr>
        <w:rFonts w:hint="default"/>
      </w:rPr>
    </w:lvl>
  </w:abstractNum>
  <w:abstractNum w:abstractNumId="24">
    <w:nsid w:val="CD8ADC7F"/>
    <w:multiLevelType w:val="singleLevel"/>
    <w:tmpl w:val="CD8ADC7F"/>
    <w:lvl w:ilvl="0" w:tentative="0">
      <w:start w:val="1"/>
      <w:numFmt w:val="decimal"/>
      <w:suff w:val="nothing"/>
      <w:lvlText w:val="%1"/>
      <w:lvlJc w:val="left"/>
      <w:pPr>
        <w:tabs>
          <w:tab w:val="left" w:pos="0"/>
        </w:tabs>
        <w:ind w:left="425" w:hanging="425"/>
      </w:pPr>
      <w:rPr>
        <w:rFonts w:hint="default"/>
      </w:rPr>
    </w:lvl>
  </w:abstractNum>
  <w:abstractNum w:abstractNumId="25">
    <w:nsid w:val="E4C542CA"/>
    <w:multiLevelType w:val="multilevel"/>
    <w:tmpl w:val="E4C542CA"/>
    <w:lvl w:ilvl="0" w:tentative="0">
      <w:start w:val="1"/>
      <w:numFmt w:val="decimal"/>
      <w:suff w:val="space"/>
      <w:lvlText w:val="第%1章"/>
      <w:lvlJc w:val="left"/>
      <w:pPr>
        <w:tabs>
          <w:tab w:val="left" w:pos="0"/>
        </w:tabs>
        <w:ind w:left="432" w:hanging="432"/>
      </w:pPr>
      <w:rPr>
        <w:rFonts w:hint="default" w:ascii="黑体" w:hAnsi="黑体" w:eastAsia="黑体" w:cs="黑体"/>
        <w:b w:val="0"/>
        <w:bCs w:val="0"/>
        <w:sz w:val="36"/>
        <w:szCs w:val="36"/>
      </w:rPr>
    </w:lvl>
    <w:lvl w:ilvl="1" w:tentative="0">
      <w:start w:val="1"/>
      <w:numFmt w:val="decimal"/>
      <w:suff w:val="space"/>
      <w:lvlText w:val="%1.%2"/>
      <w:lvlJc w:val="left"/>
      <w:pPr>
        <w:ind w:left="575" w:hanging="575"/>
      </w:pPr>
      <w:rPr>
        <w:rFonts w:hint="default" w:ascii="黑体" w:hAnsi="黑体" w:eastAsia="黑体" w:cs="黑体"/>
        <w:b w:val="0"/>
        <w:bCs w:val="0"/>
        <w:sz w:val="32"/>
        <w:szCs w:val="32"/>
      </w:rPr>
    </w:lvl>
    <w:lvl w:ilvl="2" w:tentative="0">
      <w:start w:val="1"/>
      <w:numFmt w:val="decimal"/>
      <w:suff w:val="space"/>
      <w:lvlText w:val="%1.%2.%3"/>
      <w:lvlJc w:val="left"/>
      <w:pPr>
        <w:tabs>
          <w:tab w:val="left" w:pos="0"/>
        </w:tabs>
        <w:ind w:left="1560" w:hanging="720"/>
      </w:pPr>
      <w:rPr>
        <w:rFonts w:hint="default" w:ascii="宋体" w:hAnsi="宋体" w:cs="宋体"/>
        <w:b/>
        <w:bCs/>
        <w:sz w:val="32"/>
        <w:szCs w:val="32"/>
      </w:rPr>
    </w:lvl>
    <w:lvl w:ilvl="3" w:tentative="0">
      <w:start w:val="1"/>
      <w:numFmt w:val="decimal"/>
      <w:pStyle w:val="5"/>
      <w:suff w:val="space"/>
      <w:lvlText w:val="%1.%2.%3.%4"/>
      <w:lvlJc w:val="left"/>
      <w:pPr>
        <w:ind w:left="864" w:hanging="864"/>
      </w:pPr>
      <w:rPr>
        <w:rFonts w:hint="default" w:ascii="宋体" w:hAnsi="宋体" w:cs="宋体"/>
        <w:b/>
        <w:bCs/>
        <w:sz w:val="30"/>
        <w:szCs w:val="30"/>
      </w:rPr>
    </w:lvl>
    <w:lvl w:ilvl="4" w:tentative="0">
      <w:start w:val="1"/>
      <w:numFmt w:val="decimal"/>
      <w:pStyle w:val="6"/>
      <w:lvlText w:val="%1.%2.%3.%4.%5"/>
      <w:lvlJc w:val="left"/>
      <w:pPr>
        <w:tabs>
          <w:tab w:val="left" w:pos="420"/>
        </w:tabs>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26">
    <w:nsid w:val="034037E2"/>
    <w:multiLevelType w:val="singleLevel"/>
    <w:tmpl w:val="034037E2"/>
    <w:lvl w:ilvl="0" w:tentative="0">
      <w:start w:val="1"/>
      <w:numFmt w:val="decimal"/>
      <w:suff w:val="nothing"/>
      <w:lvlText w:val="%1．"/>
      <w:lvlJc w:val="left"/>
      <w:pPr>
        <w:ind w:left="0" w:firstLine="400"/>
      </w:pPr>
      <w:rPr>
        <w:rFonts w:hint="default"/>
      </w:rPr>
    </w:lvl>
  </w:abstractNum>
  <w:abstractNum w:abstractNumId="27">
    <w:nsid w:val="0CEC9E4E"/>
    <w:multiLevelType w:val="singleLevel"/>
    <w:tmpl w:val="0CEC9E4E"/>
    <w:lvl w:ilvl="0" w:tentative="0">
      <w:start w:val="1"/>
      <w:numFmt w:val="decimal"/>
      <w:suff w:val="nothing"/>
      <w:lvlText w:val="%1)"/>
      <w:lvlJc w:val="left"/>
      <w:pPr>
        <w:ind w:left="425" w:hanging="425"/>
      </w:pPr>
      <w:rPr>
        <w:rFonts w:hint="default"/>
      </w:rPr>
    </w:lvl>
  </w:abstractNum>
  <w:abstractNum w:abstractNumId="28">
    <w:nsid w:val="1329E278"/>
    <w:multiLevelType w:val="singleLevel"/>
    <w:tmpl w:val="1329E278"/>
    <w:lvl w:ilvl="0" w:tentative="0">
      <w:start w:val="1"/>
      <w:numFmt w:val="decimal"/>
      <w:suff w:val="nothing"/>
      <w:lvlText w:val="%1．"/>
      <w:lvlJc w:val="left"/>
      <w:pPr>
        <w:ind w:left="0" w:firstLine="400"/>
      </w:pPr>
      <w:rPr>
        <w:rFonts w:hint="default"/>
      </w:rPr>
    </w:lvl>
  </w:abstractNum>
  <w:abstractNum w:abstractNumId="29">
    <w:nsid w:val="154D5095"/>
    <w:multiLevelType w:val="singleLevel"/>
    <w:tmpl w:val="154D5095"/>
    <w:lvl w:ilvl="0" w:tentative="0">
      <w:start w:val="1"/>
      <w:numFmt w:val="decimal"/>
      <w:suff w:val="nothing"/>
      <w:lvlText w:val="%1"/>
      <w:lvlJc w:val="left"/>
      <w:pPr>
        <w:tabs>
          <w:tab w:val="left" w:pos="0"/>
        </w:tabs>
        <w:ind w:left="425" w:hanging="425"/>
      </w:pPr>
      <w:rPr>
        <w:rFonts w:hint="default"/>
      </w:rPr>
    </w:lvl>
  </w:abstractNum>
  <w:abstractNum w:abstractNumId="30">
    <w:nsid w:val="1AD41FF0"/>
    <w:multiLevelType w:val="singleLevel"/>
    <w:tmpl w:val="1AD41FF0"/>
    <w:lvl w:ilvl="0" w:tentative="0">
      <w:start w:val="1"/>
      <w:numFmt w:val="decimal"/>
      <w:suff w:val="nothing"/>
      <w:lvlText w:val="%1"/>
      <w:lvlJc w:val="left"/>
      <w:pPr>
        <w:tabs>
          <w:tab w:val="left" w:pos="0"/>
        </w:tabs>
        <w:ind w:left="425" w:hanging="425"/>
      </w:pPr>
      <w:rPr>
        <w:rFonts w:hint="default"/>
      </w:rPr>
    </w:lvl>
  </w:abstractNum>
  <w:abstractNum w:abstractNumId="31">
    <w:nsid w:val="2068D355"/>
    <w:multiLevelType w:val="singleLevel"/>
    <w:tmpl w:val="2068D355"/>
    <w:lvl w:ilvl="0" w:tentative="0">
      <w:start w:val="1"/>
      <w:numFmt w:val="decimal"/>
      <w:suff w:val="nothing"/>
      <w:lvlText w:val="%1"/>
      <w:lvlJc w:val="left"/>
      <w:pPr>
        <w:tabs>
          <w:tab w:val="left" w:pos="0"/>
        </w:tabs>
        <w:ind w:left="425" w:hanging="425"/>
      </w:pPr>
      <w:rPr>
        <w:rFonts w:hint="default"/>
      </w:rPr>
    </w:lvl>
  </w:abstractNum>
  <w:abstractNum w:abstractNumId="32">
    <w:nsid w:val="2973A519"/>
    <w:multiLevelType w:val="singleLevel"/>
    <w:tmpl w:val="2973A519"/>
    <w:lvl w:ilvl="0" w:tentative="0">
      <w:start w:val="1"/>
      <w:numFmt w:val="decimal"/>
      <w:suff w:val="nothing"/>
      <w:lvlText w:val="%1"/>
      <w:lvlJc w:val="left"/>
      <w:pPr>
        <w:tabs>
          <w:tab w:val="left" w:pos="0"/>
        </w:tabs>
        <w:ind w:left="425" w:hanging="425"/>
      </w:pPr>
      <w:rPr>
        <w:rFonts w:hint="default"/>
      </w:rPr>
    </w:lvl>
  </w:abstractNum>
  <w:abstractNum w:abstractNumId="33">
    <w:nsid w:val="2B3C5120"/>
    <w:multiLevelType w:val="singleLevel"/>
    <w:tmpl w:val="2B3C5120"/>
    <w:lvl w:ilvl="0" w:tentative="0">
      <w:start w:val="1"/>
      <w:numFmt w:val="decimal"/>
      <w:suff w:val="nothing"/>
      <w:lvlText w:val="%1"/>
      <w:lvlJc w:val="left"/>
      <w:pPr>
        <w:tabs>
          <w:tab w:val="left" w:pos="0"/>
        </w:tabs>
        <w:ind w:left="425" w:hanging="425"/>
      </w:pPr>
      <w:rPr>
        <w:rFonts w:hint="default"/>
      </w:rPr>
    </w:lvl>
  </w:abstractNum>
  <w:abstractNum w:abstractNumId="34">
    <w:nsid w:val="2B5AEB77"/>
    <w:multiLevelType w:val="singleLevel"/>
    <w:tmpl w:val="2B5AEB77"/>
    <w:lvl w:ilvl="0" w:tentative="0">
      <w:start w:val="1"/>
      <w:numFmt w:val="chineseCounting"/>
      <w:suff w:val="nothing"/>
      <w:lvlText w:val="%1"/>
      <w:lvlJc w:val="left"/>
      <w:pPr>
        <w:tabs>
          <w:tab w:val="left" w:pos="0"/>
        </w:tabs>
        <w:ind w:left="0" w:firstLine="420"/>
      </w:pPr>
      <w:rPr>
        <w:rFonts w:hint="eastAsia"/>
      </w:rPr>
    </w:lvl>
  </w:abstractNum>
  <w:abstractNum w:abstractNumId="35">
    <w:nsid w:val="2CDF0109"/>
    <w:multiLevelType w:val="singleLevel"/>
    <w:tmpl w:val="2CDF0109"/>
    <w:lvl w:ilvl="0" w:tentative="0">
      <w:start w:val="1"/>
      <w:numFmt w:val="decimal"/>
      <w:suff w:val="nothing"/>
      <w:lvlText w:val="%1．"/>
      <w:lvlJc w:val="left"/>
      <w:pPr>
        <w:ind w:left="0" w:firstLine="400"/>
      </w:pPr>
      <w:rPr>
        <w:rFonts w:hint="default"/>
      </w:rPr>
    </w:lvl>
  </w:abstractNum>
  <w:abstractNum w:abstractNumId="36">
    <w:nsid w:val="2DF23739"/>
    <w:multiLevelType w:val="singleLevel"/>
    <w:tmpl w:val="2DF23739"/>
    <w:lvl w:ilvl="0" w:tentative="0">
      <w:start w:val="1"/>
      <w:numFmt w:val="decimal"/>
      <w:suff w:val="nothing"/>
      <w:lvlText w:val="%1．"/>
      <w:lvlJc w:val="left"/>
      <w:pPr>
        <w:ind w:left="0" w:firstLine="400"/>
      </w:pPr>
      <w:rPr>
        <w:rFonts w:hint="default"/>
      </w:rPr>
    </w:lvl>
  </w:abstractNum>
  <w:abstractNum w:abstractNumId="37">
    <w:nsid w:val="2EDA3E14"/>
    <w:multiLevelType w:val="singleLevel"/>
    <w:tmpl w:val="2EDA3E14"/>
    <w:lvl w:ilvl="0" w:tentative="0">
      <w:start w:val="1"/>
      <w:numFmt w:val="decimal"/>
      <w:suff w:val="nothing"/>
      <w:lvlText w:val="%1．"/>
      <w:lvlJc w:val="left"/>
      <w:pPr>
        <w:ind w:left="0" w:firstLine="400"/>
      </w:pPr>
      <w:rPr>
        <w:rFonts w:hint="default" w:ascii="宋体" w:hAnsi="宋体" w:eastAsia="宋体" w:cs="宋体"/>
        <w:sz w:val="28"/>
        <w:szCs w:val="28"/>
      </w:rPr>
    </w:lvl>
  </w:abstractNum>
  <w:abstractNum w:abstractNumId="38">
    <w:nsid w:val="2FE4091B"/>
    <w:multiLevelType w:val="singleLevel"/>
    <w:tmpl w:val="2FE4091B"/>
    <w:lvl w:ilvl="0" w:tentative="0">
      <w:start w:val="1"/>
      <w:numFmt w:val="decimal"/>
      <w:suff w:val="space"/>
      <w:lvlText w:val="(%1)"/>
      <w:lvlJc w:val="left"/>
      <w:pPr>
        <w:ind w:left="425" w:hanging="425"/>
      </w:pPr>
      <w:rPr>
        <w:rFonts w:hint="default" w:ascii="宋体" w:hAnsi="宋体" w:eastAsia="宋体" w:cs="宋体"/>
        <w:sz w:val="28"/>
        <w:szCs w:val="28"/>
      </w:rPr>
    </w:lvl>
  </w:abstractNum>
  <w:abstractNum w:abstractNumId="39">
    <w:nsid w:val="33FA5C52"/>
    <w:multiLevelType w:val="singleLevel"/>
    <w:tmpl w:val="33FA5C52"/>
    <w:lvl w:ilvl="0" w:tentative="0">
      <w:start w:val="1"/>
      <w:numFmt w:val="decimal"/>
      <w:suff w:val="nothing"/>
      <w:lvlText w:val="%1"/>
      <w:lvlJc w:val="left"/>
      <w:pPr>
        <w:tabs>
          <w:tab w:val="left" w:pos="0"/>
        </w:tabs>
        <w:ind w:left="425" w:hanging="425"/>
      </w:pPr>
      <w:rPr>
        <w:rFonts w:hint="default"/>
      </w:rPr>
    </w:lvl>
  </w:abstractNum>
  <w:abstractNum w:abstractNumId="40">
    <w:nsid w:val="35DBB9F7"/>
    <w:multiLevelType w:val="singleLevel"/>
    <w:tmpl w:val="35DBB9F7"/>
    <w:lvl w:ilvl="0" w:tentative="0">
      <w:start w:val="1"/>
      <w:numFmt w:val="decimal"/>
      <w:suff w:val="nothing"/>
      <w:lvlText w:val="（%1）"/>
      <w:lvlJc w:val="left"/>
    </w:lvl>
  </w:abstractNum>
  <w:abstractNum w:abstractNumId="41">
    <w:nsid w:val="366F17C4"/>
    <w:multiLevelType w:val="singleLevel"/>
    <w:tmpl w:val="366F17C4"/>
    <w:lvl w:ilvl="0" w:tentative="0">
      <w:start w:val="1"/>
      <w:numFmt w:val="decimal"/>
      <w:suff w:val="nothing"/>
      <w:lvlText w:val="%1．"/>
      <w:lvlJc w:val="left"/>
      <w:pPr>
        <w:ind w:left="0" w:firstLine="400"/>
      </w:pPr>
      <w:rPr>
        <w:rFonts w:hint="default"/>
      </w:rPr>
    </w:lvl>
  </w:abstractNum>
  <w:abstractNum w:abstractNumId="42">
    <w:nsid w:val="369E110E"/>
    <w:multiLevelType w:val="singleLevel"/>
    <w:tmpl w:val="369E110E"/>
    <w:lvl w:ilvl="0" w:tentative="0">
      <w:start w:val="1"/>
      <w:numFmt w:val="chineseCounting"/>
      <w:suff w:val="nothing"/>
      <w:lvlText w:val="%1"/>
      <w:lvlJc w:val="left"/>
      <w:pPr>
        <w:tabs>
          <w:tab w:val="left" w:pos="0"/>
        </w:tabs>
        <w:ind w:left="0" w:firstLine="420"/>
      </w:pPr>
      <w:rPr>
        <w:rFonts w:hint="eastAsia" w:ascii="宋体" w:hAnsi="宋体" w:eastAsia="宋体" w:cs="宋体"/>
      </w:rPr>
    </w:lvl>
  </w:abstractNum>
  <w:abstractNum w:abstractNumId="43">
    <w:nsid w:val="3E62F661"/>
    <w:multiLevelType w:val="singleLevel"/>
    <w:tmpl w:val="3E62F661"/>
    <w:lvl w:ilvl="0" w:tentative="0">
      <w:start w:val="1"/>
      <w:numFmt w:val="decimal"/>
      <w:suff w:val="nothing"/>
      <w:lvlText w:val="%1)"/>
      <w:lvlJc w:val="left"/>
      <w:pPr>
        <w:ind w:left="425" w:hanging="425"/>
      </w:pPr>
      <w:rPr>
        <w:rFonts w:hint="default"/>
      </w:rPr>
    </w:lvl>
  </w:abstractNum>
  <w:abstractNum w:abstractNumId="44">
    <w:nsid w:val="3ECF62C9"/>
    <w:multiLevelType w:val="singleLevel"/>
    <w:tmpl w:val="3ECF62C9"/>
    <w:lvl w:ilvl="0" w:tentative="0">
      <w:start w:val="1"/>
      <w:numFmt w:val="decimal"/>
      <w:suff w:val="nothing"/>
      <w:lvlText w:val="%1"/>
      <w:lvlJc w:val="left"/>
      <w:pPr>
        <w:tabs>
          <w:tab w:val="left" w:pos="0"/>
        </w:tabs>
        <w:ind w:left="425" w:hanging="425"/>
      </w:pPr>
      <w:rPr>
        <w:rFonts w:hint="default"/>
      </w:rPr>
    </w:lvl>
  </w:abstractNum>
  <w:abstractNum w:abstractNumId="45">
    <w:nsid w:val="41240996"/>
    <w:multiLevelType w:val="singleLevel"/>
    <w:tmpl w:val="41240996"/>
    <w:lvl w:ilvl="0" w:tentative="0">
      <w:start w:val="1"/>
      <w:numFmt w:val="decimal"/>
      <w:suff w:val="space"/>
      <w:lvlText w:val="(%1)"/>
      <w:lvlJc w:val="left"/>
      <w:pPr>
        <w:ind w:left="285" w:hanging="425"/>
      </w:pPr>
      <w:rPr>
        <w:rFonts w:hint="default" w:ascii="宋体" w:hAnsi="宋体" w:eastAsia="宋体" w:cs="宋体"/>
        <w:sz w:val="28"/>
        <w:szCs w:val="28"/>
      </w:rPr>
    </w:lvl>
  </w:abstractNum>
  <w:abstractNum w:abstractNumId="46">
    <w:nsid w:val="4339FCEE"/>
    <w:multiLevelType w:val="singleLevel"/>
    <w:tmpl w:val="4339FCEE"/>
    <w:lvl w:ilvl="0" w:tentative="0">
      <w:start w:val="1"/>
      <w:numFmt w:val="decimal"/>
      <w:suff w:val="nothing"/>
      <w:lvlText w:val="%1"/>
      <w:lvlJc w:val="left"/>
      <w:pPr>
        <w:tabs>
          <w:tab w:val="left" w:pos="0"/>
        </w:tabs>
        <w:ind w:left="425" w:hanging="425"/>
      </w:pPr>
      <w:rPr>
        <w:rFonts w:hint="default"/>
      </w:rPr>
    </w:lvl>
  </w:abstractNum>
  <w:abstractNum w:abstractNumId="47">
    <w:nsid w:val="4A179D42"/>
    <w:multiLevelType w:val="singleLevel"/>
    <w:tmpl w:val="4A179D42"/>
    <w:lvl w:ilvl="0" w:tentative="0">
      <w:start w:val="1"/>
      <w:numFmt w:val="decimal"/>
      <w:suff w:val="nothing"/>
      <w:lvlText w:val="%1"/>
      <w:lvlJc w:val="left"/>
      <w:pPr>
        <w:tabs>
          <w:tab w:val="left" w:pos="0"/>
        </w:tabs>
        <w:ind w:left="425" w:hanging="425"/>
      </w:pPr>
      <w:rPr>
        <w:rFonts w:hint="default"/>
      </w:rPr>
    </w:lvl>
  </w:abstractNum>
  <w:abstractNum w:abstractNumId="48">
    <w:nsid w:val="4D6B4230"/>
    <w:multiLevelType w:val="singleLevel"/>
    <w:tmpl w:val="4D6B4230"/>
    <w:lvl w:ilvl="0" w:tentative="0">
      <w:start w:val="1"/>
      <w:numFmt w:val="decimal"/>
      <w:lvlText w:val="%1."/>
      <w:lvlJc w:val="left"/>
      <w:pPr>
        <w:ind w:left="425" w:hanging="425"/>
      </w:pPr>
      <w:rPr>
        <w:rFonts w:hint="default"/>
      </w:rPr>
    </w:lvl>
  </w:abstractNum>
  <w:abstractNum w:abstractNumId="49">
    <w:nsid w:val="54360424"/>
    <w:multiLevelType w:val="singleLevel"/>
    <w:tmpl w:val="54360424"/>
    <w:lvl w:ilvl="0" w:tentative="0">
      <w:start w:val="1"/>
      <w:numFmt w:val="decimal"/>
      <w:suff w:val="nothing"/>
      <w:lvlText w:val="%1"/>
      <w:lvlJc w:val="left"/>
      <w:pPr>
        <w:tabs>
          <w:tab w:val="left" w:pos="0"/>
        </w:tabs>
        <w:ind w:left="425" w:hanging="425"/>
      </w:pPr>
      <w:rPr>
        <w:rFonts w:hint="default"/>
      </w:rPr>
    </w:lvl>
  </w:abstractNum>
  <w:abstractNum w:abstractNumId="50">
    <w:nsid w:val="5A9CA2F8"/>
    <w:multiLevelType w:val="singleLevel"/>
    <w:tmpl w:val="5A9CA2F8"/>
    <w:lvl w:ilvl="0" w:tentative="0">
      <w:start w:val="1"/>
      <w:numFmt w:val="decimal"/>
      <w:suff w:val="nothing"/>
      <w:lvlText w:val="%1．"/>
      <w:lvlJc w:val="left"/>
      <w:pPr>
        <w:ind w:left="0" w:firstLine="400"/>
      </w:pPr>
      <w:rPr>
        <w:rFonts w:hint="default"/>
      </w:rPr>
    </w:lvl>
  </w:abstractNum>
  <w:abstractNum w:abstractNumId="51">
    <w:nsid w:val="5AEC75FF"/>
    <w:multiLevelType w:val="singleLevel"/>
    <w:tmpl w:val="5AEC75FF"/>
    <w:lvl w:ilvl="0" w:tentative="0">
      <w:start w:val="1"/>
      <w:numFmt w:val="decimal"/>
      <w:suff w:val="nothing"/>
      <w:lvlText w:val="%1．"/>
      <w:lvlJc w:val="left"/>
      <w:pPr>
        <w:ind w:left="0" w:firstLine="400"/>
      </w:pPr>
      <w:rPr>
        <w:rFonts w:hint="default"/>
      </w:rPr>
    </w:lvl>
  </w:abstractNum>
  <w:abstractNum w:abstractNumId="52">
    <w:nsid w:val="655245E9"/>
    <w:multiLevelType w:val="singleLevel"/>
    <w:tmpl w:val="655245E9"/>
    <w:lvl w:ilvl="0" w:tentative="0">
      <w:start w:val="1"/>
      <w:numFmt w:val="decimal"/>
      <w:suff w:val="nothing"/>
      <w:lvlText w:val="%1"/>
      <w:lvlJc w:val="left"/>
      <w:pPr>
        <w:tabs>
          <w:tab w:val="left" w:pos="0"/>
        </w:tabs>
        <w:ind w:left="425" w:hanging="425"/>
      </w:pPr>
      <w:rPr>
        <w:rFonts w:hint="default"/>
      </w:rPr>
    </w:lvl>
  </w:abstractNum>
  <w:abstractNum w:abstractNumId="53">
    <w:nsid w:val="6BC484EE"/>
    <w:multiLevelType w:val="singleLevel"/>
    <w:tmpl w:val="6BC484EE"/>
    <w:lvl w:ilvl="0" w:tentative="0">
      <w:start w:val="1"/>
      <w:numFmt w:val="decimal"/>
      <w:suff w:val="nothing"/>
      <w:lvlText w:val="%1"/>
      <w:lvlJc w:val="left"/>
      <w:pPr>
        <w:tabs>
          <w:tab w:val="left" w:pos="0"/>
        </w:tabs>
        <w:ind w:left="425" w:hanging="425"/>
      </w:pPr>
      <w:rPr>
        <w:rFonts w:hint="default"/>
      </w:rPr>
    </w:lvl>
  </w:abstractNum>
  <w:abstractNum w:abstractNumId="54">
    <w:nsid w:val="6C60E8C3"/>
    <w:multiLevelType w:val="singleLevel"/>
    <w:tmpl w:val="6C60E8C3"/>
    <w:lvl w:ilvl="0" w:tentative="0">
      <w:start w:val="1"/>
      <w:numFmt w:val="decimal"/>
      <w:suff w:val="nothing"/>
      <w:lvlText w:val="%1"/>
      <w:lvlJc w:val="left"/>
      <w:pPr>
        <w:tabs>
          <w:tab w:val="left" w:pos="0"/>
        </w:tabs>
        <w:ind w:left="425" w:hanging="425"/>
      </w:pPr>
      <w:rPr>
        <w:rFonts w:hint="default"/>
      </w:rPr>
    </w:lvl>
  </w:abstractNum>
  <w:abstractNum w:abstractNumId="55">
    <w:nsid w:val="754715A1"/>
    <w:multiLevelType w:val="singleLevel"/>
    <w:tmpl w:val="754715A1"/>
    <w:lvl w:ilvl="0" w:tentative="0">
      <w:start w:val="1"/>
      <w:numFmt w:val="decimal"/>
      <w:suff w:val="nothing"/>
      <w:lvlText w:val="%1．"/>
      <w:lvlJc w:val="left"/>
      <w:pPr>
        <w:ind w:left="0" w:firstLine="400"/>
      </w:pPr>
      <w:rPr>
        <w:rFonts w:hint="default"/>
      </w:rPr>
    </w:lvl>
  </w:abstractNum>
  <w:abstractNum w:abstractNumId="56">
    <w:nsid w:val="7A5EC3A2"/>
    <w:multiLevelType w:val="singleLevel"/>
    <w:tmpl w:val="7A5EC3A2"/>
    <w:lvl w:ilvl="0" w:tentative="0">
      <w:start w:val="1"/>
      <w:numFmt w:val="decimal"/>
      <w:suff w:val="nothing"/>
      <w:lvlText w:val="%1"/>
      <w:lvlJc w:val="left"/>
      <w:pPr>
        <w:tabs>
          <w:tab w:val="left" w:pos="0"/>
        </w:tabs>
        <w:ind w:left="425" w:hanging="425"/>
      </w:pPr>
      <w:rPr>
        <w:rFonts w:hint="default"/>
      </w:rPr>
    </w:lvl>
  </w:abstractNum>
  <w:num w:numId="1">
    <w:abstractNumId w:val="25"/>
  </w:num>
  <w:num w:numId="2">
    <w:abstractNumId w:val="10"/>
  </w:num>
  <w:num w:numId="3">
    <w:abstractNumId w:val="38"/>
  </w:num>
  <w:num w:numId="4">
    <w:abstractNumId w:val="11"/>
  </w:num>
  <w:num w:numId="5">
    <w:abstractNumId w:val="45"/>
  </w:num>
  <w:num w:numId="6">
    <w:abstractNumId w:val="40"/>
  </w:num>
  <w:num w:numId="7">
    <w:abstractNumId w:val="42"/>
  </w:num>
  <w:num w:numId="8">
    <w:abstractNumId w:val="22"/>
  </w:num>
  <w:num w:numId="9">
    <w:abstractNumId w:val="41"/>
  </w:num>
  <w:num w:numId="10">
    <w:abstractNumId w:val="21"/>
  </w:num>
  <w:num w:numId="11">
    <w:abstractNumId w:val="6"/>
  </w:num>
  <w:num w:numId="12">
    <w:abstractNumId w:val="48"/>
  </w:num>
  <w:num w:numId="13">
    <w:abstractNumId w:val="28"/>
  </w:num>
  <w:num w:numId="14">
    <w:abstractNumId w:val="17"/>
  </w:num>
  <w:num w:numId="15">
    <w:abstractNumId w:val="4"/>
  </w:num>
  <w:num w:numId="16">
    <w:abstractNumId w:val="5"/>
  </w:num>
  <w:num w:numId="17">
    <w:abstractNumId w:val="55"/>
  </w:num>
  <w:num w:numId="18">
    <w:abstractNumId w:val="37"/>
  </w:num>
  <w:num w:numId="19">
    <w:abstractNumId w:val="8"/>
  </w:num>
  <w:num w:numId="20">
    <w:abstractNumId w:val="9"/>
  </w:num>
  <w:num w:numId="21">
    <w:abstractNumId w:val="16"/>
  </w:num>
  <w:num w:numId="22">
    <w:abstractNumId w:val="18"/>
  </w:num>
  <w:num w:numId="23">
    <w:abstractNumId w:val="7"/>
  </w:num>
  <w:num w:numId="24">
    <w:abstractNumId w:val="56"/>
  </w:num>
  <w:num w:numId="25">
    <w:abstractNumId w:val="26"/>
  </w:num>
  <w:num w:numId="26">
    <w:abstractNumId w:val="27"/>
  </w:num>
  <w:num w:numId="27">
    <w:abstractNumId w:val="43"/>
  </w:num>
  <w:num w:numId="28">
    <w:abstractNumId w:val="15"/>
  </w:num>
  <w:num w:numId="29">
    <w:abstractNumId w:val="14"/>
  </w:num>
  <w:num w:numId="30">
    <w:abstractNumId w:val="33"/>
  </w:num>
  <w:num w:numId="31">
    <w:abstractNumId w:val="44"/>
  </w:num>
  <w:num w:numId="32">
    <w:abstractNumId w:val="24"/>
  </w:num>
  <w:num w:numId="33">
    <w:abstractNumId w:val="1"/>
  </w:num>
  <w:num w:numId="34">
    <w:abstractNumId w:val="31"/>
  </w:num>
  <w:num w:numId="35">
    <w:abstractNumId w:val="49"/>
  </w:num>
  <w:num w:numId="36">
    <w:abstractNumId w:val="30"/>
  </w:num>
  <w:num w:numId="37">
    <w:abstractNumId w:val="54"/>
  </w:num>
  <w:num w:numId="38">
    <w:abstractNumId w:val="29"/>
  </w:num>
  <w:num w:numId="39">
    <w:abstractNumId w:val="52"/>
  </w:num>
  <w:num w:numId="40">
    <w:abstractNumId w:val="32"/>
  </w:num>
  <w:num w:numId="41">
    <w:abstractNumId w:val="34"/>
  </w:num>
  <w:num w:numId="42">
    <w:abstractNumId w:val="3"/>
  </w:num>
  <w:num w:numId="43">
    <w:abstractNumId w:val="53"/>
  </w:num>
  <w:num w:numId="44">
    <w:abstractNumId w:val="39"/>
  </w:num>
  <w:num w:numId="45">
    <w:abstractNumId w:val="20"/>
  </w:num>
  <w:num w:numId="46">
    <w:abstractNumId w:val="47"/>
  </w:num>
  <w:num w:numId="47">
    <w:abstractNumId w:val="46"/>
  </w:num>
  <w:num w:numId="48">
    <w:abstractNumId w:val="23"/>
  </w:num>
  <w:num w:numId="49">
    <w:abstractNumId w:val="2"/>
  </w:num>
  <w:num w:numId="50">
    <w:abstractNumId w:val="13"/>
  </w:num>
  <w:num w:numId="51">
    <w:abstractNumId w:val="50"/>
  </w:num>
  <w:num w:numId="52">
    <w:abstractNumId w:val="19"/>
  </w:num>
  <w:num w:numId="53">
    <w:abstractNumId w:val="12"/>
  </w:num>
  <w:num w:numId="54">
    <w:abstractNumId w:val="35"/>
  </w:num>
  <w:num w:numId="55">
    <w:abstractNumId w:val="51"/>
  </w:num>
  <w:num w:numId="56">
    <w:abstractNumId w:val="36"/>
  </w:num>
  <w:num w:numId="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F6557C"/>
    <w:rsid w:val="00073D44"/>
    <w:rsid w:val="00573854"/>
    <w:rsid w:val="031418F0"/>
    <w:rsid w:val="05C869C2"/>
    <w:rsid w:val="07DD5113"/>
    <w:rsid w:val="07F810CA"/>
    <w:rsid w:val="0D0504FC"/>
    <w:rsid w:val="0F930041"/>
    <w:rsid w:val="11A537C6"/>
    <w:rsid w:val="1289719A"/>
    <w:rsid w:val="14121DDD"/>
    <w:rsid w:val="14951980"/>
    <w:rsid w:val="15D408D1"/>
    <w:rsid w:val="15E96C0C"/>
    <w:rsid w:val="17D13AF8"/>
    <w:rsid w:val="17FC71C7"/>
    <w:rsid w:val="185B5E04"/>
    <w:rsid w:val="19FF2F4A"/>
    <w:rsid w:val="1B73695C"/>
    <w:rsid w:val="1C1F680A"/>
    <w:rsid w:val="1F901EA7"/>
    <w:rsid w:val="20176124"/>
    <w:rsid w:val="203979D3"/>
    <w:rsid w:val="204809D3"/>
    <w:rsid w:val="21BF60D4"/>
    <w:rsid w:val="23720241"/>
    <w:rsid w:val="29DE4BB1"/>
    <w:rsid w:val="2B732DA8"/>
    <w:rsid w:val="2BF67536"/>
    <w:rsid w:val="2C254C7B"/>
    <w:rsid w:val="2CBF201D"/>
    <w:rsid w:val="2FFE4C0B"/>
    <w:rsid w:val="31FD5849"/>
    <w:rsid w:val="333338BC"/>
    <w:rsid w:val="334D2131"/>
    <w:rsid w:val="34AB35B3"/>
    <w:rsid w:val="34B87931"/>
    <w:rsid w:val="354D5A45"/>
    <w:rsid w:val="37377380"/>
    <w:rsid w:val="37442687"/>
    <w:rsid w:val="374A613D"/>
    <w:rsid w:val="38FC0F57"/>
    <w:rsid w:val="39DF2916"/>
    <w:rsid w:val="3A0F70CA"/>
    <w:rsid w:val="3AA60379"/>
    <w:rsid w:val="41452699"/>
    <w:rsid w:val="41A82C28"/>
    <w:rsid w:val="473D66A6"/>
    <w:rsid w:val="48AD0310"/>
    <w:rsid w:val="4A4A6F73"/>
    <w:rsid w:val="4D5964C0"/>
    <w:rsid w:val="4DEB2922"/>
    <w:rsid w:val="4F5166AD"/>
    <w:rsid w:val="50B74C36"/>
    <w:rsid w:val="53672943"/>
    <w:rsid w:val="53D16D74"/>
    <w:rsid w:val="54A61249"/>
    <w:rsid w:val="580A7D41"/>
    <w:rsid w:val="5A673229"/>
    <w:rsid w:val="5B5F03A4"/>
    <w:rsid w:val="5BF6557C"/>
    <w:rsid w:val="5C8355F8"/>
    <w:rsid w:val="627C165C"/>
    <w:rsid w:val="62FC79CB"/>
    <w:rsid w:val="644D348F"/>
    <w:rsid w:val="64DC7E96"/>
    <w:rsid w:val="699252C4"/>
    <w:rsid w:val="69F30635"/>
    <w:rsid w:val="6AB15363"/>
    <w:rsid w:val="6BF20778"/>
    <w:rsid w:val="6CD11656"/>
    <w:rsid w:val="6DEA61F3"/>
    <w:rsid w:val="71867FE1"/>
    <w:rsid w:val="72341D2A"/>
    <w:rsid w:val="78A24B32"/>
    <w:rsid w:val="7A3472AA"/>
    <w:rsid w:val="7C653614"/>
    <w:rsid w:val="7E3E19A2"/>
    <w:rsid w:val="7EC108AA"/>
    <w:rsid w:val="7FA501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spacing w:before="120" w:beforeLines="50" w:after="120" w:afterLines="50" w:line="360" w:lineRule="auto"/>
      <w:jc w:val="center"/>
      <w:outlineLvl w:val="0"/>
    </w:pPr>
    <w:rPr>
      <w:rFonts w:ascii="黑体" w:eastAsia="黑体"/>
      <w:b/>
      <w:bCs/>
      <w:color w:val="000000"/>
      <w:kern w:val="0"/>
      <w:sz w:val="32"/>
      <w:szCs w:val="32"/>
    </w:rPr>
  </w:style>
  <w:style w:type="paragraph" w:styleId="3">
    <w:name w:val="heading 2"/>
    <w:basedOn w:val="1"/>
    <w:next w:val="1"/>
    <w:link w:val="32"/>
    <w:qFormat/>
    <w:uiPriority w:val="0"/>
    <w:pPr>
      <w:keepNext/>
      <w:adjustRightInd w:val="0"/>
      <w:snapToGrid w:val="0"/>
      <w:spacing w:line="360" w:lineRule="auto"/>
      <w:outlineLvl w:val="1"/>
    </w:pPr>
    <w:rPr>
      <w:rFonts w:eastAsia="楷体"/>
      <w:b/>
      <w:bCs/>
      <w:sz w:val="32"/>
      <w:szCs w:val="32"/>
      <w:lang w:val="zh-CN"/>
    </w:rPr>
  </w:style>
  <w:style w:type="paragraph" w:styleId="4">
    <w:name w:val="heading 3"/>
    <w:basedOn w:val="1"/>
    <w:next w:val="1"/>
    <w:link w:val="31"/>
    <w:qFormat/>
    <w:uiPriority w:val="0"/>
    <w:pPr>
      <w:keepNext/>
      <w:keepLines/>
      <w:adjustRightInd w:val="0"/>
      <w:snapToGrid w:val="0"/>
      <w:spacing w:line="360" w:lineRule="auto"/>
      <w:outlineLvl w:val="2"/>
    </w:pPr>
    <w:rPr>
      <w:rFonts w:eastAsia="黑体"/>
      <w:bCs/>
      <w:sz w:val="28"/>
      <w:szCs w:val="28"/>
    </w:rPr>
  </w:style>
  <w:style w:type="paragraph" w:styleId="5">
    <w:name w:val="heading 4"/>
    <w:basedOn w:val="1"/>
    <w:next w:val="1"/>
    <w:qFormat/>
    <w:uiPriority w:val="0"/>
    <w:pPr>
      <w:keepNext/>
      <w:keepLines/>
      <w:numPr>
        <w:ilvl w:val="3"/>
        <w:numId w:val="1"/>
      </w:numPr>
      <w:tabs>
        <w:tab w:val="left" w:pos="420"/>
      </w:tabs>
      <w:spacing w:before="50" w:beforeLines="50" w:after="50" w:afterLines="50" w:line="240" w:lineRule="auto"/>
      <w:ind w:left="864" w:hanging="864" w:firstLineChars="0"/>
      <w:outlineLvl w:val="3"/>
    </w:pPr>
    <w:rPr>
      <w:rFonts w:ascii="宋体" w:hAnsi="宋体"/>
      <w:sz w:val="30"/>
      <w:szCs w:val="28"/>
    </w:rPr>
  </w:style>
  <w:style w:type="paragraph" w:styleId="6">
    <w:name w:val="heading 5"/>
    <w:basedOn w:val="1"/>
    <w:next w:val="1"/>
    <w:qFormat/>
    <w:uiPriority w:val="0"/>
    <w:pPr>
      <w:keepNext/>
      <w:keepLines/>
      <w:numPr>
        <w:ilvl w:val="4"/>
        <w:numId w:val="1"/>
      </w:numPr>
      <w:spacing w:line="240" w:lineRule="auto"/>
      <w:ind w:firstLineChars="0"/>
      <w:outlineLvl w:val="4"/>
    </w:pPr>
    <w:rPr>
      <w:rFonts w:ascii="Times New Roman" w:hAnsi="Times New Roman" w:eastAsia="宋体"/>
      <w:b/>
      <w:bCs/>
      <w:szCs w:val="28"/>
    </w:rPr>
  </w:style>
  <w:style w:type="paragraph" w:styleId="7">
    <w:name w:val="heading 7"/>
    <w:basedOn w:val="1"/>
    <w:next w:val="1"/>
    <w:semiHidden/>
    <w:unhideWhenUsed/>
    <w:qFormat/>
    <w:uiPriority w:val="0"/>
    <w:pPr>
      <w:keepNext/>
      <w:keepLines/>
      <w:spacing w:before="240" w:beforeLines="0" w:beforeAutospacing="0" w:after="64" w:afterLines="0" w:afterAutospacing="0" w:line="317" w:lineRule="auto"/>
      <w:outlineLvl w:val="6"/>
    </w:pPr>
    <w:rPr>
      <w:b/>
      <w:sz w:val="24"/>
    </w:rPr>
  </w:style>
  <w:style w:type="character" w:default="1" w:styleId="23">
    <w:name w:val="Default Paragraph Font"/>
    <w:semiHidden/>
    <w:qFormat/>
    <w:uiPriority w:val="0"/>
  </w:style>
  <w:style w:type="table" w:default="1" w:styleId="21">
    <w:name w:val="Normal Table"/>
    <w:semiHidden/>
    <w:qFormat/>
    <w:uiPriority w:val="0"/>
    <w:tblPr>
      <w:tblCellMar>
        <w:top w:w="0" w:type="dxa"/>
        <w:left w:w="108" w:type="dxa"/>
        <w:bottom w:w="0" w:type="dxa"/>
        <w:right w:w="108" w:type="dxa"/>
      </w:tblCellMar>
    </w:tblPr>
  </w:style>
  <w:style w:type="paragraph" w:styleId="8">
    <w:name w:val="caption"/>
    <w:basedOn w:val="1"/>
    <w:next w:val="1"/>
    <w:qFormat/>
    <w:uiPriority w:val="99"/>
    <w:pPr>
      <w:spacing w:line="240" w:lineRule="auto"/>
      <w:ind w:firstLine="0" w:firstLineChars="0"/>
      <w:jc w:val="center"/>
    </w:pPr>
    <w:rPr>
      <w:rFonts w:ascii="宋体" w:hAnsi="宋体" w:eastAsia="宋体" w:cs="宋体"/>
      <w:b/>
      <w:sz w:val="24"/>
      <w:szCs w:val="28"/>
    </w:rPr>
  </w:style>
  <w:style w:type="paragraph" w:styleId="9">
    <w:name w:val="annotation text"/>
    <w:basedOn w:val="1"/>
    <w:qFormat/>
    <w:uiPriority w:val="0"/>
    <w:pPr>
      <w:jc w:val="left"/>
    </w:pPr>
  </w:style>
  <w:style w:type="paragraph" w:styleId="10">
    <w:name w:val="Body Text"/>
    <w:basedOn w:val="1"/>
    <w:next w:val="11"/>
    <w:qFormat/>
    <w:uiPriority w:val="0"/>
    <w:pPr>
      <w:spacing w:after="120"/>
    </w:pPr>
    <w:rPr>
      <w:sz w:val="24"/>
    </w:rPr>
  </w:style>
  <w:style w:type="paragraph" w:customStyle="1" w:styleId="11">
    <w:name w:val="明显引用1"/>
    <w:next w:val="1"/>
    <w:qFormat/>
    <w:uiPriority w:val="0"/>
    <w:pPr>
      <w:wordWrap w:val="0"/>
      <w:spacing w:before="360" w:after="360"/>
      <w:ind w:left="950" w:right="950"/>
      <w:jc w:val="center"/>
    </w:pPr>
    <w:rPr>
      <w:rFonts w:ascii="Times New Roman" w:hAnsi="Times New Roman" w:eastAsia="宋体" w:cs="Times New Roman"/>
      <w:i/>
      <w:sz w:val="21"/>
      <w:lang w:val="en-US" w:eastAsia="zh-CN" w:bidi="ar-SA"/>
    </w:rPr>
  </w:style>
  <w:style w:type="paragraph" w:styleId="12">
    <w:name w:val="Body Text Indent"/>
    <w:basedOn w:val="1"/>
    <w:qFormat/>
    <w:uiPriority w:val="0"/>
    <w:pPr>
      <w:spacing w:after="120" w:afterLines="0" w:afterAutospacing="0"/>
      <w:ind w:left="420" w:leftChars="200"/>
    </w:pPr>
  </w:style>
  <w:style w:type="paragraph" w:styleId="13">
    <w:name w:val="toc 3"/>
    <w:basedOn w:val="1"/>
    <w:next w:val="1"/>
    <w:qFormat/>
    <w:uiPriority w:val="0"/>
    <w:pPr>
      <w:ind w:left="840" w:leftChars="400"/>
    </w:pPr>
  </w:style>
  <w:style w:type="paragraph" w:styleId="14">
    <w:name w:val="footer"/>
    <w:basedOn w:val="1"/>
    <w:qFormat/>
    <w:uiPriority w:val="0"/>
    <w:pPr>
      <w:tabs>
        <w:tab w:val="center" w:pos="4153"/>
        <w:tab w:val="right" w:pos="8306"/>
      </w:tabs>
      <w:snapToGrid w:val="0"/>
      <w:jc w:val="left"/>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qFormat/>
    <w:uiPriority w:val="0"/>
  </w:style>
  <w:style w:type="paragraph" w:styleId="17">
    <w:name w:val="List"/>
    <w:basedOn w:val="1"/>
    <w:qFormat/>
    <w:uiPriority w:val="0"/>
    <w:pPr>
      <w:widowControl w:val="0"/>
      <w:jc w:val="center"/>
    </w:pPr>
    <w:rPr>
      <w:rFonts w:ascii="Times New Roman" w:hAnsi="Times New Roman" w:eastAsia="宋体" w:cs="Times New Roman"/>
      <w:kern w:val="2"/>
      <w:sz w:val="21"/>
      <w:szCs w:val="21"/>
      <w:lang w:val="en-US" w:eastAsia="zh-CN" w:bidi="ar-SA"/>
    </w:rPr>
  </w:style>
  <w:style w:type="paragraph" w:styleId="18">
    <w:name w:val="toc 2"/>
    <w:basedOn w:val="1"/>
    <w:next w:val="1"/>
    <w:qFormat/>
    <w:uiPriority w:val="0"/>
    <w:pPr>
      <w:ind w:left="420" w:leftChars="200"/>
    </w:pPr>
  </w:style>
  <w:style w:type="paragraph" w:styleId="19">
    <w:name w:val="Body Text First Indent"/>
    <w:basedOn w:val="10"/>
    <w:next w:val="1"/>
    <w:semiHidden/>
    <w:unhideWhenUsed/>
    <w:qFormat/>
    <w:uiPriority w:val="99"/>
    <w:pPr>
      <w:tabs>
        <w:tab w:val="left" w:pos="48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120" w:line="240" w:lineRule="auto"/>
      <w:ind w:firstLine="522"/>
    </w:pPr>
    <w:rPr>
      <w:szCs w:val="21"/>
      <w:lang w:bidi="en-US"/>
    </w:rPr>
  </w:style>
  <w:style w:type="paragraph" w:styleId="20">
    <w:name w:val="Body Text First Indent 2"/>
    <w:basedOn w:val="1"/>
    <w:next w:val="19"/>
    <w:qFormat/>
    <w:uiPriority w:val="0"/>
    <w:pPr>
      <w:ind w:firstLine="420" w:firstLineChars="200"/>
    </w:p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Hyperlink"/>
    <w:basedOn w:val="23"/>
    <w:unhideWhenUsed/>
    <w:qFormat/>
    <w:uiPriority w:val="99"/>
    <w:rPr>
      <w:color w:val="0000FF"/>
      <w:u w:val="single"/>
    </w:rPr>
  </w:style>
  <w:style w:type="table" w:customStyle="1" w:styleId="25">
    <w:name w:val="Table Normal"/>
    <w:unhideWhenUsed/>
    <w:qFormat/>
    <w:uiPriority w:val="0"/>
    <w:tblPr>
      <w:tblCellMar>
        <w:top w:w="0" w:type="dxa"/>
        <w:left w:w="0" w:type="dxa"/>
        <w:bottom w:w="0" w:type="dxa"/>
        <w:right w:w="0" w:type="dxa"/>
      </w:tblCellMar>
    </w:tblPr>
  </w:style>
  <w:style w:type="paragraph" w:customStyle="1" w:styleId="26">
    <w:name w:val="Table Text"/>
    <w:basedOn w:val="1"/>
    <w:autoRedefine/>
    <w:semiHidden/>
    <w:qFormat/>
    <w:uiPriority w:val="0"/>
    <w:pPr>
      <w:spacing w:line="240" w:lineRule="auto"/>
      <w:ind w:firstLine="0" w:firstLineChars="0"/>
    </w:pPr>
    <w:rPr>
      <w:rFonts w:ascii="宋体" w:hAnsi="宋体" w:eastAsia="宋体" w:cs="宋体"/>
      <w:sz w:val="21"/>
      <w:szCs w:val="21"/>
      <w:lang w:eastAsia="en-US"/>
    </w:rPr>
  </w:style>
  <w:style w:type="paragraph" w:customStyle="1" w:styleId="27">
    <w:name w:val="表头"/>
    <w:basedOn w:val="1"/>
    <w:next w:val="1"/>
    <w:autoRedefine/>
    <w:qFormat/>
    <w:uiPriority w:val="0"/>
    <w:pPr>
      <w:spacing w:line="240" w:lineRule="auto"/>
      <w:ind w:firstLine="0" w:firstLineChars="0"/>
      <w:jc w:val="center"/>
    </w:pPr>
    <w:rPr>
      <w:rFonts w:ascii="Times New Roman" w:hAnsi="Times New Roman" w:eastAsia="宋体"/>
      <w:b/>
      <w:sz w:val="21"/>
      <w:szCs w:val="28"/>
    </w:rPr>
  </w:style>
  <w:style w:type="paragraph" w:customStyle="1" w:styleId="28">
    <w:name w:val="表格（五号）"/>
    <w:basedOn w:val="1"/>
    <w:next w:val="1"/>
    <w:autoRedefine/>
    <w:qFormat/>
    <w:uiPriority w:val="0"/>
    <w:pPr>
      <w:adjustRightInd w:val="0"/>
      <w:snapToGrid w:val="0"/>
      <w:spacing w:line="240" w:lineRule="auto"/>
      <w:ind w:firstLine="0" w:firstLineChars="0"/>
      <w:jc w:val="center"/>
    </w:pPr>
    <w:rPr>
      <w:rFonts w:ascii="Times New Roman" w:hAnsi="Times New Roman" w:eastAsia="宋体"/>
      <w:bCs/>
      <w:sz w:val="21"/>
    </w:rPr>
  </w:style>
  <w:style w:type="paragraph" w:customStyle="1" w:styleId="29">
    <w:name w:val="正文1"/>
    <w:basedOn w:val="1"/>
    <w:qFormat/>
    <w:uiPriority w:val="0"/>
    <w:pPr>
      <w:ind w:firstLine="480"/>
    </w:pPr>
    <w:rPr>
      <w:rFonts w:ascii="宋体" w:hAnsi="宋体" w:cs="宋体"/>
      <w:color w:val="000000"/>
      <w:sz w:val="24"/>
    </w:rPr>
  </w:style>
  <w:style w:type="paragraph" w:customStyle="1" w:styleId="30">
    <w:name w:val="表格 表蕊居中 五号或六号宋体字"/>
    <w:qFormat/>
    <w:uiPriority w:val="0"/>
    <w:pPr>
      <w:widowControl w:val="0"/>
      <w:jc w:val="center"/>
    </w:pPr>
    <w:rPr>
      <w:rFonts w:ascii="Times New Roman" w:hAnsi="Times New Roman" w:eastAsia="宋体" w:cs="Times New Roman"/>
      <w:kern w:val="2"/>
      <w:sz w:val="21"/>
      <w:szCs w:val="22"/>
      <w:lang w:val="en-US" w:eastAsia="zh-CN" w:bidi="ar-SA"/>
    </w:rPr>
  </w:style>
  <w:style w:type="character" w:customStyle="1" w:styleId="31">
    <w:name w:val="标题 3 字符"/>
    <w:link w:val="4"/>
    <w:qFormat/>
    <w:uiPriority w:val="9"/>
    <w:rPr>
      <w:rFonts w:eastAsia="黑体"/>
      <w:bCs/>
      <w:sz w:val="28"/>
      <w:szCs w:val="28"/>
    </w:rPr>
  </w:style>
  <w:style w:type="character" w:customStyle="1" w:styleId="32">
    <w:name w:val="标题 2 字符"/>
    <w:link w:val="3"/>
    <w:qFormat/>
    <w:uiPriority w:val="0"/>
    <w:rPr>
      <w:rFonts w:eastAsia="楷体"/>
      <w:b/>
      <w:bCs/>
      <w:sz w:val="32"/>
      <w:szCs w:val="32"/>
      <w:lang w:val="zh-CN"/>
    </w:rPr>
  </w:style>
  <w:style w:type="paragraph" w:customStyle="1" w:styleId="33">
    <w:name w:val="表格 表蕊左对齐"/>
    <w:qFormat/>
    <w:uiPriority w:val="0"/>
    <w:pPr>
      <w:widowControl w:val="0"/>
      <w:ind w:firstLine="100" w:firstLineChars="100"/>
      <w:jc w:val="left"/>
    </w:pPr>
    <w:rPr>
      <w:rFonts w:ascii="Times New Roman" w:hAnsi="Times New Roman" w:eastAsia="宋体" w:cs="Times New Roman"/>
      <w:kern w:val="2"/>
      <w:sz w:val="21"/>
      <w:szCs w:val="22"/>
      <w:lang w:val="en-US" w:eastAsia="zh-CN" w:bidi="ar-SA"/>
    </w:rPr>
  </w:style>
  <w:style w:type="paragraph" w:customStyle="1" w:styleId="34">
    <w:name w:val="正文2"/>
    <w:basedOn w:val="35"/>
    <w:qFormat/>
    <w:uiPriority w:val="0"/>
    <w:pPr>
      <w:spacing w:line="500" w:lineRule="exact"/>
    </w:pPr>
    <w:rPr>
      <w:rFonts w:eastAsia="宋体"/>
      <w:szCs w:val="28"/>
    </w:rPr>
  </w:style>
  <w:style w:type="paragraph" w:customStyle="1" w:styleId="35">
    <w:name w:val="样式 样式 四号 行距: 1.5 倍行距 首行缩进:  2 字符 + 首行缩进:  2 字符"/>
    <w:basedOn w:val="36"/>
    <w:qFormat/>
    <w:uiPriority w:val="0"/>
    <w:pPr>
      <w:ind w:firstLine="560"/>
    </w:pPr>
  </w:style>
  <w:style w:type="paragraph" w:customStyle="1" w:styleId="36">
    <w:name w:val="样式 四号 行距: 1.5 倍行距 首行缩进:  2 字符"/>
    <w:basedOn w:val="1"/>
    <w:qFormat/>
    <w:uiPriority w:val="0"/>
    <w:pPr>
      <w:ind w:firstLine="200" w:firstLineChars="200"/>
    </w:pPr>
    <w:rPr>
      <w:rFonts w:eastAsia="仿宋" w:cs="宋体"/>
      <w:sz w:val="28"/>
      <w:szCs w:val="20"/>
    </w:rPr>
  </w:style>
  <w:style w:type="paragraph" w:styleId="37">
    <w:name w:val="List Paragraph"/>
    <w:basedOn w:val="1"/>
    <w:qFormat/>
    <w:uiPriority w:val="99"/>
    <w:pPr>
      <w:ind w:firstLine="420" w:firstLineChars="200"/>
    </w:pPr>
    <w:rPr>
      <w:szCs w:val="24"/>
    </w:rPr>
  </w:style>
  <w:style w:type="character" w:customStyle="1" w:styleId="38">
    <w:name w:val="正文6"/>
    <w:qFormat/>
    <w:uiPriority w:val="0"/>
    <w:rPr>
      <w:rFonts w:ascii="Times New Roman" w:hAnsi="Times New Roman" w:eastAsia="宋体"/>
      <w:spacing w:val="0"/>
      <w:w w:val="100"/>
      <w:position w:val="0"/>
      <w:sz w:val="28"/>
      <w:szCs w:val="28"/>
    </w:rPr>
  </w:style>
  <w:style w:type="paragraph" w:customStyle="1" w:styleId="39">
    <w:name w:val="Default"/>
    <w:next w:val="1"/>
    <w:autoRedefine/>
    <w:unhideWhenUsed/>
    <w:qFormat/>
    <w:uiPriority w:val="99"/>
    <w:pPr>
      <w:widowControl w:val="0"/>
      <w:autoSpaceDE w:val="0"/>
      <w:autoSpaceDN w:val="0"/>
      <w:adjustRightInd w:val="0"/>
    </w:pPr>
    <w:rPr>
      <w:rFonts w:hint="eastAsia" w:ascii="..ì." w:hAnsi="..ì." w:eastAsia="..ì." w:cs="Times New Roman"/>
      <w:color w:val="000000"/>
      <w:sz w:val="24"/>
      <w:szCs w:val="22"/>
      <w:lang w:val="en-US" w:eastAsia="zh-CN" w:bidi="ar-SA"/>
    </w:rPr>
  </w:style>
  <w:style w:type="paragraph" w:customStyle="1" w:styleId="40">
    <w:name w:val="a 标2 黑体 (符号) 宋体 三号"/>
    <w:basedOn w:val="1"/>
    <w:next w:val="1"/>
    <w:qFormat/>
    <w:uiPriority w:val="0"/>
    <w:pPr>
      <w:outlineLvl w:val="1"/>
    </w:pPr>
    <w:rPr>
      <w:rFonts w:ascii="黑体" w:hAnsi="宋体" w:eastAsia="黑体"/>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15.png"/><Relationship Id="rId31" Type="http://schemas.openxmlformats.org/officeDocument/2006/relationships/image" Target="media/image14.jpeg"/><Relationship Id="rId30" Type="http://schemas.openxmlformats.org/officeDocument/2006/relationships/image" Target="media/image13.png"/><Relationship Id="rId3" Type="http://schemas.openxmlformats.org/officeDocument/2006/relationships/footer" Target="footer1.xml"/><Relationship Id="rId29" Type="http://schemas.openxmlformats.org/officeDocument/2006/relationships/image" Target="media/image12.png"/><Relationship Id="rId28" Type="http://schemas.openxmlformats.org/officeDocument/2006/relationships/image" Target="media/image11.jpeg"/><Relationship Id="rId27" Type="http://schemas.openxmlformats.org/officeDocument/2006/relationships/image" Target="media/image10.jpeg"/><Relationship Id="rId26" Type="http://schemas.openxmlformats.org/officeDocument/2006/relationships/image" Target="media/image9.jpeg"/><Relationship Id="rId25" Type="http://schemas.openxmlformats.org/officeDocument/2006/relationships/image" Target="media/image8.jpeg"/><Relationship Id="rId24" Type="http://schemas.openxmlformats.org/officeDocument/2006/relationships/image" Target="media/image7.jpeg"/><Relationship Id="rId23" Type="http://schemas.openxmlformats.org/officeDocument/2006/relationships/image" Target="media/image6.jpeg"/><Relationship Id="rId22" Type="http://schemas.openxmlformats.org/officeDocument/2006/relationships/image" Target="media/image5.jpeg"/><Relationship Id="rId21" Type="http://schemas.openxmlformats.org/officeDocument/2006/relationships/image" Target="media/image4.jpeg"/><Relationship Id="rId20" Type="http://schemas.openxmlformats.org/officeDocument/2006/relationships/image" Target="media/image3.jpeg"/><Relationship Id="rId2" Type="http://schemas.openxmlformats.org/officeDocument/2006/relationships/settings" Target="settings.xml"/><Relationship Id="rId19" Type="http://schemas.openxmlformats.org/officeDocument/2006/relationships/image" Target="media/image2.jpeg"/><Relationship Id="rId18" Type="http://schemas.openxmlformats.org/officeDocument/2006/relationships/image" Target="media/image1.jpeg"/><Relationship Id="rId17" Type="http://schemas.openxmlformats.org/officeDocument/2006/relationships/theme" Target="theme/theme1.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header" Target="header1.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TkzNjE5NTEyOTk3IiwKCSJHcm91cElkIiA6ICIxMDcyMjUxNDk3IiwKCSJJbWFnZSIgOiAiaVZCT1J3MEtHZ29BQUFBTlNVaEVVZ0FBQVNVQUFBS2hDQVlBQUFBV3JyZ2tBQUFBQ1hCSVdYTUFBQXNUQUFBTEV3RUFtcHdZQUFBZ0FFbEVRVlI0bk96ZGUxd1VaZi8vOGRmc0FxS0FCMUF6eFZEQk1qV05KY3R6V3BuV2JhVjRaNG1uVERNckxiM3RtM2RpdCtZeFNjcXlzdHZVTE0yenFHbFlpcWRTdTFNQnlkQ2ZKZ0pwQ25nTVlZRUZkbjUvMEU0c0M0Z1k3cXgrbm8rSGozYm4rTmtOM2x4enpUVXpJSVFRUWdnaGhCQkNDQ0dFRUVJSUlZUVFRZ2doaEJCQ0NDR0VFRUlJSVlRUVFnZ2hoQkJDQ0NHRUVFSUlJWVFRUWdnaGhCQkNDQ0dFRUVJSUlZUVFRZ2doaEJCQ0NDR0VFRUlJSVlRUVFnZ2hoQkJDQ0NHRUVFSUlJWVFRUWdnaGhCQkNDQ0dFRUVJSUlZUVFRZ2doaEJCQ0NDR0VFRUlJSVlRUVFnZ2hoQkJDQ0NHRUVNTEZLTTR1NEcvZ1pqS1pCcXVxT2dKb3F5aUtsN01MRXNMRm1GVlZUUVFXeDhmSEx3THluVm1NcTRlU204bGtXZzMwZFhZaFF0d01WRlhkSGg4Zi94aE9EQ2FYRGlXVHlUUU1XTnkwYVZQQ3c4TUpDZ3JDeDhmSDJXVUo0Vkt5c3JKSVRrNG1JaUtDSTBlT29LcnFtL0h4OGU4NHF4NkRzM2I4ZC9qemtJM3c4SENDZzRNbGtJU29CRzl2Yis2NTV4NG1UWm9FZ0tJb0E1eFpqMHVIRXRBV0lDZ295TmwxQ09IeS9QMzliUytiTzdNT2x3NGxXNmUydEpDRXVINWVYdG81b3VyT3JNT2xRMGtJY2ZPUlVCSkM2SXFFa2hCQ1Z5U1VoQkM2SXFFa2hOQVZDU1VoaEs1SUtBa2hkRVZDU1FpaEt4Skt0Nmk4dkR6Mjd0M0xoeDkraU5sc3RwdDMvUGh4NXMrZnovNzkrOG5MeTdPYmw1S1N3ckZqeDhwOGY2MDJiOTVNYW1vcUFLcXE4dlhYWDNQcDBxVnkxMW02ZENrelpzeGd6Wm8xbGQ2djBDODNaeGNnbk9QS2xTdUVoNGR6NWNvVjh2THkrTC8vK3o4QUNnc0xtVHAxS2tlUEhpVW1Kb2JQUC8rY2F0V3FhZXY5NjEvL0lqVTFsZGpZV0lmM28wYU40dlRwMHc3NzJyeDVNOW5aMlN4Y3VKRG5ubnVPV3JWcUFaQ1FrTURreVpQeDl2Wm15NVl0ckZxMWlvOCsrb2hXclZxeGNPRkNQRHc4SExhMWV2VnE1czZkQzBESGpoMDVkKzVjbVoveDJXZWZ4ZGZYdC9KZmtuQUtDYVZiVEVoSWlNTzBsU3RYc25MbFNvZnBLU2twZE8vZUhZRGh3NGR6NXN3WnJWVlRjanNoSVNFRUJBUnc5dXpaVXZjYkdSbkp4bzBiT1hIaUJCOSsrQ0dLb21ndG5XZWVlWVlhTldvd2FOQWc5dS9mejZGRGh6aDgrTEREUHBZc1djSzhlZk8wOS92MjdXUGZ2bjFsZnRhZVBYdEtLTGtnQ2FWYlRFQkFRS1hXcTFPbkR2bjUrYmk3dTVPZm42OXQ1OHlaTTNidkFkYXRXMGVUSmswSURRM1ZRbXpNbURIczJiT0hmZnYyc1d6Wk1ycDI3Y3AzMzMwSHdLSkZpMWkwYUpIZC9rYU9IQW5BYzg4OXgrREJnNWs1Y3liYnQyL1g1b2VFaERCMTZsUWFOR2dBUUdabUpwOTk5aGtyVjY3RWFyWFNyMTgvbWpadFdxblBLcHhMUXVrV0V4VVZ4YUJCZzhxY3YyelpNcnYzSFRwMHdHZzBNbUJBMGQwc2R1L2VUV3BxS2c4ODhBQUFXN1pzSVQ4L242aW9LRUpEUTh2Y2JwMDZkWmc0Y1NMang0OG5KU1dGdlh2M1lyVmFVUlNGcDU5K1dsdHU5ZXJWQVBUdjN4K0FObTNhYU1zSEJRVXhaY29VNXM2ZHk4R0RCd2tORFNVME5GVHJpektiemZqNCtQRDY2Ni9UdTNmdnluMUJ3dWtrbEc1QlI0OGVMWGUrN1ZBc0tpb0tpOFdDd2VCNFBzUVdIcVhwMTY5ZnFkTzdkZXZHNnRXcitlR0hIOWl3WVFNQWlxSXdZY0lFaCswV253YncyV2VmRVJRVXhMbHo1K2pidHk4cEtTbWNQMytlRlN0V2FNdTR1Ymt4Y09CQWJyLzlkczZjT1lPZm41OWRmNWh3RFJKS3R6QmJaeldVM3RkVWtYV0xINkxaTkdyVUNEYzNOKzNRcnJqQXdFQjI3dHlKbTVzYkJRVUZXSzNXVXZkdG0vYkdHMi9nN2UzTnVuWHJTRXBLSWlzclMxdW1XclZxUFBEQUErVG01aElYRjBkQlFRR2ZmdnFwM1hiR2p4OVBXRmpZTlgwMjRWd1NTcmV3MmJOblYzcmQ4a0pzM3J4NUJBUUVPQVNXMVdwbDNMaHg5Ty9mbjlkZWU0M0l5RWdVUmVHRkYxN1FsbG13WUFId1Y1OVM2OWF0VVJTRmhJUUV2TDI5Q1FrSm9WV3JWZ1FIQjlPMmJWdmMzZDBCeU0zTjVmRGh3eHc5ZXBUazVHUk9uVHBGZm40K2ZmcjBxZlJuRk00aG9YUUxLKzhRN0dwc2ZUNWJ0bXpoeXBVclFORTRJNkRVd3oyQXhNUkU5dXpaUTJ4c0xEdDI3TkJDNmNVWFg5U1dzWVZTOFdrQTI3ZHY1K0dISHlZMk5wYlkyRmkrL1BMTHE5YTRmLzkrakVianRYODQ0VlFTU3JldzZ6bDhzL1g1L1BUVFQxb28yUVphbHRVNjJiVnJGd0NkTzNmV3hpQ3Bxc29ubjN6aXNLeHRXdGV1WFduZHVyWGQzVVhIangrdnZZNk1qS1JHalJxODlOSkwyclQzMzM4ZnE5VjZUWjlINkllRTBpM3NXb09vZi8vKzVZNVRzZ1hOSFhmY2dhSW9EbjFLTzNmdUJLQkhqeDdhTkZWVkhZWURBTm8wUHo4L1dyZHViVGZQejgvUDdyM0JZSENZSmx5WGhOSXR6SFlJQnZhSGNoNGVIcVdPcG03VXFCRUZCUVZrWm1aU3MyWk5vS2d2eDlQVGszUG56bUUybS9IdzhDQXFLZ3BGVWV6NmxJNGRPMFpxYWlvMWF0U2djK2ZPMmpZTkJnTUhEaHpRM3R2Q3JuZ3JycVNKRXlmYXZjL0t5bktZSmx5WGhOSXR6SFlJZHZueVpidFFpb21Kd2NQRGd4TW5UZ0JGcDlxaDZMQm95WklsTEZxMGlERmp4bkRseWhYZWZmZGRYbnJwSmR6ZDNRa1BEK2ZPTysra3NMQVFxOVZLYm02dXRzMHRXN1lBMEtWTEY3dlQ5S3FxTW1mT0hJZmFiTk1DQXdQcDI5ZitXYU9iTm0zU1hqL3h4QlBVcmwyYnBVdVhhdE9lZXVvcE9YeHpZUkpLdHpCVlZlblRwNDkyQVd6OSt2VUJHREprQ0NrcEtkcHlkOXh4QjFBMFV2dWpqejZpZnYzNnRHN2RtcHljSER3OFBKZ3laUXAxNjlZRmlpN3RHRE5tRFB2Mzd3ZWdldldpQjJQVXFsVUxOemMzdTBNM1d3M0Z4eHJaMktaMTd0elpJWlNlZU9JSnUvZVhMMTkybUNaY2w0VFNMY2gyZGt4UkZCbzFha1JHUmdhTkdqWGkxVmRmQmFCVnExYWtwcWJpNmVsSjQ4YU4rZmUvL3cwVW5aNXYxcXdaNzc3N0x2WHExUU1nSWlLQ0RSczIwS0ZEQjVZdVhVcmZ2bjBwTEN6a3Q5OSt3OHZMU3h1dFBXellNRHAyN09odzZVZkp3N2V5S0lxQ3Q3YzM0RGl3c3FSMzMzMVhHeTB1WEk5TC8xOHptVXdxbE4vL0lQNWVWcXUxekZQKzVjMHJqZGxzUmxFVXJUVWxuTS9XcHhjWEYrZTBiSkNXa3JnbTVZWE90UVFTUUkwYU5hNjNISEVUa3B1OENTRjBSVUpKQ0tFckVrcENDRjJSVUJKQzZJcUVraEJDVnlTVWhCQzY0dXFoVkFCZ3NWaWNYWWNRTHErZ29FQjc2Y3c2WERxVVZGVTlCWkNXbHVic1VvUndlUmN1WExDOXpIQm1IYTRlU2hzQVZxMWFwZDFnVEFoeDdXd1BYL2pUVG1mVzR0S1htYlJwMDhiZnpjMHRIcWpyNys5UFlHQ2dka3NOSVVURlhMbHloZVRrWk50dFppNWJMSmI3ZnZubGx5Um4xZVBTb1FRUUhCemNFdmhjVVpUN25WMkxFSzVNVmRVRVZWVmZPSFRvME5XdmtLNUNMaDlLTmlhVEtVaFYxYmFLb3ZoY2ZXbmhCSi8vK2Q5aFRxMUNPTEJhcmRrR2crR1h1TGk0OHArOUpjVE54R1F5cWJhN09naFJIcGZ1NkJaQzNId2tsSVFRdWlLaEpJVFFGUWtsSVlTdVNDZ0pJWFJGUWtrSW9Tc1NTa0lJWFpGUUVrTG9pb1NTRUVKWEpKU0VFTG9pb1NTRTBCVUpKU0dFcmtnb0NTRjBSVUpKQ0tFckVrcENDRjJSVUJKQzZJcUVraEJDVnlTVWhCQzZJcUVraE5BVkNTVWhoSzVJS0FraGRFVkNTUWloS3pmTmM5K0V2Z1FGQlZVekdvMGV0dmRlWGw2WkFObloyZG9qalBQeTh2SlRVbEp5blZHZjBDOXBLWWtxNGVQak05TEx5eXZUOXM4MnZmZzBYMS9mdDUxWm85QW5DU1ZSSlJSRjJhS3FhcGtQbi94ejNsYzNzQ1RoSXVUd1RWUVprOGwwR0doZHh1eWt1TGk0b0J0WmozQU4wbElTVldsRldUTlVWZDE2SXdzUnJrTkNTVlNseldYTlVGVjEyWTBzUkxnT09Yd1RWU280T0RoRlVaU0FFcFBQeHNYRk5YUktRVUwzcEtVa3F0clNVcVo5ZThPckVDNURRa2xVcWNMQ3dtOUttYno2aGhjaVhJWWN2b21xcGdRSEI2Y3BpbElmUUZYVmkvSHg4WFdCTW9jTGlGdWJ0SlJFVlZNVlJWbGU3UDAySkpCRU9TU1V4STJ3eWZaQ1ZkVjF6aXhFNkorRWtxaHljWEZ4M3dPWnFxcG01K2ZuYjNSMlBVTGYzSnhkZ0xnbEZLaXF1Z2FvbjVpWWFIRjJNVUxmYm9hT2JqZVR5VFJZVmRVUlFGdEZVYnljWFpCd3BLb3Fpbkl6L0xqZGxNeXFxaVlDaStQajR4Y0IrYzRzeHRWL1N0eE1KdE5xb0srekN4SGlacUNxNnZiNCtQakhjR0l3dVhRb21VeW1ZY0RpcGsyYkVoNGVUbEJRRUQ0K1BzNHVTd2lYa3BXVlJYSnlNaEVSRVJ3NWNnUlZWZCtNajQ5L3gxbjF1SFJIOTUrSGJJU0hoeE1jSEN5QkpFUWxlSHQ3Yzg4OTl6QnAwaVFBRkVVWjRNeDZYRHFVZ0xZQVFVRnlCd3docnBlL3Y3L3RaWE5uMXVIU29XVHIxSllXa2hEWHo4dExPMGRVM1psMXVIUW9DU0Z1UGhKS1FnaGRrVkFTUXVpS2hKSVFRbGNrbElRUXVpS2hKSVRRRlFrbElZU3VTQ2dKSVhSRlF1bFB1M2J0SWpJeUVxdlZxazFidUhBaHMyZlAxdDd2MkxHRFdiTm1VVmhZYUxmdTNyMTd1WERoUXFYMis4VVhYekI3OW13U0VoSXFWemlRa3BMQ2pCa3pTRXBLQWlBakk0TTVjK1p3OGVMRlVwZi80NDgvK09tbm4vajExMThydFAzYzNGeUhhWVdGaFV5YU5JbVhYMzZaa3lkUFZycjI0cjcrK211V0xsM0tiNy85OXJkc3J5emZmdnN0UzVZc1lkZXVYZGU4Ym1wcUtsT25UdVhWVjEvOTJ6NTNSVm10VnFLam80bU9qcjZoKzczUjVINUtmOXE1Y3llYk4yK21WNjlldEdyVkNvRG82R2hTVTFPWk1HRUNVQlErR3paczRQSEhINmR0MjdaQVVYRE5ueitma0pBUVB2MzBVd0QrK2M5L2xydXZxS2dvN2ZYR2pSdEpUVTNsbm52dTBiWjVMVlJWWmViTW1jVEd4cEthbXNxQ0JRc0lEdzhuTGk2TzgrZlA4ODQ3anRkVkppWW1NbWJNR0xwMTYwWmtaQ1FBeTVZdEl5c3JpeXRYcnZESEgzOXc4ZUpGenA4L1QxcGFHdTd1N256NzdiZTR1N3RyMi9qd3d3L1pzbVVMQm9PQjExOS92ZFRhL1AzOStmREREN1gzb2FHaGR2UHIxS25Eb2tXTEFJaUppZUh0dDk4R0lDMHRqZi83di8rNzV1K2lJcXhXS3g5ODhBRVpHUmwwNjlhTmJ0MjZsYm5za2lWTHVITGxpdDIwbkp3Y05tNHN1azlkYm00dTk5eHpqOE42WThhTUFhQno1ODdYWE4rZVBYc0FXTDU4dWNPOHdzSkM1czZkQzhEbHk1Y2Q1bmZxMUltQWdKSlBzM0k5dDN3b3hjYkdNbkxrU08zOWtDRkR0T2syWjg2YzRZa25udERlUC8vODg5b3l2WHIxWXRHaVJjVEd4dkxmLy82WGtTTkhrcHFhV3VIOVoyZG5BekJyMWl6bXpKbFQ3ckorZm42c1diUEdidHFDQlF1SWpZM0YzZDFkQzg5eDQ4YngzSFBQc1czYk5vS0RnM25tbVdldVdzZjc3Ny92TUsxYXRXclVyMStmaGcwYjh0dHZ2eEVZR0FnVXRlNldMU3Q2bHFUVmFxM3c1eTI1bkswRmxwcWF5clJwMHdEdzlQUms1Y3FWM0hISEhSV3ErMnArK09FSHhvNGRXK3E4WGJ0MkVSSVNVdWE2dDk5K08yZlBuaTF6Zm14c3JOM1BpWTB0bEhKeWNxNngyci9ZL2xoY3kzdy9QejhKcFp0Qm8wYU42TldyRjI1dWJqUnQycFR0MjdmVHJGa3o0dVBqdFVNNUh4OGZPblhxUklNR0RXallzQ0Z4Y1hIVXExY1BLR29OREI0OG1DVkxscENYbDJlMzdlSS9zSVdGaGR4Ly8vME8rOC9LeWdMQWJEWmZ0VmFqMFdqM2Z0T21UWHoyMldjQWpCNDlXZ3VObGkxYjhzSUxML0RwcDU4U0dSbUpuNThmanp6eUNBQTlldlNnb0tBQWdIMzc5dEdqUnc4V0xseW9iWFB4NHNYVXFWT0hPblhxT0Z4VGFMRllpSXlNWk8zYXRSaU5Sajc2NkNPSHovVHR0OS95MWx0dm9hb3F6ejMzbk1ObkNBZ0lZTWFNR1F3YU5JZzJiZHFRbHBiR21ERmp5TXJLWXRDZ1FkeDMzMzJNR3plT2Q5OTlsK3pzYk8wUFFHWFZxRkZEKzBXMVdxMmNPblVLQUY5ZjM2dGVNMm14Rk4wa3MyVHd4TVRFQVBEUVF3OWhNUHpWQTlLN2QrOVNRMnpYcmwzYXZpWk1tRUJCUVFIVHBrMmpSbzBhQUZ5NWNzV2h4WGJ3NEVGV3JMQi82bm54bHRMNDhlTWQ5dE96Wjg5eVA0K3J1T1ZEcVg3OSt1emZ2eCtUeVVSWVdCaUxGeS9HMTllWHNXUEhVcXRXTFFCKy9mVlg5dTdkUysvZXZSazZkQ2hmZi8wMTU4K2YxN1l4Yk5nd2V2VG9RZlBtelIzNm04cFRXRmlvdFJaV3JWcDFUWGM3V0wxNk5SRVJFYWlxU3UvZXZSazBhSkRkL09IRGgzUGt5QkcrLy81N0prNmNTRlpXRm4zNjlMSHJaN0pZTEZ5OGVGRUxLYURjUThqOSsvZXpkdTFhQU56YzNFbzlORHgxNmhSV3F4VVBEdytXTEZuQ2tpVkx1UDMyMi9uNDQ0KzFaZUxqNHdHb1Y2OGV6ei8vUE9ucDZUejY2S084OXRwckdBd0d4bzhmejV3NWMvajQ0NDg1ZVBBZ2t5ZFA1cmJiYnF2d2QxTmNTRWlJZHJpOFlzVUs1c3labzlYV3FGR2pjdGVkT25XcTFsZFlYb3NLaXNMMi92dnZ2MnJmNG80ZE83QmFyWFpoVmhxcjFWcHVhNm0wZVdGaFllVnUwMVhjOHFGa01CaDQ1SkZIMkxGakI5SFIwV1JuWnpObzBDQU9IanlJbTF2UjEyTXltZWpldlRzLy9QQURXN2R1SlRVMWxiZmZmcHRseTVieHdRY2ZhTnM2Y09EQU5lM2JkdWdHZGxkb1g5WHMyYk5admJyb2VZNlBQUElJLy9uUGYwcjlYTE5temVLVlYxN2gwS0ZEVEpzMkRiUFpUR3hzTEY5OTlSWHZ2ZmVlWFo5U1JYVHUzSmw3N3JtSHc0Y1BrNWVYVis1aG04VmkwZWFYRE9yLy9lOS9HSTFHZkh4OFNFOVBCMkRyMXExczNiclZiamxGVVRoKy9EaWVucDRWcnJFc1o4K2VaZjc4K1ZwdFR6NzVaTG5MeDhiRzJuMnZiN3p4aHZZNklpSUNLRHBNdHZXejFheFprOGNlZTZ6VWJUMzc3TE5VcTFZTlFHdDlGdytRTDc3NHdtNzUzMy8vbmQyN2R6dTBocTdXVWxxK2ZQbE5FVXkzZkNpOSsrNjdmUC85OS9qNCtQREJCeDlnTUJpWU0yZU9YVWg4OGNVWEhENThtR3JWcWpGcjFpeWdxSU83WDc5K2RtZnJycFh0MEEyS212NVg4OWxubjJFeW1lalFvUU5yMXF4QlVSUmlZbUswdzRteTNIYmJiUlFVRk5DclZ5K2c2SzgxWU5kQ3NpbXJSVEJnd0FCZWYvMTFGaTVjeUFNUFBJQzN0emU3ZCsrK2FzMGxGUlFVY1BEZ1FlNjg4MDZHREJuQ2hRc1grUFhYWDB2dHVQMzN2LytOMld6V1dxeVZsWitmejhTSkU3VS9BdjcrL2c2SHdsRDBTMy82OUdtN2FUMTY5Q2p6TEdiSmZyaEpreWFWMnNlVWxwYm1NSzI4UUQ5NThtU2wrcFRnNW1ndDNmS2hkUHIwYVljZm1oTW5UaEFZR0tqOTB0ck9SQlYzNnRRcEJnOGV6T0RCZzh2OFJTNTV0cWtraThWQy9mcjFyMXBqUmtZR2dOWmk2TnExSzZ0V3JlSmYvL3FYd3k5UmFXYk9uRW5ObWpYeDlmVWxKU1dGUTRjT0FVVm5lbDUrK1dWZWVlVVZiVmx2YjIvZ3I4QzB2YmY5cGJlMUhtM0srNldGb2dBc0hpcHVibTQ4K2VTVHJGbXpoc1RFUk1hUEg4KzVjK2NBV0xseUpaMDZkYUo5Ky9iczI3ZVBhdFdxMGFaTm02dCt2dkpZclZiZWZ2dHRmdjc1WjIzYWdnVUxTajBjVEU5UDUvSEhIN2ViTm1iTUdJY082OUphU3VXeDlTbHQzTGlScVZPbkVoZ1l5S3BWcTdRSEtaUTh3OWVsU3hkaVkyTkpTRWhnNzk2OWJOMjZGWVBCUUk4ZVBlamF0U3VGaFlWY3VIQ0J6WnMzYytEQUFhWlBuMDdYcmwwcjlvVzRnRnMrbEd4ams3Nzg4a3ZtejUvUCsrKy9qOVZxWmVYS2xmeisrKzhZREFiR2pSdkh1SEhqZVAvOTkxbTJiQm5UcGsxeitPRXR6ZFhPU2pWcDBvUXRXN2FVdTB4T1RvNTJhcm40WVV4Z1lDRHIxNjlIVlZVR0RCaEFVbElTYjczMWx0MVp3czZkTzJPeFdQRHg4YUZaczJZQUxGMjZWSnV2S0FvLy9mUVRMVnUyQklvNjBtMnRuM2J0Mm1HMVdoMWFRN1pEc1pMaFZQS3NqKzJ6bDNib05YVG9VTmFzV2NQYXRXdVpQWHMyaXFJd2QrNWNsaTlmVG1abUp1M2J0MmY2OU9ta3A2Zno0WWNmMHFsVHAzSy9vL0xzMkxHRExWdTI0T25wcWZYZlZlVC9IVnk5SDZtME01WVJFUkdNSFR1V3dZTUgyMDAzbTgxOC92bm5BQ1FsSlRGOCtIQW1UcHhZYmovaTVzMmJ0ZjR3ZzhIQWtpVkx0Sk1TUnFPUndNQkE3cnp6VHU2OTk5NEtmUjVYY2N1SDBybHo1MWk0Y0NISGp4OEhpanFRR3pWcXhFY2ZmY1JERHoyRWo0OFBCUVVGVEpreWhmLzMvLzRmQUd2WHJtWGZ2bjFNbno3ZGJsdTV1YmxzMjdhTjJOaFlrcEtTcUZhdG1uYUwwWVNFQkpvMGFhSzFHaDU2NktFSzFiZHUzVjhQbEMzNUMyNHdHRkJWVlR2alU3OStmYnZEa3Z6OGZMdjFzckt5MkxScEV6VnExTUJzTnRPbFN4Y2VldWdoN3IzM1hqNy8vUE1LOVd2WldsQWxsNDJLaWlJL1B4ODNOemZTMDlQNXh6LytnYnU3dTliQ0tzNjJia3BLQ3NIQndheGR1eGFyMVlxL3Z6Lzc5KzhuUFQyZDlQUjB2TDI5U3oxamVTMkNnb0tvWGJzMjc3Ly9Qc09HRFFPZ1Q1OCtWSy91ZUhQRm5Kd2NObXpZb0wwdjNvOVUzTlZhU2lWRElpRWhnWG56NW5IcTFDa0NBd054YzNNaklTR0JnUU1ITW16WU1QcjM3MS9xZm9ZUEgwN0xsaTA1Y2VJRWh3OGY1dVRKa3p6d3dBTjA3ZHFWKys2N2owOC8vWlJ0MjdZeGV2Um9wa3lab3YzaGNYVzNmQ2hkdW5USjdnZnh4eDkveE1QRGcrZWZmNTdzN0d4YXQyNk4xV3ExYTlFa0pDU1FrSkRnRUVwaFlXSGs1ZVhSdlh0M1huLzlkYzZmUDg5SEgzM0V1WFBuZVBQTk4yblRwZzN6NTgvSHc4T0RQLzc0bzBMMTJVNUxRK210anNURVJHMDRnVzFJQUVCZVhoNnFxZ0pvdjREZTN0NzQrUGp3NUpOUDh1V1hYMkl3R0hqaWlTZll1WE1uVURRdTUycUtuMUl2YWV6WXNmenZmLy9UM2pkdjNweUVoQVJhdEdpaGhWTk9UZzZQUHZvb1VOUTVmTjk5OTdGMjdWcjI3TmxEbXpadCtPNjc3N1R2dW12WHJ0b3ZmVjVlSGthajBhR0ZkalVCQVFFc1g3NjhVbWZ2bm5ubUdTd1dpOTJRaWVJdVhyem9VTS9MTDcvc3NOeml4WXM1Y2VJRWQ5MTFGM1BuenFWbXpacTgvZmJiYk4yNmxXKysrYWJVVS9rYk4yNWt4b3daZGljSjZ0U3B3NkZEaDlpN2Q2L2Rzb21KaVF3Y09KQlhYbm5GNFN5c0s3cmxRK251dSs5bTM3NTkvUE9mLytUczJiTnMzYm9WYjI5djdVelF2ZmZlaTRlSEI3R3hzYVVldmhYdjZFNU5UYVZwMDZhTUh6K2UzMzc3amViTm05T2lSUXVhTjIrT3Y3Ky9kaFpzMnJScHBYYUlsaVlsSlVWN1hUS1VMQllMNzczM0hsQVVTTVYvOGNvNnN6ZGl4QWdDQWdMNDhzc3Z0V20yUTdTNzdycnJxdlhZTG9kcDN0engzdkp0MjdibC9Qbnp1TG01NGUvdno4c3Z2OHkwYWROSVMwdGo4K2JOUUZGQVZxOWVIVGMzTjE1NTVSVnV1KzAyR2pkdWpJZUhCNis5OWhvVEowNWt4b3daQUZwNG1jMW1YbnZ0TmFEb2NMdG16WnBYcmROR1VSU0hRQ3IrUitocTh2THl0RkhuSlpVOGF3YWxoOUtRSVVNNGZmbzB6ejc3ckJaaU0yZk9KQ2dvaUVjZWVhVFVnTy9ldlR1N2R1MmlUcDA2L1A3Nzd6ejQ0SU5hbUFIYTROVnExYXBoTkJxWk5HbFNxYTAvVjNUTGg1THRETmFaTTJlNDY2Njd0QitRVmF0V0FVVWR1ZVU1Y2VLRTl2cnBwNS9tM0xsejdOcTFpeG8xYWpCNzlteXRoZkRPTys4d2RPaFFvcU9qYWRHaUJRTUhEaXgxZTdhL3ZtNXVidVRsNWJGcDB5YWdLSkJzZysyZ3FJVVhIaDZ1aGNTd1ljTTRlL2FzMW9kazY5ajE4UEN3TzRRYU1HQUErL2J0MDk2Zk9YTkdDK0NPSFR1VysxbFZWZFhxTVpsTTJ2Y0hjUGp3WVVhT0hLbU5qcmRhclJ3N2RveWpSNC9Tb2tVTHUrMFV2OHdHN0VQQ2FyV3liOTgrYXRhc1NZY09IWUNpMC9uSnljbGN1blNKRjE1NGdmbno1NWY2aTF4UjBkSFJXbEFWSHpQMHl5Ky9NSFRvMERMWEsrc1BTV21ESDR1elBicklkaGxTY2JaK3BwSThQRHg0OE1FSFdiNThPVWxKU1R6MTFGTTgvdmpqV2lqZGZmZmR2UC8rKzBSRlJkR2pSdzllZi8zMVNsMm1wRWUzZkNpZE9IRkNHd1RZcDA4Zm9PZ3MwSkVqUndnSkNhRjE2OWJscnQrOGVYTWVmdmhoYlhUdnhJa1RVUlNGYWRPbTJYWCszblhYWFl3YU5ZcDU4K2F4Y3VWSyt2WHJWK3JoMk9USmsrMUN3OGIyQ3dwRjErQk5talNKek14TXJlN0hIbnVNTDc3NHd1NWFNNEE3Nzd5ejNQcTNiZHRHWGw0ZXZyNitQUGpnZytVdXUyUEhEbjc5OVZlcVY2K3VMZHVnUVFNdVhMaFE2dWh0bTNidDJwVTZmZE9tVFV5Wk1xWE05UjU0NEFHZ0tBd1dMbHpJcUZHak9ISGlCRE5tekxpbThWWGwrZWFiYjNqNzdiZHhjM1BUK3VEcTFxMWI2ckpYNi9ndXk3VmVibkxzMkRGR2poeEpWbFlXbnA2ZWhJV0ZzV2ZQSGc0Y09JRFZhdFZhVy9YcTFhTnUzYnBzM0xpUmpSczMwckZqUitiTm0xZXBHdlhrbGcrbFpzMmEwYjkvZnc0Y09LQ2R3bS9XckJrTkd6Ymt6VGZmdk9yNmlxSm9IWjlRZEtpVW5KeGM2bC9PSVVPR2tKdWJTMWhZV0prREFrMG1rMTBvZVhsNTBhRkRCKzI2Tm9EZzRHRHExcTFMZG5ZMnc0Y1AxMW9ualJzM3R0dVd2NzkvbVoyMU5rT0hEdVg4K2ZNMGE5WU1EdzhQYmJxUGo0L0RvTWR1M2JyeHhCTlBjUHZ0dDJ1dHRyZmVlb3Q1OCtaeDVzd1p1ME5aUlZIdzl2YW1mZnYyWlY0cTR1M3RYZUZydFpvMGFjS0NCUXVZTVdNR0V5ZE9yTkE2cGUwUHNCdE4zYlZyVisxemUzdDdVNjllUGJzaEVzV1ZGYndXaTZYVUMyaHRmWHhMbGl5eGErV1daRGFiR1Q1OHVQYitycnZ1b25Qbnp0U3JWNDhoUTRiZzYrdkxzR0hEK1Bubm56RVlETnJBejBHREJqRm8wQ0JpWTJOWnQyN2RWVnU2cnNMVkg5dXRRdG5ONm11Um41OXZkeWFsb0tEQW9STXpQeitmL1B4ODdUamVtVTZkT29YRllySHIzSWFpUTZ5eVR0dVhSVlZWN1RDc0lzc1dGQlJVYUh4T1NaY3ZYOVpHY3JzS3E5V3FqV05yMkxCaHBaZTVYcllUSG01dWJsZTlST1Y2MkZxRGNYRnhUc3VHVzc2bFpGUHlsNnkwWDJoM2QvZEsvVEpXaFpLdElodEZVYTc1REZWRkE4bTJiR1cvZzlxMWExZHFQV2N5R0F4WERacUtMSE85aXJkaWIzWnlremNoaEs1SUtBa2hkRVZDU1FpaEt4SktRZ2hka1ZBU1F1aUtxNGVTR2V6dlN5U0VxSnhpdDJSMmZIek5EZVRTb2FTcWFpSkFjbkt5czBzUnd1WFo3amFocXVxTmZYWlVDUzRkU3NCaUtMcVZ4TEZqeCt3dVFoVkNWSXpaYkNZcEthbjQwM1RXT3JNZWx4N1JEYmdIQndkdlVSVGxZV2NYSXNSTjRxZTh2THl1aVltSmxxc3ZXaldjZTYzRTliT21wYVd0YU5DZ2dWbFJsUHBBVFVBZlE2NkZjQjI1cXFvZUIrWmJMSmJublJsSVF0d3dKcE5KdFYycktFUjVYTDFQU1FoeGs1RlFFa0xvaW9TU0VFSlhKSlNFRUxvaW9TU0UwQlVKSlNHRXJrZ29DU0YwUlVKSkNLRXJFa3BDQ0YyUlVCSkM2SXFFa2hCQ1Z5U1VoQkM2SXFFa2hOQVZDU1VoaEs1SUtBa2hkRVZDU1FpaEt4SktRZ2hka1ZBU1F1aUtoSklRUWxja2xJUVF1aUtoSklUUUZRa2xJWVN1U0NnSklYVEYxWitRSzNRcUtDaW9tdEZvOUxDOTkvTHl5Z1RJenM2dWFadVdsNWVYbjVLU2t1dU0rb1IrU1V0SlZBa2ZINStSWGw1ZW1iWi90dW5GcC9uNityN3R6QnFGUGtrb2lTcWhLTW9XVlZYTGZDTHVuL08rdW9FbENSY2hoMitpeXBoTXBzTkE2ekptSjhYRnhRWGR5SHFFYTVDV2txaEtLOHFhb2FycTFodFppSEFkRWtxaUttMHVhNGFxcXN0dVpDSENkY2pobTZoU3djSEJLWXFpQkpTWWZEWXVMcTZoVXdvU3VpY3RKVkhWbHBZeTdkc2JYb1Z3R1JKS29rb1ZGaForVThyazFUZThFT0V5NVBCTlZEVWxPRGc0VFZHVStnQ3FxbDZNajQrdkM1UTVYRURjMnFTbEpLcWFxaWpLOG1MdnR5R0JKTW9ob1NSdWhFMjJGNnFxcmdMUUxaSUFBQ0FBU1VSQlZITm1JVUwvSkpSRWxZdUxpL3NleUZSVk5Ucy9QMytqcytzUit1Ym03QUxFTGFGQVZkVTFRUDNFeEVTTHM0c1Irbll6ZEhTN21VeW13YXFxamdEYUtvcmk1ZXlDaENOVlZWR1VtK0hIN2Faa1ZsVTFFVmdjSHgrL0NNaDNaakd1L2xQaVpqS1pWZ045blYySUVEY0RWVlczeDhmSFA0WVRnOG1sUThsa01nMERGamR0MnBUdzhIQ0Nnb0x3OGZGeGRsbEN1SlNzckN5U2s1T0ppSWpneUpFanFLcjZabng4L0R2T3FzZWxPN3IvUEdRalBEeWM0T0JnQ1NRaEtzSGIyNXQ3N3JtSFNaTW1BYUFveWdCbjF1UFNvUVMwQlFnS2tqdGdDSEc5L1AzOWJTK2JPN01PbHc0bFc2ZTJ0SkNFdUg1ZVh0bzVvdXJPck1PbFEwa0ljZk9SVUJKQzZJcUVraEJDVnlTVWhCQzZJcUVraE5BVkNTVWhoSzVJS0FraGRFVkNTUWloS3hKS0xxcWdvSURZMkZqaTR1SUFTRTFOSlQrLzlHc29mL3JwSjM3NjZhZFM1NldrcERCanhneVNrcElBeU1qSVlNNmNPVnk4ZUxITWZlL1lzWU9USjA5V3VuYXoyVnpwZGFIb1dxMlN5cXRYdUJhNW41S0x5c3ZMWStUSWtSZ01Ccjc2Nml1ZWUrNDVtalJwUWtSRVJQSExCUUI0K2VXWEFZaU5qYldicnFvcU0yZk9KRFkybHRUVVZCWXNXRUI0ZURoeGNYR2NQMytlZDk1eHZDWnorZkxsUkVaRzByUnBVNVl1WFVyMTZ0WHAzYnQzdWJVYWpVWTJiaXk2dDF0MmRqWTllL2FrVmF0V3pKOC9INFBCZ05sc0ppd3NqUFBuenpObHloUWVlZVNSVXJkeitmSmx4bzRkUzBaR0JzdVdMY1BYMXhlQXRMUTBubjc2YVc2Ly9YWW1UNTVNcTFhdDdOWUxEUTBsTlRXMTNCcUxLL2s5aVJ0TFdrb3VxbnIxb2lzQnJGWXJRVUZCakJ3NWttUEhqakZ2M2p3QVFrSkNlUERCQjh2ZHhvSUZDNGlOamNYZDNaMEpFeVlBTUc3Y09JeEdJOXUyYldQVnFsVU82L1RwMDRmYmI3K2Q1T1JrNXN5WkE4RFpzMmZML1hmbXpCbHQvZTNidDVPVGt3T0F3VkQwNC9meHh4OXo2dFFwY25KeVdMeDRNUVVGQmFYV1c3dDJiZTY0NHc3UzA5Tlp1blNwOXZuLzg1Ly9ZRGFiOGZmMzUrNjc3Njd3ZHlqMFNWcEtMc3BnTU9EcDZVbHViaTY1dWJrTUdEQUFvOUZJL2ZyMUszUjR0R25USmo3NzdETUFSbzhlVFdCZ0lBQXRXN2JraFJkZTROTlBQeVV5TWhJL1B6Kzdsa3VOR2pXWU1HRUNzMmJOb20zYnRtUmtaREJod2dRYU4yNU1TRWdJSFRwMEFDQTZPcHJiYnJ1TmlJZ0kyclZycDYyL2R1MWFBRzJidTNmdlp1WEtsZmo1K1dFeW1kaTJiUnZ2dlBPT2RzVzZ6WU1QUG1oMzJQYmxsMS95NVpkZjJpMnplL2R1YlYvRld6dFJVVkZYL1Q2RWZrZ291YURZMkZpT0hUdUdxaFk5RktSdjM3NWN1SEJCZTI4TG03S3NYcjJhaUlnSVZGV2xkKy9lREJvMHlHNys4T0hET1hMa0NOOS8vejBUSjA0a0t5dUxQbjM2YVBPN2RPbEMrL2J0Y1hkM1ovLysvY3llUFp2Mjdkc1RFaEppdDUyOWUvZXlhdFVxa3BPVDZkNjlPd2tKQ1NRbUpnSkZvWFQwNkZFdGZDWk9uRWliTm0wNGNPQUE2OWV2eDh2TGkzSGp4am5VSGhEdzE4TjJiWWRrZDl4eGgzWlh5MU9uVG1HMVdxLytKUXJka2xCeVFVdVdMR0hmdm4zYSt5dFhyaEFVRkVSQVFBQk5talNoYnQyNlphNDdlL1pzVnE4dWVoYmtJNDg4d24vKzh4K0haUXdHQTdObXplS1ZWMTdoMEtGRFRKczJUV3Q5ZmY3NTUwRFI0ZVBYWDM5TnUzYnRhTnk0TVFjUEhpUXpNOU51T3dzWExnU2dYNzkrQUh6eXlTZmF2TlRVVk1hTkc0ZlpiR2JJa0NGMDY5WU5nS2xUcHpKMjdGaVdMVnZHcVZPbm1EbHpKcDZlbnRwNnhWdHRpeFl0QW9wYVVSNGVIZ0FzWGJvVWkrV3YyNEFYRmhhVytWMlV4MkF3eU8xN25VUkN5UVU5OWRSVGhJU0U4T09QUDNMdzRFRSsvUEJEN3J2dlB1Yk9uVXZyMXEyNTQ0NDd5bHkzUTRjT3JGbXpCa1ZSaUltSklTWW1wdHg5M1hiYmJSUVVGTkNyVnkraW9xSzBzMXkyUGkxRlVlamR1emRMbGl6Unp1QUJuRDU5bXVUa1pPcldyVXYzN3QySmlZbmg0TUdEMnZ3Tkd6YVFtWmxKcDA2ZEdEeDRNRmFyRllQQlFJc1dMWGp4eFJlWlAzOCtKMDZjME1MR3hoWkV4ZG42bDBwei8vMzNsL3Y1eXJKZ3dRS0hscCs0TVNTVVhKQ3R0WkNUazhQQmd3Zkp5TWhnejU0OUxGMjZsUFhyMTdOaHc0WXkxKzNhdFN1clZxM2lYLy82RjZkUG43N3F2bWJPbkVuTm1qWHg5ZlZseElnUmpCZ3h3dUdYdFgvLy9qenp6RE5VcTFaTm0rYnY3MDkwZERRblQ1N0VhRFJxZlVrMllXRmg1T2ZuczNQblRucjA2RUZVVkJRQkFRRTgrdWlqUUZFL2w1K2ZuOVlaYmxPOHI4aFd4NjVkdTdSN2FwWHNleEt1UjBMSmhkV3JWdytBQXdjTzhQMzMzd05GWjgvcTFLbFQ3bnFCZ1lHc1g3OGVWVlVaTUdBQVNVbEp2UFhXV3p6eHhCUGFNcDA3ZDhaaXNlRGo0ME96WnMxSzNjN3AwNmNaTldxVTl0N1dwd1V3Yk5nd3UwQUpEUTNsMHFWTG5EaHhRcXRoeG93WmRPellFY0FoZkhyMjdFbkRoZzBkOWhrYUd1b3diY2lRSWRxaFZzbE8vdUlobHBPVFErZk9uWUdpVHZITXpFenRNOHN3QVAyUVVISmhUWm8wQWVEcnI3OEdvRmV2WG5ZZDB1VXhHQXlvcXNyWnMyY0JxRisvUGthalVadHZHNGhadkQrbnBJS0NBbTM5a3RMVDArM2VkKzdjbVU2ZE9oRVdGcVpOVTFWVjIwL0p3N1N5bERiZTZMZmZmcXZRdWtlT0hBR0toaFo0ZTNzNzlJRUpmWkJRY21HMWF0WFNYdDk3NzczODV6Ly9ZZS9ldmJSbzBRSi9mLy9pdHpjdFZXSmlvdGF5c0EwSmdLS0JtYlpXajYzdnFEUU5HalJnK1BEaERCdzRrRnExYW1HeFdCeUdCSlRuNHNXTDJwbXlxOTNTZVBmdTNRN1RTanQ4SzQrdGcvKysrKzRyYzVrOWUvWVFGQlJFZ3dZTnJybzlVVFVrbEZ6VWpoMDdtRDU5dXZiZTFxZnozLy8rbCtQSGp4TVZGVlhxNFkrTnhXTGh2ZmZlQTRvQ3FYaUFaR2RuYTYvTENqYUx4VUpvYUNqcDZlazgvUEREZGdGWlVZY09IUUtLRGtOcjFLaFI1bkpYNjNDMm5ia3JhY3lZTVR6MzNITUFiTjY4V2V2VTc5dTM3TWNFZnZ6eHgvejY2Njk4OU5GSHRHL2Z2dHo5aXFvaG9lU0NwaytmenZyMTY0R2l4K05rWldVUkdSbUpsNWNYdi83NksrN3U3dHBmK3RJR1VsNjZkSW53OEhBU0VoS0FvdjZmczJmUGFuMUlQLy84TTFCMFNGVzg4eHJRRG5rS0N3dEpUMCtuZmZ2MitQbjVWZXB6ckZtekJrQnJYWldsK05pazRrb2JwMVNjcmZXMmFORWlGaTllREJRRm1DMXNpcStUa3BLQ2w1Y1hKMCtlUkZWVmVVS09FMGtvdWFBZVBYcXdjZU5HaGc0ZHlvQUJBeGcwYUJBWkdSbTgrdXFyUU5FWk5vUEJ3UFRwMDdWcnptd3RrYjE3OXpKcDBpUXRYUHIwNmNOamp6M0dGMTk4d1ljZmZtaTNuenZ2dk5OaDMrZk9uY05vTk9MbDVjV0VDUlBvMWF0WHBUNURURXdNQnc0Y3dHQXdNR0JBK1k4WksydEV0cTBGOWVXWFg1WjYrSmFmbjgvZ3dZUDU5ZGRmQVdqYnRpMVRwMDdWNXRlcFV3Y1BEdzhzRm9zMmxncWdlZlBtNVk3MUVsVkxRc2tGUGZEQUE2eGZ2MTY3OEhiaHdvVkVSa1p5NE1BQjZ0YXR5MHN2dlFSQSsvYnQrZUdISC9EeTh1S1paNTRCSURnNG1McDE2NUtkbmMzdzRjTVpPWElrQUkwYk43YmJoNysvUDIrODhZYkR2Z01EQTVrOGVUTDMzbnN2alJvMXNwdW5LSXJXTitYdTdsN3VaK2pjdVROdDI3YWxZOGVPcFliZjM4SGQzWjFKa3lieDZxdXYwcTlmUDBhT0hHbFhsNmVuSjVNblQyYkpraVZhU0RkczJKRFhYbnV0U3VvUkZlUFNRMVpOSnBNS2NqcjNXcDA2ZFFxTHhXTFh1UTFGWjhOc0k2RGQzS3JtNzlYbHk1ZUJvak5ndWJtNTVaN2R1eHJiQmNPaG9hSGxobUJCUVVHVmZaNmJqYTMxR1JjWDU3UnNrUDlUdDZDU3JTSWJSVkdxL0plM2R1M2EydXZyQ1NSQWEvMWRqUVNTYTVGYmx3Z2hkRVZDU1FpaEt4SktRZ2hka1ZBU1F1aUtoSklRUWxkY1BaVE1VUHJUTFlRUTE2Ylk2UDljWjliaDBxR2txbW9pUUhKeXNyTkxFY0xsMmU3NG9LcHE1WitmOVRkdzZWQUNGZ05FUkVSdzdOZ3h1d3RKaFJBVll6YWJTVXBLMHA1T0E2d3RiL21xNXRJanVnSDM0T0RnTFlxaVBPenNRb1M0U2Z5VWw1ZlhOVEV4MFhMMVJhdUc4ZXFMNkpvMUxTMXRSWU1HRGN5S290UUhhZ0xsWDNRbGhDZ3BWMVhWNDhCOGk4WHl2RE1EU1lnYnhtUXlxYlpyRllVb2o2djNLUWtoYmpJU1NrSUlYWkZRRWtMb2lvU1NFRUpYSkpTRUVMb2lvU1NFMEJVSkpTR0Vya2dvQ1NGMFJVSkpDS0VyRWtwQ0NGMlJVQkpDNklxRWtoQkNWeVNVaEJDNklxRWtoTkFWQ1NVaGhLNUlLQWtoZEVWQ1NRaWhLeEpLUWdoZGtWQVNRdWlLaEpJUVFsY2tsSVFRdWlLaEpJVFFGUWtsSVlTdXVQb1Rjb1ZPQlFVRlZUTWFqUjYyOTE1ZVhwa0EyZG5aTlczVDh2THk4bE5TVW5LZFVaL1FMMmtwaVNyaDQrTXowc3ZMSzlQMnp6YTkrRFJmWDkrM25WbWowQ2NKSlZFbEZFWFpvcXBxbVUvRS9YUGVWemV3Sk9FaTVQQk5WQm1UeVhRWWFGM0c3S1M0dUxpZ0cxbVBjQTNTVWhKVmFVVlpNMVJWM1hvakN4R3VRMEpKVktYTlpjMVFWWFhaalN4RXVBNDVmQk5WS2pnNE9FVlJsSUFTazgvR3hjVTFkRXBCUXZla3BTU3EydEpTcG4xN3c2c1FMa05DU1ZTcHdzTENiMHFadlBxR0Z5SmNoaHkraWFxbUJBY0hweW1LVWg5QVZkV0w4Zkh4ZFlFeWh3dUlXNXUwbEVSVlV4VkZXVjdzL1RZa2tFUTVKSlRFamJESjlrSlYxWFhPTEVUb240U1NxSEp4Y1hIZkE1bXFxbWJuNStkdmRIWTlRdC9jbkYyQXVDVVVxS3E2QnFpZm1KaG9jWFl4UXQ5dWhvNXVONVBKTkZoVjFSRkFXMFZSdkp4ZGtIQ2txaXFLY2pQOHVOMlV6S3FxSmdLTDQrUGpGd0g1eml6RzFYOUszRXdtMDJxZ3I3TUxFZUptb0tycTl2ajQrTWR3WWpDNWRDaVpUS1pod09LbVRac1NIaDVPVUZBUVBqNCt6aTVMQ0plU2xaVkZjbkl5RVJFUkhEbHlCRlZWMzR5UGozL0hXZlc0ZEVmM240ZHNoSWVIRXh3Y0xJRWtSQ1Y0ZTN0enp6MzNNR25TSkFBVVJSbmd6SHBjT3BTQXRnQkJRWElIRENHdWw3Ky92KzFsYzJmVzRkS2haT3ZVbGhhU0VOZlB5MHM3UjFUZG1YVzRkQ2dKSVc0K0VrcENDRjJSVUJKQzZJcUVraEJDVnlTVWhCQzZJcUVraE5BVkNTVWhoSzVJS0FraGRFVkM2U2FWbEpSRWNuSnlxZk4rLy8xM2Z2amhCeTVkdWxTcGJlL1lzWU9USjA5V3VqYXoyVnpwZFN1N3Y3SWUxanR2M2p6bXpadEhZV0hoRGExSmxFM3VwK1NpZHUvZXpkS2xTNG1JaU1EWDF4ZUFsU3RYa3B1YlM3OSsvZWpmdnovVnExZG56NTQ5cGE0YkdSbkp2SG56Nk5peEk1czJiV0xLbENubDdpODJOaGFBNWN1WEV4a1pTZE9tVFZtNmRDblZxMWVuZCsvZTVhNXJOQnJadUxIbzNtN1oyZG4wN05tVFZxMWFNWC8rZkF3R0EyYXptYkN3TU02ZlA4K1VLVk40NUpGSEt2UWRyRml4Z20zYnRuSDU4bVhXcmwyTHdlRDROOVppc1RCNjlHaHExcXpKMUtsVHFWbXpwdDM4SlV1V0FQRGlpeTlpTkJvcnRGOVJ0YVNsNUtJMmI5NU1mSHc4WThlT3hXS3hZTFZhK2VLTEw1Zy9mLzQxYjZ0eDQ4YjA3dDJibWpWcjByRmpSM3IzN2szdjNyMXAxNjRkQURWcTFOQ1c3ZE9uRDdmZmZqdkp5Y25NbVRNSGdMTm56NWI3Nzh5Wk05cjYyN2R2SnljbkIwQUxrWTgvL3BoVHAwNlJrNVBENHNXTEtTZ29xRkRkaXFLUWtKQkFhbXBxcWVFTGNPYk1HYTFsT0hUb1VFNmZQbjNOMzQrNHNhU2w1S0wrL2U5L3MzLy9maElURS9uZ2d3L28xS2tUR1JrWkFIVHIxZzJBbkp3Y1FrSkN0SFhHakJuRGdRTUhPSDc4T0FEVHAwL0gwOU9UcUtnbzB0UFQyYng1TTJmUG51WE5OOS9FM2QyZGwxOStHU2k2QzROTmpSbzFtREJoQXJObXphSnQyN1prWkdRd1ljSUVHamR1VEVoSUNCMDZkQUFnT2pxYTIyNjdqWWlJQ0MzY0FOYXVYUXVndFlaMjc5N055cFVyOGZQencyUXlzVzNiTnQ1NTV4M3RpbldiNHArak5PUEdqWE9ZVnF0V0xYYnMyTUhTcFVzWlBYbzBWcXVWeE1SRW5ucnFLWWRsYlhYYjJGcUc0c2FUVUhKUmZuNStqQjQ5bXBTVUZFYU5Hc1hFaVJNQmFOaXdJZTd1N3FTbXBxSW9DbmZjY1llMlRxMWF0VGg5K2pRWEwxNEVJRDA5WFp2WHMyZFBqaDgvenBJbFN3Z0xDOFBOelkxTGx5N3gybXV2MGF0WEw3dDlkK25TaGZidDIrUHU3czcrL2Z1WlBYczI3ZHUzZHdpT3ZYdjNzbXJWS3BLVGsrbmV2VHNKQ1Fra0ppWUNSYUYwOU9oUkxYd21UcHhJbXpadE9IRGdBT3ZYcjhmTHk4c3VhTHk5dmJYWFdWbFpRRkZBbG5iSVZuSWRYMTlmRmk1Y2lObHNKaTB0allDQXZ4N1ltNXFhQ21BM1RUaVhoSklMTXB2TlhMaHdnZmJ0MjlPeFkwZDhmSHpvMmJNbnQ5MTJHMisrK1NaR281R1FrQkN0RlZSYzM3NTl0WDZoZWZQbThjQUREM0RpeEFtT0hEbENXbG9hN3U3dVhMbHlCWUJxMWFweDRjSUY5dTNiUjd0MjdWaXpaZzJmZi80NUFOV3JWK2ZycjcrbVhidDJORzdjbUlNSEQ1S1ptV20zcjRVTEZ3TFFyMTgvQUQ3NTVCTnRYbXBxS3VQR2pjTnNOak5reUJDdGRUZDE2bFRHamgzTHNtWExPSFhxRkRObnpzVFQwNVBkdTNkcjY5ckM3NHN2dnFCWnMyYmxmbGZmZmZjZGtaR1IvT3RmLzZKWHIxNDBhTkRBN2p1eGJXdmx5cFY0ZUhoVTdIK0FxRklTU2k1bzE2NWR2UFhXVzBCUjYrZUxMNzVnOHVUSkFLeGZ2MTVicnVUaEd6Z2VscHcrZlpybm4zK2U3T3hzb0toVjBiZHYwZDJGMTYxYng3Smx5MWkyYkJsYnQyN0ZiRFpycmF6cTFZdnVicUVvQ3IxNzkyYkpraVVrSlNYWmJUYzVPWm02ZGV2U3ZYdDNZbUppT0hqd29EWi93NFlOWkdabTBxbFRKd1lQSG96VmFzVmdNTkNpUlF0ZWZQRkY1cytmejRrVEp4eUNJai8vcjd1MERoMDZ0TXlXMG52dnZVZElTQWpuejUvbjh1WExoSWVIYy9Ma1NlMlFWT2lYaEpJTDh2SHhJVEF3VUFzQmQzZDM3ZkRqdDk5K1ExRVVHamR1VEdwcUtrYWpzZmpOdXpoMjdCZ25UcHdBWU83Y3VXUmxaZkhHRzI5dzlPaFJPblhxeFAzMzM4L0VpUk54ZDNmbnUrKys0K0RCZ3h3NGNJRGF0V3N6WXNRSVJvd1k0UkIwL2Z2MzU1bG5ucUZhdFdyYU5IOS9mNktqb3psNThpUkdvMUhyUzdJSkN3c2pQeitmblR0MzBxTkhENktpb2dnSUNPRFJSeDhGWVBUbzBmajUrVG1FanEyVEhNb2ZXdURtVnZTalBYRGdRSUtDZ3BnOWV6WjkrdlFoTkRTMDFPV2ZmZlpadS9lUFAvNDRJMGFNS0hQN291cElLTG1nTGwyNjBLVkxGeTBjYklja21abVpkTy9lbmR0dnY1Mm9xQ2hDUWtMdzgvTWpLaXFLcjc3Nml2dnV1NC9SbzBkcnJaMmtwQ1RxMXEyTG01c2JmL3p4QjlIUjBVUkhSN045KzNZTUJvUGQwMGZTMHRKbzFLaVJYUjJuVDU5bTFLaFIydnZpWTRHR0RSdG1GeWlob2FGY3VuUkpDOFRBd0VCbXpKaEJ4NDRkQVJ6Q3AyZlBualJzMk5EaHMxKzRjQUVBRHc4UDl1N2Q2N0JlbHk1ZE1Kdk5lSHA2YXRNZWVPQUJwazJiUnNPR0RiVStwSkpLVHJmdFI5eDRFa28za2NXTEZ3UFF2UGxmZHpNdExDeEVWVlVXTDE3TXVuWHJDQWdJd01mSFIrdlRlZXl4eC9qeXl5L1pzbVdMM2Jhc1ZxdmR0TEN3TUlkUUtpZ280T3paczZYV1Vyd1RIYUJ6NTg1MDZ0U0pzTEF3YlpxcXF0cmhXRVg3YzJ3ZDVZR0JnYVVldXVYbTVnSi9IVjRDWkdSa01IVG9VQUlEQXpsdzRBQUdnNEYxNjlZeGMrWk1HalZxcFBVbnBhYW1FaGdZV0tFNlJOV1JVTHBKVEo4K1hldFA2dE9uRDFCMGR1ckNoUXM4L3ZqalhMNThtZmJ0MnpOanhneXRvN3RaczJiNCtma3hidHc0dXpOZElTRWhlSGg0OE9PUFA1YTd6d1lOR2pCOCtIQUdEaHhJclZxMXNGZ3NEa01DeW5QeDRrV3NWaXRROFZzYWI5aXdBU2hxL1pSa0c2OWwrK3cydTNmdlJsVlZHalpzaU1GZzRMZmZmbVB1M0xrWWpVYW1UNTlPYm00dVR6LzlOSmN1WFdMaHdvVzBiTm15UXJXSXFpR0RKMTJVYmF4UlRrNE92Ly8rT3gwN2RzUmdNUERTU3kvUnRXdFhvS2dqMk5QVGs0eU1EQm8xYXNUZ3dZTWR0aE1TRXVMd0Q0cCt3WXRQczFqc0gyeHJzVmdJRFExbDBhSkZwS1dsVmVvekhEcDBDSUI2OWVyWmhVaFp2dnZ1TytMajQxRVVoU2VlZU1KaHZtMm9BTmdQSVlpSmlRR0tEZ2t6TXpNWlAzNDhack9aTjk1NGd6WnQydURyNjh1VFR6NUpYbDRlcjcvK2VxVXZ2eEYvRDJrcHVhQXpaODd3NnF1dkFrWGhNR3pZTUVhTkdzVm5uMzFHMjdadHRlVnNIZE0yVnF1VmdvSUN1dzdpeHg1N3pHSDdXN1pzd1dBdzBMTm5UMjJhN1ZESmR0cS9zTENROVBSMDJyZHZqNStmWDZVK3g1bzFhd0RIZ1l1bGlZMk5aZXJVcVFEMDZ0V0xKazJhY09YS0ZTNWZ2b3k3dXp1cXFtcVhzbmg2ZW1wOVN1Zk9uU011TGc0UER3KzZkdTNLcUZHak9IbnlKTzd1N256enpUZXNXN2VPbkp3YzdleGplbm82a3lkUDVzTVBQNnpVWnhMWFQwTEpCZjMyMjIrY08zY09YMTlmR2pac3lDKy8vTUtNR1RPQW92Q3dkVkxiT3FvTEN3dXhXcTBvaWtMTGxpMzU1WmRmZ0tMV3hQVHAweDIydjJYTEZ0emMzRXFkZCs3Y09ZeEdJMTVlWGt5WU1NRmhZR1ZGeGNURWFQMDdBd2FVLzVpeGpJd01SbzhlamNWaW9YNzkrcnorK3VzQW5EeDVrdWVmZjk1aCtUWnQydGg5RnF2VlNydDI3YWhSb3daMzMzMDNpWW1KNU9mbjgvUFBQMnZMZVhoNFVMTm1UYkt5c3RpN2R5K2JObTBxdFRVbXFwNkVrZ3U2Ly83N2FkR2lCZE9tVFNNZ0lJQ1ltQmkrLy81N1RwNDh5WlVyVnlnb0tFQlZWWWQvclZ1M0ppZ29pRC8rK0lPV0xWdlN1blhyYTk1M1lHQWdreWRQNXQ1NzczWG8rRllVUmVzb2RuZDNMM2M3blR0M3BtM2J0blRzMkpFNzc3eXozR1hyMTYvUDhPSERXYkZpQmZQbXphTjI3ZG9BdEdyVkNrOVBUNjF6MjJnMDBySmxTLzc5NzM5cjY0YUdodUxyNjZ1MTVrYU5Ha1hQbmoycFZhc1czdDdlZUh0N1U3MTZkYTBsdUhUcFV2THk4clNoQ2VMR2MvWEhkcXR3YTE2blpMRllYSElFOHVYTGx3R29YYnMydWJtNWRxZnV5Mk8xV3NuSXlLQkJnd1oyMDIyM0pURWFqVlNyVnMxdUdJTzRkclkreGJpNE9LZDlrZEpTY2xHdUdFaUExc29CS2h4SVVIUllXaktRZ0FwMWtBdlhJbWZmaEJDNklxRWtoTkFWQ1NVaGhLNUlLQWtoZEVWQ1NRaWhLNjRlU21hd3Y3eEFDRkU1eFViNjV6cXpEcGNPSlZWVkU0RXlIeVVraEtnNDJ4MGZWRld0L1BPei9nWXVIVXJBWW9DSWlBaU9IVHVtWGI4a2hLZzRzOWxNVWxLUzluUWFZRzE1eTFjMVZ4Lys2aDRjSEx4RlVaU0huVjJJRURlSm4vTHk4cm9tSmlaYXJyNW8xWEQxcCs5WjA5TFNWalJvME1Dc0tFcDlvQ1pRL2tWWFFvaVNjbFZWUFE3TXQxZ3N6enN6a0lTNFlVd21rMnE3VmxHSThyaDZuNUlRNGlZam9TU0UwQlVKSlNHRXJrZ29DU0YwUlVKSkNLRXJFa3BDQ0YyUlVCSkM2SXFFa2hCQ1Z5U1VoQkM2SXFFa2hOQVZDU1VoaEs1SUtBa2hkRVZDU1FpaEt4SktRZ2hka1ZBU1F1aUtoSklRUWxja2xJUVF1aUtoSklUUUZRa2xJWVN1U0NnSklYUkZRa2tJb1NzU1NrSUlYWkZRRWtMb2lxcy9JVmZvVkZCUVVEV2owZWhoZSsvbDVaVUprSjJkWGRNMkxTOHZMejhsSlNYWEdmVUovWktXa3FnU1BqNCtJNzI4dkRKdC8yelRpMC96OWZWOTI1azFDbjJTVUJKVlFsR1VMYXFxbHZsRTNEL25mWFVEU3hJdVFnN2ZSSlV4bVV5SGdkWmx6RTZLaTRzTHVwSDFDTmNnTFNWUmxWYVVOVU5WMWEwM3NoRGhPaVNVUkZYYVhOWU1WVldYM2NoQ2hPdVF3emRScFlLRGcxTVVSUWtvTWZsc1hGeGNRNmNVSkhSUFdrcWlxaTB0WmRxM043d0s0VElrbEVTVktpd3MvS2FVeWF0dmVDSENaY2pobTZocVNuQndjSnFpS1BVQlZGVzlHQjhmWHhjb2M3aUF1TFZKUzBsVU5WVlJsT1hGM205REFrbVVRMEpKM0FpYmJDOVVWVjNuekVLRS9ra29pU29YRnhmM1BaQ3BxbXAyZm43K1JtZlhJL1ROemRrRmlGdENnYXFxYTRENmlZbUpGbWNYSS9UdFp1am9kak9aVElOVlZSMEJ0RlVVeGN2WkJRbEhxcXFpS0RmRGo5dE55YXlxYWlLd09ENCtmaEdRNzh4aVhQMm54TTFrTXEwRytqcTdFQ0Z1QnFxcWJvK1BqMzhNSndhVFM0ZVN5V1FhQml4dTJyUXA0ZUhoQkFVRjRlUGo0K3l5aEhBcFdWbFpKQ2NuRXhFUndaRWpSMUJWOWMzNCtQaDNuRldQUzNkMC8zbklSbmg0T01IQndSSklRbFNDdDdjMzk5eHpENU1tVFFKQVVaUUJ6cXpIcFVNSmFBc1FGQ1Izd0JEaWV2bjcrOXRlTm5kbUhTNGRTclpPYldraENYSDl2THkwYzBUVm5WbUhTNGVTRU9MbUk2RWtoTkFWQ1NVaGhLNUlLQWtoZEVWQ1NRaWhLeEpLUWdoZGtWQVNRdWlLaEpJUVFsY2tsRnlNMld6bXA1OStJaVltNXFyTFJrVkZzV3JWcWxMbnJWcTFxc3g1ZjdkcnFmbDY3Tml4ZzVNblQxWjZmYlBaL0RkV0l5cEw3cWZrWXRhdFc4ZmN1WFB4OVBTa1E0Y094VWZoT25qdnZmZkl5Y25obVdlZUFXRE9uRG40K1BqdzRvc3ZFaEVSQWFETjAwdk5JU0VoRmQ2dXdXRGd3SUVEQUN4ZnZwekl5RWlhTm0zSzBxVkxxVjY5T3IxNzl5NTNmYVBSeU1hTlJmZWN5ODdPcG1mUG5yUnExWXI1OCtkak1CZ3dtODJFaFlWeC92eDVwa3lad2lPUFBGTGgya1RsU1NqcFdHaG9xTU0waTZYb0htbTV1Ym4wNzkrZmF0V3FPU3dURlJWbDkzN2x5cFU4L1BERHJGeTVrbnZ2dlpjWFgzeXhhZ3JtNzZuWllERHd2Ly85cjl6OTNILy8vWGJ2Ky9UcHcvTGx5MGxPVG1iT25EbTg5ZFpibkQxN3R0eHRHQXgvSFNoczM3NmRuSndjdStrZmYvd3hwMDZkQW1EeDRzVjA2OVlOTnpmNWxhbHE4ZzNyV0dwcWFybnowOUxTU3AyK1lNRUNDZ3NMdGZmdnZ2c3VQLy84TTZxcWtwaVlTSThlUGJSNXhWOHZYTGlRZ0lDU3o0MjhNVFVYWjdWYTZkV3Ixelh0dDBhTkdreVlNSUZaczJiUnRtMWJNakl5bURCaEFvMGJOeVlrSklRT0hUb0FFQjBkelcyMzNVWkVSQVR0MnJYVDFsKzdkaTJBMWhyYXZYczNLMWV1eE0vUEQ1UEp4TFp0MjNqbm5YZTBLK2xGMVpGUWNnRS8vdmdqSGg0ZTVTNVRXRmlvdFI1U1VsTHNMbEtlT25XcTloZmZZckZ3OGVKRmJWN3gxd1VGQlU2cnVhVGlkVlZVbHk1ZGFOKytQZTd1N3V6ZnY1L1pzMmZUdm4xN2gwUEN2WHYzc21yVktwS1RrK25ldlRzSkNRa2tKaVlDUmFGMDlPaFJMWHdtVHB4SW16WnRPSERnQU92WHI4Zkx5NHR4NDhaZGMyMmk0aVNVZEt4NjlhS0x0Wjk5OXRrS0w5KzBhVk11WDc1TTQ4YU50ZW4vK01jL0dENThPQUNyVjY4bU1EQlErMFdOalkzVlJjMFdpd1d6MmN6MjdkdXZhWCtYTDE4bU9qcWF6ei8vWE52ZTExOS9UYnQyN1dqY3VERUhEeDRrTXpQVGJwMkZDeGNDMEs5ZlB3QSsrZVFUYlY1cWFpcmp4bzNEYkRZelpNZ1F1blhyQmhRRis5aXhZMW0yYkJtblRwMWk1c3laZUhwNlhsT3RvbUlrbEhUTTFzZHh0VU9pNGdvS0NqaC8vangrZm41MjJ6bCsvRGcrUGo0MGJkcjBiNit6dU1yVy9QWFhYek5yMXF4SzdmT2xsMTdTV2xhMlVGUVVoZDY5ZTdOa3lSS1NrcEswWlUrZlBrMXljakoxNjlhbGUvZnV4TVRFY1BEZ1FXMytoZzBieU16TXBGT25UZ3dlUEJpcjFZckJZS0JGaXhhOCtPS0x6SjgvbnhNblRseTFGU2dxVDBKSngySmpZN0ZZTEJnTUJyc09WbHNyWit2V3JYYmhZL1BhYTY5UnYzNTk3WDMxNnRWWnMyWU5PM2Z1dE92YzFWUE5BRTgrK2FUVzkzTXQrd01ZTVdLRXcyRmEvLzc5ZWVhWlordzYxdjM5L1ltT2p1Ymt5Wk1ZalVhdEw4a21MQ3lNL1B4OGR1N2N0dEFsOWdBQUlBQkpSRUZVU1k4ZVBZaUtpaUlnSUlCSEgzMFVnTkdqUitQbjUxZmwzK090VEVKSjU2S2pvNWt4WXdaOSsvWmw0c1NKRlZybmd3OCtjSmoyeHg5L01HZk9IT2JNbVdNM3ZmZ3ZzcTBUK0hwVnB1YmlBZ0lDV0xObWpmYisvdnZ2eDl2Ym14MDdkbWpUbm5ycXFUTFBycDArZlpwUm8wWnA3MVgxcndmeURoczJ6QzVRUWtORHVYVHBFaWRPbkFBZ01EQ1FHVE5tMExGalJ3Q0g4T25ac3ljTkd6YTg1czhrS2s1Q1NlZU9IeitPMVdxbGJ0MjZEdk5zZjcxdGlvL2JLY25OelExZlgxL3R2ZTF3cC9nMG85SDRkNVI4M1RXZlBuM2FZWXhSZG5hMjNiVHo1OCtYdWYrQ2dvSXlBeXM5UGQzdWZlZk9uZW5VcVJOaFlXSGFORlZWeWM4dmVwaUhIS2JkZUJKS09tY2JyMU84NDlxbWNlUEdkbi9KeXh0REV4Z1l5TFp0MjdUM3RoWlM4V2syZVhsNUdJM0dTby9KdWQ2YUN3c0x5Y2pJc0p1bXFxckR0TEkwYU5DQTRjT0hNM0RnUUdyVnFvWEZZbkVZRWxDZWl4Y3ZZclZhQWJuVnNqTklLT25Zc1dQSHRBN2pyNzc2aW9jZmZ0anVML2VpUll2SzdKK3BMTFBaekd1dnZRWkFaR1FrTld2V3ZLYjFyNmRtZzhIQXJsMjdIS1ozNjlZTkx5OHZ2dm5tbTZ2dTMyS3hFQm9hU25wNk9nOC8vREMxYXRXNnB2b0JEaDA2QkVDOWV2V29VYVBHTmE4dnJvK0VrbzR0WHJ3WUtEcUVPSHIwS0tOR2picnFhT3o4L0h5TVJxTkRYMGp4UVpKbFRSODRjQ0JkdW5RaE9UbVpTNWN1OGNJTEx6Qi8vbnk3UTd5cXJIbjgrUEhzMmJPbjFHV3lzN08xMC9QRjJUcTZiYWY5Q3dzTFNVOVBwMzM3OXBVT2JGdC8xclYydW91L2g0U1NUaDArZkppWW1CaDhmSHo0NUpOUEdEZHVIQWtKQ2J6ODhzdmFNcjE2OWRMQ3gycTFhb2NjcFIyaWxEVVlzZmgwczlsTVlHQWdDeGN1Wk5Tb1VadzRjWUlaTTJZUUdSbFo1VFUvOTl4elpRWlNlVUpDUXZqeHh4ODVkKzRjUnFNUkx5OHZKa3lZY00wandtMWlZbUk0Y09BQUJvT0JBUU9jK3Zpelc1YUVrazYxYU5HQ3hvMGJNMnJVS0ZxMmJNbUtGU3Y0NnF1dmlJdUw0OXk1YytUazVHQ3hXQ2dvS0tDZ29FQTd3K1R1N2s2OWV2VWN0bmN0Z3lTYk5HbkNnZ1VMbURGanhqV2RQYnVlbWtlTUdNSGd3WU1ydksvaVBEdzhDQXdNWlBMa3lkeDc3NzAwYXRUSWJyNmlLQVFHQm1yN0trL256cDFwMjdZdEhUdDI1TTQ3NzZ4VVBlTDZ1UHBqdTFYNCswY2w2OFc1YytkS0RSZzljOFdhb1doa09FRHQyclhKemMyOVpVZHIyMDZBeE1YRk9TMGJwS1drWTY3NHkrMktOVU5SR05uY3FvR2tGeklzVlFpaEt4SktRZ2hka1ZBU1F1aUtoSklRUWxja2xJUVF1dUxxb1dRR3lNcktjbllkUXJpOFlrOXp5WFZtSFM0ZFNxcXFKZ0lrSnljN3V4UWhYSjd0emdxcXFsYitPVlYvQTVjT0pXQXhRRVJFQk1lT0hTTTdPOXZaOVFqaGNzeG1NMGxKU2NYdnRiVzJ2T1dybWt1UDZBYmNnNE9EdHlpSzhyQ3pDeEhpSnZGVFhsNWUxOFRFUkl1ekN2aDc3dXJsUE5hMHRMUVZEUm8wTUN1S1VoK29DWlIvY1pNUW9xUmNWVldQQS9NdEZzdnp6Z3drSVc0WWs4bWsycTVWRktJOHJ0Nm5KSVM0eVVnb0NTRjBSVUpKQ0tFckVrcENDRjJSVUJKQzZJcUVraEJDVnlTVWhCQzZJcUVraE5BVkNTVWhoSzVJS0FraGRFVkNTUWloS3hKS1FnaGRrVkFTUXVpS2hKSVFRbGNrbElRUXVpS2hKSVRRRlFrbElZU3VTQ2dKSVhSRlFra0lvU3NTU2tJSVhaRlFFa0xvaW9TU0VFSlhKSlNFRUxvaW9TU0UwQlVKSlNHRXJrZ29DU0YwUlVKSkNLRXJpck1MRURjbms4azBHcGhYM2pLcXFzNktqNCtmZUlOS0VpNUNXa3FpU3VUbjUwZi8vL2J1UEM2cWV2L2orR3ZZbEVWVTNCRGN3Y3lMYVF5NUlDNW9MaTJtUm9hR3dhVTA3WG8xbDdwcW1sM0xxNlZaTjNPOWhrYUNxS1JvTjhJMHNOUk1KUUd0VVBHR2hLS29LQ0xMQ0FQTStmM0JiMDRNbTZVaGczNmVqd2VQQjJlWmM3NW5tSG56L1g3UDk1eHpxM1VNQnNQbXUxRVdVYjlJS0lsYThkTlBQNTBGa21wWUplWEVpUlBKZDZzOG92NlFVQksxUmxHVWFtdENpcUo4ZVRmTEl1b1BDU1ZSYTBwS1Nxb05IbzFHRTNFM3l5THFEK25vRnJYSzA5TXpXYVBSL0tYOFBFVlIwcEtTa2pyVlZabUVlWk9ha3FoVmlxS0VWNXluMFdodTJRa3U3bDhTU3FKV2xaYVdSbGVjWnpBWXBPa21xaVhOTjFIcnRGcnRMNEFiZ0tJb0dVbEpTVzNydUVqQ2pFbE5TZHdOYWhOT285SHNyc3VDQ1BOM0w5U1VyTFJhYmFDaUtCT0JIaHFOeHI2dUN5U3FweWdLR3MyOThMRzdwK2dVUlVrR05pWWxKVzBBaXV1eU1QWDkwMkdsMVdvamdhZnJ1aUJDM0FzVVJZbExTa3A2bkRvTXBub2RTbHF0OWdWZ1k4ZU9IWmsvZno3dTd1NDBhdFNvcm9zbHFyQnExU3F1WHIzS3dvVUw2N29vb29MOC9IelMwdEpZdG13WkowK2VSRkdVMTVPU2t0NnRxL0pZMXRXTy93ek96czZyTlJwTjIrWExsK1BwNlVtREJnM3F1a2lpR2cwYk5xUmR1M2EwYlN0OTNPYkd4c2FHVnExYTRlSGh3WTRkTzlCb05DMHpNelBYMVZWNXJPcHF4MytTSGdEdTd1NTFYUTV4QzkyNmRVTlJsTG91aHFoQm16WnRqTDkycnN0eTFPdFFNblpxUzVQTi9GbFl5SWxlYzJkdnI1NGpzcTNMY3NnblJRaGhWaVNVaEJCbVJVSkpDR0ZXSkpTRUVHWkZRa2tJWVZZa2xJUVFaa1ZDU1FoaFZpU1VoQkJtUlVMcERwV1VsUER0dDkveXd3OC8vQ25iZS96eHgzbjg4Y2ZKeU1qNHc2ODlkKzRjTVRFeGZQZmRkN2UxYjcxZWoxNnZwN1MwOUxaZVgxNXBhU2tuVDU3azVNbVRKdk9MaTRzSkN3c2pORFNVb3FJaWsyV2ZmLzQ1b2FHaEdBeUdTdHZMeWNsaCtmTGxiTnUyeldUK3lwVXJXYmx5WmJYVEFBYURnUk1uVHZEWlo1K1p6QzhzTEdUbHlwVjgvLzMzdDNXTUowK2U1UGp4NHpXdWMvVG9VUW9MQ3l2TlAzWHFGQjk4OEFGNnZmNjI5bjB2cTljanVzM0J6WnMzZWZYVlYzRnpjeU15TWhJQUx5K3ZHbCtUa0pBQWxJWEEwcVZMQVZpd1lBRUFWNjVjQWNyQ3ptalJva1VBeko0OXU4YnIrOWF0VzhlZVBYdm8yTEVqL2ZyMSswUEhzWFBuVHY3MXIzOEJzSFRwVW9ZTUdmS0hYbDlSVGs0T2dZR0J3Ry9IQzdCaXhRcTJiTmxDMjdadGNYQndBS0I1OCthMGJ0MmFSWXNXNGVMaW9zNDNHalZxRkhsNWVXelpzZ1V2THkvR2poMnJMZ3NORFFWZzJyUnBWVTREWExod2dRa1RKcUFvQ3A2ZW51cGxTZUhoNFlTR2h0NzI5WGl6Wjg4bU16UFQ1UGpLVzdGaUJaczJiV0wwNk5Fc1dMQUFnOEZBUWtJQ1hsNWU3TjY5bTgyYk45T3VYVHZHakJsRFNrb0tlWGw1ZE92V2pZWU5HOTVXZWU0VkVrcTF4TmJXbGtjZmZkUmtYbHhjSERkdjNsU25TMHBLMkxWckYvQmJLRlhGdU02TUdUUFVVS29wK05MUzBxcGMvc1VYWCtEaTRsSnAvcEVqUjlSd0JGaS9majNlM3Q3bEx6c0FJQ1ltcHRweVZ2ZkZORElZREt4YXRZb3RXN1lBY1A3OGVkNTU1eDBBdW5idGlzRmdRRkVVTGx5NG9NNDNHajU4ZUtYdHZmZmVleVkxcXZMbE4wN1BtVE1IZ0xadDI5SzllM2VTazVQNThjY2ZjWGQzSnlNamcwOCsrUVFvQzMxajhCc0ZCd2ZUdDI5ZkprMmFaREkvTmpZV2YzOS9vQ3g0QVlZT0hXcXl6dGRmZnczQVUwODl4Wll0VzlpMWF4ZjkrL2RuKy9idEhENThtUER3Y01hT0hjdVdMVnZZdkhrenp6enpETnUzYnljcUtvcEZpeGJ4eEJOUDFQaGUzdXNrbE83QXRtM2IyTHAxSzFEV2RQTHo4eU1xS2dvb2E3NWN1M2JOWlAwL28xbFVrYXVySzFaV05mOFowOVBUcTEwV0V4UERva1dMS0M0dVp0eTRjWncvZjU1RGh3NHhkZXBVVnF4WWdhT2pvN3F1alkwTmpSczNWcWNWUlNFM054ZUE3Nzc3anZuejU1c3NNeG80Y0NCVHBrd2hMQ3lNcGsyYnNucjFhaVpQbm95MXRUVmZmdmtsZS9mdVpkR2lSWXdaTTRZSkV5Ync1Sk5QMHIxN2R6WnMyQURBMy83Mk4rTGo0d0hVbW9hRmhZVkpLQmxycWVXbjU4eVp3L1RwMDAyYXM0c1hMMmI1OHVWMDZkS0Z3c0pDbkp5Y3FyeDJzbW5UcGpSczJKRDI3ZHVqMCtuSXlzckN4c2FHQmcwYXFMWEk2T2hvZERxZE9yMTc5Mjd5OHZMVWJYVHExSW1BZ0FCMjd0eUpUcWVqYytmT0hENThtR1BIamhFWUdJaTN0emMvL3ZnajU4NmRVNXU1RHo3NFlMVi9xL3VGaE5JZHlNbko0ZHk1YzBCWlgwbjVMNytWbFZXbFpzR0pFeWYrOUQ2RWRldlc0ZUxpUWxSVUZOOS8vejArUGo0OC9iVHBQZStxcWpVVkZCVHd3UWNmcUxXd2tTTkg4dHBycjFGWVdNZ3JyN3hDWW1JaVFVRkJMRjI2bEM1ZHVnQXdaTWdRSEJ3YzBHZzA5TzdkbS9UMGRQejgvR2pWcWhVbEpTWGs1K2RYV2NiOC9IeWFOR2xDVUZBUVR6MzFGQjA2ZENBNE9KajgvSHp5OHZMNDczLy9TNmRPblpnNWN5WU5HelprNnRTcHRHclZDb1BCZ0lXRkJjN096cmk2dW5MaHdnVWFOR2lBczdPekd2N0dZelBXMUNwT096czcwNkJCQTRxS2ltalhyaDBhalliTXpFeCsvUEZIYkcxdENROFBaLzM2OWV6YXRhdksybDVrWkNTVEowOG1LeXVMMmJObkV4d2NUR3BxYXFWMUtyN2Z4bTFObkRpUndNQkFtalp0eXVIRGg5bTBhUk54Y1hFRUJnWXlkKzVjbWpadFNuNStQaWtwS1RScTFJZ09IVHBVODVlK2YwZ28zWUhKa3ljVEVCQ0FyNit2U1o4U2xOVVVkRHFkeWZvMTNicGo0TUNCSnRPQmdZRTFYbGx2M0ZmTGxpMHhHQXlFaG9aeTRjSUZXclpzV1dsZFk0MmplZlBtS0lyQ25qMTdXTEZpaGRwL0ZSd2N6TlNwVTlGb05OamEyckpxMVNyZWZQTk5ZbU5qQ1FvS1l2ejQ4VXlZTUlHclY2OHliZG8wR2pkdVRHUmtKS2RQbndiS21sKyt2cjdFeDhkamFWbDJpNjVyMTY0eGJOZ3c0TGVBbURkdm50cm5ZMlJzUWdINCtQaVlMRFBXdkJJU0VqaC8vanlqUjQrbVc3ZHVyRisvdmxMUVZqWHQ3ZTNOcWxXclNFMU5KU2twaWMyYk4yTm5aOGVoUTRjSUN3dmp5cFVyZlBIRkYrcHI4dlB6U1U5UEp6MDluU0ZEaG1Calk4Ty8vLzF2amg4L3p1alJvM242NmFjcEtTa2hPenNiZ0lpSUNQTHo4OVVtM3JadDI3aHg0d2FUSmsxaSsvYnR2UC8rKytxMkR4OCtUTStlUFhGMGRPU25uMzdpL1BuejZqK3R6ei8vSEVWUjhQSHhrYnNwSUtIMHA5THBkTmpaMlFGbEhlRFIwWldlTGxTdGlyV01pb0ZXM3ZidDI0bUkrTzBwUlNVbEpWeTRjQUdBL2Z2M2MrVElrV3BmTzJUSUVEV2tIQjBkeWMzTkpUUTB0RkpZUU5tTjJVcExTL24wMDAreHRiWGxwWmRlVXZ0QzNuNzdiYlVwOS9EREQvUHBwNThTRVJIQnVuWHI2Tml4WTVYN0RnNE9ybkorYUdnb05qWTJCQVFFVkZ2dThyS3pzeGt6WnN3dHY4Q2RPcFU5NzlMWXpIdisrZWNCY0hCd0lDUWtCRzl2YnlJaUltalNwQWxnK285aHdJQUIyTmpZcUdmc1RwMDZ4Vi8vK2xmV3IxK3ZCcGx4LzgyYU5RTlFBM255NU1sczI3YXRVcTNZeXNxS0lVT0dFQlVWeGViTm01azdkeTRHZzBIdFo2dllCM20va2xDNlE4YmFSbnA2T21QR2pDRW1KdWFXbmI1R2RuWjJsZFkxL3NmZnNXTkh0Vlg1bkp5Y2F2dUpMbDI2Vk9NK2c0T0RPWExrQ043ZTNnUUdCakp1M0RpZ0xOaXlzcklBYU4yNk5WQjIwNjlwMDZZUkdSbkpoQWtUZ0xMK25hKy8vcHFEQncrcVg4cUJBd2Z5OXR0dmMvWHFWZWJPblV0WVdGaVYrNTQyYlJvaElTSFZsczNXdHZKdGZDWk9uRWhlWGg0blRwd0E0TWNmZjJUWXNHRjg4ODAzckZtenBzWmpmZmJaWjlWamc5LzYxcHljbk5TQXZISGpCamR1M0FCZzhPREJIRHQyak56Y1hQVU1tTEYybTVLU0FwVDlzekVlWDBGQkFZQTZiV2RucC81VEdqdDJMR1BIanFWbno1NG1mVjlqeDQ0bEtpcUt6ei8vbktDZ0lPTGo0OG5JeUtCMTY5YVZhc3YzcS9wK2oyNEZibjNtcDdiODV6Ly9ZZjM2OWVxMGs1TVRYYnAwNGZEaHc3ZDhiVUpDZ2tubnB2RUxYbFVvR1F3R3RhbjBsNytZUEFGYlBaWGZybDA3SWlNanNiYTJCbUR0MnJXRWhJVGc0ZUhCcGsyYmJsbWUxTlJVOWF6U3JkN1BQWHYyTUcvZVBBQThQVDBKQ1FraEt5dUxnSUFBc3JPekdUZHVIQysrK0dLbDVsdjU0L3U5RWhJU21EUnBrc2sybkp5YzJMVnJGd01HRExqbGF3SDgvZjNKek16azRNR0Q5TzdkbTJiTm1qRnIxaXptekptRHM3TXpIaDRleE1YRmtaQ1F3SWdSSTdoNjlTcEhqaHpCWURCdzRNQUJ1bmZ2VG5Cd01IcTluckN3TUJJVEV3Rll0bXdaT1RrNUxGbXl4R1MvZ3djUFZ2OE94bEFxWC80Wk0yWnc4T0JCdkx5OCtOLy8va2R1Ymk1ejU4NVZRN1F1R2Y4K2lZbUpkWllOVWxPNkErWEhERFZ0MnBRMzNuaURBd2NPMEw1OWUzVitSa1lHcGFXbEp2T01qT040RGg0OHFQNkhyVXBoWVdHVlkzNXljM1BWMm9LSGh3ZDVlWGs0T1RseDRjSUZ0WGxuYkxKVTVPM3RYVzJuZThYZ3FCaFNnd2NQVnB0K3hqRkZMVnEwNEkwMzNtRFdyRm44OTcvL1pkU29VZFVlajVPVGszcmEvT0xGaXp6MTFGTTBhTkNBdlh2M1ltVmxoYVdsSmNPR0RWUFA3RFZ0MnBSMjdkcHg3dHc1OWF4YythWmJ4ZkpWckoxY3ZYcFZiYUtWbHBaaVkyT2puakZyMEtDQmV2YnQrZWVmSnpNemt4WXRXZ0FRSHgvUHE2KytpcisvUHhjdVhHRFFvRUdjUG4xYURXU2ppdE54Y1hIcS9veDBPaDN4OGZINCt2b3lhOVlzamg0OXFwYmJ3OE9EWjU1NXB0cjM2MzRqb1hRSFJvMGF4WkFoUXhnMWFoUk9UazRNSERpUWdRTUhNbnIwYU5xMGFjT3FWYXNZTVdJRW1abVpQUExJSStyci9xd1BZRTVPRGoxNzltVGZ2bjNzM3IyYnZYdjMwcTlmUDg2ZVBZdE9wNk4zNzk1cWJhV2kxcTFibTRSU1ZjMjM2bnp5eVNkcVlCdzhlSkRJeUVqOC9mMFpPSEFnTTJmT1pOQ2dRYjlyQU9EMzMzK3ZqbnNxS2lyaWIzLzdHNTA2ZFZMNzRveURIQmN0V3NUbHk1Y1pQWG8wMXRiV2xmcVNhcXA5WGJ0MmpSczNidENwVXlkS1MwdFJGQVViRzVzcTE3VzF0Y1hKeVFsN2UzdVNrNVBwMmJNbnJWcTFVazhxREJnd2dMWnQyN0pqeHc0QVhuNzVaYkt5c3RScG82cUdhQVFGQmRHMmJWdDhmWDFwMnJRcHJxNnVwS1dsQWRDalJ3L3A0QzVIUXVrT05HM2F0TklIOFBMbHk1dy9meDZOUmtOeDhXK1B6aXIvd2UzVnE1ZDZtdjFPdEd2WGppVkxscENkbmMyLy92VXY5dS9mei83OSs5WGxycTZ1L1BycnIxWDJUUmxQcVJ1VmI3N1YxRUYvK1BCaFB2NzRZelFhRFQxNzlpUStQcDUvLy92ZjlPalJneTVkdXFnMXM0cGp0SXlDZzRQSnpNeGt6cHc1eE1iRzR1Ym1SazVPRGpZMk5tUmxaWEh5NUVsYXQyN04yTEZqZWV5eHh3Q3FEUkVqWTMrWDBjYU5HOVcrSUdOdHhNM05UYjJzeGRpMHFtajkrdlhrNWVVeGFOQWdaczZjeWQ2OWV3a0tDdUs5OTk3RHdzS0NBUU1HVk5rWlhmR2Z6TUtGQzNucXFhZlVFSVN5QWEzdTd1NGtKeWN6Zi81OHpwOC9yNjRmRVJIQmxTdFgxQ0VDOXpzSnBUdFU4U3laOGN6TXVYUG5tRHQzcnZwRktOL0VxRGcwWU1tU0plcVpHNk9WSzFlcVRhT0tneTZ6czdOSlRrNG1OVFdWVTZkT2taaVlxSjZtdHJTMHBGT25Udnp2Zi84aktpcUtxS2dvdW5YcnhsTlBQY1VUVHp6QmpSczNlT21sbHlvZFIvbkxXa2FNR0ZGcCtjY2ZmOHpseTVlWlBYczJCb09COGVQSDgvTExMK1BuNTBkV1ZoWWZmL3d4UzVZc29hU2tCR3RyNjByWHZPbDBPcjc2Nml0T25qeXBEb1FjUEhnd0N4Y3VWTTkwYmRpd2dkZGVlNDB6Wjg3d24vLzhoK1BIaitQcDZjbm8wYU9yRFRuQVpNQmlSWHYyN0FIZ29ZY2VVb09nZkZPNXBLU0VCUXNXcURXMlk4ZU9BZEN4WTBlS2lvclUxeHNNQmlaTm1zVENoUXZSYXJXMGFORUNQejgvTWpNek9YYnNHQWFEZ2RMU1Vnd0dnL3B6OXV4WjlZbkFJMGVPeE5MU2t1RGdZQXdHQXc0T0Ryejc3cnQ4K2VXWDdONjltOWpZV0k0Y09jTDQ4ZU9aT0hIaWZWMXprbEM2QTVzM2IrYUREejRBeWs2Zlg3eDRrYkN3TUJvM2JzeUlFU1BZdkhtenVxNXhGTEtpS0RScTFJaTR1RGgxMmU3ZHV5dHQrOXR2djYxMnY5bloyY3ljT2RNazNGeGRYUmsrZkRoK2ZuNjBidDJhbjMvK21iQ3dNUGJ0MjhmUFAvL011WFBuR0Rac0dDVWxKV1JtWnRaNFhGVXRONGFXc1ZrNGJkbzBySzJ0bVR0M0xqazVPWXdjT1pMazVPUktwLzJOL1RNV0ZoWnMzTGlSek14TTlheGV4ZXZyWEYxZDJiUnBFMkZoWVd6YXRJbHZ2LzBXQndjSHdzTEMxTE4yNVVlVUcxVWN2Rmllb2loWVcxdXpaY3NXenB3NUEwRG56cDNWYlYyNGNJR1JJMGVxTlY3ajBJcStmZnZ5L2ZmZjgrT1BQK0xoNFVHWExsM1l0V3RYbFEvVExOODBoN0toRm52MjdLRno1ODQ4OXRoaitQcjY0dURnd0N1dnZJTEJZTUREdzRNbFM1YlFwazBidkwyOThmRHdZT1hLbGVUbjUzUHQyclg3T3BCQVF1bU9kTy9lSFZkWFY1bzBhVUp3Y0RERnhjVzR1Ym54MkdPUDRlL3Z6MS8rOGhkMjd0eEpabVlteGNYRjZnamx2bjM3WW1GaFlUSzRyaVpGUlVVbW5hbnU3dTc0Ky90ejgrWk5QRHc4ZU9TUlJ5bzEwYnAxNjhiU3BVdTVlUEVpRVJFUnVMdTc0K2pvaUtPajQyMmZyV3pidGkzVHBrMWozTGh4YWhQSTE5ZFhYZDYxYTFlc3JhM1ZacXU5dlQzVHAwOEh5a0o3d1lJRjVPZm40K3ZyVzZsbWFHUnRiYzJMTDc3SWM4ODlSMXhjSElNSEQrYjQ4ZU8wYjkrZTVzMmJtNFNlc2UrclluUFQzOTlmRGRIcDA2Zmo2T2hJaXhZdHlNakl3TTNOVGQzR2E2Kzl4dnIxNjlWVCsxQTI1a2lyMVRKMjdGaEtTMHZwMEtFRDc3Ly9QaTFhdEdEOCtQSEV4TVJ3NnRRcHJsNjlpbDZ2cjNKQWJQLysvZFVtNStMRmk5WDVreVpOd3Q3ZW5uSGp4cGtFejNQUFBjZUFBUVBZdW5VcmYvLzczNnYvQTl3blpFakFuOHo0SWRWbzZ2VmJlOXNLQ2dwUUZBVXJLeXNhTkdoZ0Z1K0RYcSsvWmI5VWRjb1BpTDBmeUpDQWU1QTVmQW5yVXNVN0M1aUQydzBrNEw0S0pITnhmemRlaFJCbVIwSkpDR0ZXSkpTRUVHWkZRa2tJWVZZa2xJUVFacVcraDVJT0t0K0xTQWp4eDVXN09xSHk0MWZ1b25vZFNvcWlKQVBxaFkxQ2lOdG5ITW12S01yWnVpeEh2UTRsWUNPVTNkY21KU1hGWkdTdUVPTDMwZWwwcEthbXNuejVjdU9zN1hWWm52byswcy9hMDlOenQwYWprZnVJQ3ZIbk9GcFVWRFFnT1RtNXpwNlNXZlVGU1BXSDRkS2xTMXVjbloxMUdvMm1KZUFJVkgxZkNpRkVkUW9WUlRrRHJOWHI5Uy9XWlNBSmNkZG90VnJGZUsyaUVEV3A3MzFLUW9oN2pJU1NFTUtzU0NnSkljeUtoSklRd3F4SUtBa2h6SXFFa2hEQ3JFZ29DU0hNaW9TU0VNS3NTQ2dKSWN5S2hKSVF3cXhJS0FraHpJcUVraERDckVnb0NTSE1pb1NTRU1Lc1NDZ0pJY3lLaEpJUXdxeElLQWtoeklxRWtoRENyRWdvQ1NITWlvU1NFTUtzU0NnSkljeUtoSklRd3F4SUtBa2h6RXA5ZjBLdU1GUHU3dTROTEMwdGJZelQ5dmIydVFBRkJRV094bmxGUlVYRnYvNzZhMkZkbEUrWUw2a3BpVnJScUZHalNmYjI5cm5HSCtQODh2T2NuSnplcXNzeUN2TWtvU1JxaFVhajJhMG9TclZQeFAzL1padnZZcEZFUFNITk4xRnJ0RnJ0VDBDM2FoYW5KaVltdXQvTjhvajZRV3BLb2padHFXNkJvaWg3NzJaQlJQMGhvU1JxVTNSMUN4UkZDYitiQlJIMWh6VGZSSzN5OVBUOFZhUFJ0Szh3T3pNeE1kR2xUZ29reko3VWxFUnRDNnRpM2xkM3ZSU2kzcEJRRXJXcXRMVDB5eXBtUjk3MWdvaDZRNXB2b3JacFBEMDlMMmswbXBZQWlxSmtKeVVsTlFlcUhTNGc3bTlTVXhLMVRkRm9OQkhscHI5R0FrblVRRUpKM0ExZkdIOVJGR1ZIWFJaRW1EOEpKVkhyRWhNVER3QzVpcUlVRkJjWGYxN1g1UkhtemFxdUN5RHVDeVdLb253R3RFeE9UdGJYZFdHRWVic1hPcnF0dEZwdG9LSW9FNEVlR28zR3ZxNExKQ3BURkFXTjVsNzR1TjJUZElxaUpBTWJrNUtTTmdERmRWbVkrdjRwc2RKcXRaSEEwM1ZkRUNIdUJZcWl4Q1VsSlQxT0hRWlR2UTRsclZiN0FyQ3hZOGVPeko4L0gzZDNkeG8xYWxUWHhSS2lYc25QenljdExZMWx5NVp4OHVSSkZFVjVQU2twNmQyNktrKzk3dWorL3lZYjgrZlB4OVBUVXdKSmlOdmc0T0RBUXc4OXhCdHZ2QUdBUnFONXJpN0xVNjlEQ2VnQjRPNHVkOEFRNGs2MWFkUEcrR3ZudWl4SHZRNGxZNmUyMUpDRXVIUDI5dW81SXR1NkxFZTlEaVVoeEwxSFFra0lZVllrbElRUVprVkNTUWhoVmlTVWhCQm1SVUpKQ0dGV0pKU0VFR1pGUWtrSVlWWWtsT294dlY1UGRuWTJBTm5aMlNRa0pQRHJyNytxeTR1TGkwbEpTVUduMDkxeVc0OC8vamlQUC80NEdSa1p0MXgzMzc1OW5EMTc5cmJML1h2S1U1WHl4MXRSU2tvS0tTa3BHQXlHS3BjYkRBWktTa3FxTE12bHk1ZTVjdVhLYlpWSi9Qbmtma3IxMkpFalI1ZzVjeWFyVjY4bU96dWJCUXNXTUdMRUNONTY2eTBBRGh3NHdPelpzN0d4c1dIdjNyM3F5SGU5WHMvU3BVc0JXTEJnQVlENnBTei94VjIwYUJFQXMyZlBwa0dEQmdCRVJFVHcvdnZ2MDdGalI4TEN3ckMxdFdYRWlCRTFsdFBTMHBMUFB5Kzd0MXRCUVFIRGh3L0h3OE9EdFd2WFltRmhnVTZuSXlBZ2dLdFhyN0p3NFVLR0RCbFM1WGFpbzZOWnNtUUpZOGVPNVIvLytJZkpzb0NBQUFBT0hqeUluWjJkeWJJVEowNndlUEZpdW5idHFyNDN4dmNoT0RpWTFOUlVuSnljMkxsekp3NE9EalVlaTZoOUVrcjEySkVqUndCd2MzT3JzZ2F4WTBmWm5XZDc5ZXJGeFlzWEFXamV2RG0ydHJiczJyVUwrQzJVcW1KY1o4YU1HV29valI0OW1vaUlDTkxTMGxpK2ZEa0xGaXdnTXpPenhuSmFXUHhXSVkrTGkrUG16WnNtODFldlhzMzU4K2NCMkxoeEk3Nit2bGhabVg0MERRWUQ0ZUZsejY4Y09YSWtaODZjWWU3Y3VaWDI5Znp6ejV0TVIwVkY0ZXpzek5XclY0bU9qdWFoaHg1aXpKZ3hHQXdHRmk1Y1NHcHFLbzZPam1Sblp6Tjc5bXcrL1BCRGJHeHNhandlVWJ1aytWWlBLWXJDTjk5OFE0c1dMWGpzc2NmVWNJbU9qc2JMeTR1NHVEaU9IajBLd0hmZmZVZEFRQUFCQVFGczM3NzlqdlpyWjJmSG5EbHphTldxRlQxNjlPREtsU3ZNbVRPSFZhdFdjZmp3WVhXOW1KZ1lFaElTR0R0MkxNdVdMVlBuRy9kdnJBM3QzNytmclZ1MzBxeFpNNFlPSFVwS1NncnZ2bHY1cmhreE1UR2twNmN6Y3VSSVNrcEtPSERnQU9ucDZlcVBVZmw1eHZtdFdyVmkzcng1Mk5uWlVWeGNqRjZ2NTQwMzNtRFBuajAwYmRxVWlJZ0lPbmJzeU5HalI1a3laUXBYcjE2OW8vZEkzQm1wS2RWVDhmSHhYTGx5aGZidDI5T2pSdzl5Y25KSVQwL0h5Y21KdG0zYnNucjFhZ0FlZnZoaHVuYnR5dGF0VzdHeHNlR2hoeDY2NDMzMzc5K2ZQbjM2WUcxdFRYeDhQRXVYTHFWUG56NTRlWG1ackhmbzBDRzJiZHRHV2xvYWd3WU40c1NKRXlRbkp3TmxvWFRxMUNuMWRobno1czJqZS9mdS9QREREK3pjdVJON2UzdG16cHdKUUY1ZUhoOTk5QkdOR3pkbSt2VHB6Sm8xaStUa1pQYnQyMGZqeG8wQjFIMVgxWHd6N3E5Mzc5NWN1WEtGNE9CZ1VsSlNzTEN3WVBIaXhiUnUzWm9QUC95UUYxNTRnYVNrSko1OTlsbG16cHpKeUpFajcvaTlFbitjMUpUcXFmSTFubzBiTnpKeDRrUUErdmJ0eThTSkU5VmFncmUzTjlPblQwZFJGSnlkbmVuYnQ2L0pkZ1lPSE1qQWdRUFY2Y0RBd0VyempDSWlJaGc2ZENoRGh3N2xtV2VlQWFCbno1NjBiZHVXWThlT2tadWJhN0orU0VnSWdMcnVtalZyMUdYcDZlbE1tVElGblU1SFVGQVF2cjYrT0RrNThmYmJiMk5oWVVGNGVEaXpaczJpc0xDUUxWdTJjTzNhTlF3R0EwRkJRUncvZnB4bm5ubEdEYVNhYk5zaGQ2cnhBQUFhcjBsRVFWUzJEVzl2Yjd5OXZSazJiQmdaR1Jta3BLU2cwV2lZUDM4K3ZYdjNCc3B1MnhFU0VvS0xpd3U1dWJseTY5NDZKRFdsZWlnOVBaMXZ2LzIyMnVYTm16ZEhvOUdnS0FxWm1abHFKN2F6czNPbGRmUHo4MDJtYXpvenB0UHAxTDRyVzl1eXUxdG9OQnBHakJoQmFHZ29xYW1wNnJvWkdSbWtwYVhSdkhsekJnMGFSR3hzTE1lT0hWT1g3OXExaTl6Y1hIeDhmQWdNRE1SZ01HQmhZY0dERHo3STVNbVRXYnQyTGIvODhnczJOalo0ZUhnQVpUV212THc4SEIwZG1UeDVjcVdhR1pUVjRveVdMRmxDYVdrcGV2MXZ6eW9ZT0hBZ2p6NzZLS21wcVp3L2Z4NjlYcS8ySVdWbVpoSVNFc0ttVFp0NDhza25xMzBmUk8yU1VLcUhUcDQ4YVhMcWUrclVxV3AvVG5SME5OSFIwZnpqSC8vZ3ZmZmU0OHlaTTV3NWN3YUFMbDI2QUdYOVFna0pDU2JiTkg3QmQrellRWWNPSGFyYzc4U0pFNWs0Y1dLbE1QRDM5MmZzMkxGcVp6aVUxVHhpWW1JNGUvWXNscGFXbGZxeUFnSUNLQzR1NXB0dnZtSG8wS0ZFUlVYUnZuMTdoZzBicGg1VHMyYk5zTEN3b0ZldlhvU0hoN043OTI0MmI5N001TW1UY1hSMHBIMzc5alcrVHc0T0Rnd2ZQcHlBZ0FDVE1pOWJ0Z3d2THk5Q1EwTUpDQWdnUGo2ZThQQndUcDgramFlbkordlhyemZwbkJkM2w0UlNQZlRBQXcvUXBVc1hVbEpTcWwzSHo4K1B5TWhJVHA4K3paNDllNEN5czNCUUZtb0FEejc0WUkxZlBvUEJ3T25UcHdINHkxLytVbWw1UmtZR0w3LzhzanF0S0w4OStQYUZGMTR3MmJhZm54L1hyMS9ubDE5K0Fjck9HQzVldkZodFRsWXN4L0RodzNGeGNRSEEydHFhbXpkdnNuWHJWdHpkM1huMjJXY3BLaW9pS2lxcTJyTC9YcU5IajFacmgvMzc5K2UxMTE2VFFLcGpFa3Ixa1BGQkNVRkJRU2J6di8zMlcxNTk5VlcxRmpSMDZGQkNRa0w0K3V1dmFkcTBLWTg4OGdoUTFtOEUxWGNLR3hVV0ZxcnJWcXhaUWRtWXB1cUdBMXkrZk5sa3VsKy9mdmo0K0tqamlhQXN4SXFMeXg2YVVkTnArUFQwZEY1OTlWVktTMHU1ZlBreS9mdjM1OUZISHlVMk50YWthVlpSVldXdVNLZlQ0ZVhscFRZSFpSQmwzWk5RcW9jc0xDelVmcGFhREJzMlRPMXNIalJvRU5iVzFuOXFPWnlkblprd1lRTGp4NCtuY2VQRzZQVjZ2TDI5Z2JKVCtLMWF0YXJ4OWRuWjJXb3p0S1piR3R2WjJhbDlYNldscGJScTFZck9uVHNUR3hzTFVLa1pkKzdjT1pOYVczbkhqeDgzT2VXL1ljTUdIbjc0WVhWNjBxUkoyTm5aOGVhYmIvTGdndy9XV0g1Uk95U1U3aUZCUVVGcURTVXpNMU05M1E1bGZVMit2cjc0K1BqOEtmdlM2L1g0K2ZseCtmSmxIbjMwMGQ5MUpxeWk0OGVQQTlDaVJZc2FhMnd0V3JRZ05EUVVLS3U5WGJseVJhMWhBWldhY2Q3ZTN0WFdvS1pPblVwd2NMQTY3ZWJtcHY2dUtBcVhMMSt1c2ZZbGFwK0UwajNrM0xsejZ1K0JnWUVVRkJSZ1oyZkhRdzg5eE5HalI1a3hZd2J2dmZlZXVzNlNKVXV3dExRMDJjYktsU3ZWU3kxS1Mwc3I3Y040MnQvWWxPclRwdy9ObWpXN3JmSis5dGxuQUdydHFqcGJ0bXhoK2ZMbEp2UEtoNG1mbjUvSnN2S0JCWmlFek0yYk4yblNwSWw2ZGpJbEpVVnQxdTdmdngrOVhvKzF0VFdkT25YNjR3Y2svaFFTU3ZlQXhvMGI0K1RreEs1ZHU3QzN0eWN4TVpHWFhub0pLeXNybGk1ZGlxZW5KeE1tVENBbEpjWGt5N1o3OSs1SzI2cHBxQUZBVmxZV2xwYVcyTnZiTTJmT0hCNTc3TEhiS25Oc2JDdy8vUEFERmhZV1BQZGN6WThaYTl1MkxSWVdGcmk2dXVMbTVrYkhqaDNwMXEwYnI3LytPb0RKaU82cUdEdlhyYXlzZVBQTk4zbnl5U2VKaUlnZ1BUMmR5Wk1uVjFxL1Y2OWVjcWxKSFpKUXFzY2NIQnh3Y0hCZzhlTEZKdk8xV2kxanhveGgyTEJoNnFud2RldldzV0hEQnRxMWE4Zjc3Ny8vdTdaZlZGVEV2SG56VE9hNXVibnh6My8razRjZmZoaFhWMWVUWlJxTlJxM0IzS3IvcWwrL2Z2VG8wWU8rZmZ2eXdBTVAxTGh1cjE2OU9IRGdnRG8ycXFLS0hkb1ZtMjlkdTNiRjE5Y1hQejgvdGZtNllNRUNWcXhZUVU1T2p0ci9aRzF0VGVmT25aa3hZMGFONVJHMXExNFBXOVZxdFFyOHZyTXN3anprNU9RQTBLUkpFd29MQzJuWXNPRnRiK3Vycjc3Q1lERHd4Qk5QM0hLK29pZ3lTdnQzTVA0VFMweE1yTE0zUzJwSzRxNXEwcVNKK3Z1ZEJCSlFiZE94cXZrU1NQV0hqQklUUXBnVkNTVWhoRm1SVUJKQ21CVUpKU0dFV1pGUUVrS1lsZm9lU2pxb2ZFOGdJY1FmVis1ZVdvVjFXWTU2SFVxS29pUURwS1dsMVhWUmhLajNqSGQ4VUJUbDlwK2Y5U2VvMTZFRWJJU3ltM2FscEtSUVVGQlExK1VSb3Q3UjZYU2twcWFXdjc3d3pwNHVjWWZxKzRneWEwOVB6OTBhamViUnVpNklFUGVJbzBWRlJRT1NrNVByN0ZZSmxyZGV4YXdaTGwyNnRNWFoyVm1uMFdoYUFvN0FuM3ZUSUNIdWZZV0tvcHdCMXVyMStoZnJNcENFdUd1MFdxMWl2RlpSaUpyVTl6NGxJY1E5UmtKSkNHRldKSlNFRUdaRlFra0lZVllrbElRUVprVkNTUWhoVmlTVWhCQm1SVUpKQ0dGV0pKU0VFR1pGUWtrSVlWWWtsSVFRWmtWQ1NRaGhWaVNVaEJCbVJVSkpDR0ZXSkpTRUVHWkZRa2tJWVZZa2xJUVFaa1ZDU1FoaFZpU1VoQkJtUlVKSkNHRldKSlNFRUdaRlFra0lZVllrbElRUVpxVytQeUZYbUNsM2QvY0dscGFXTnNacGUzdjdYSUNDZ2dKSDQ3eWlvcUxpWDMvOXRiQXV5aWZNbDlTVVJLMW8xS2pSSkh0NysxempqM0YrK1hsT1RrNXYxV1VaaFhtU1VCSzFRcVBSN0ZZVXBkb240djcvc3MxM3NVaWlucERtbTZnMVdxMzJKNkJiTll0VEV4TVQzZTltZVVUOUlEVWxVWnUyVkxkQVVaUzlkN01nb3Y2UVVCSzFLYnE2QllxaWhOL05nb2o2UTVwdm9sWjVlbnIrcXRGbzJsZVluWm1ZbU9oU0p3VVNaazlxU3FLMmhWVXg3NnU3WGdwUmIwZ29pVnBWV2xyNlpSV3pJKzk2UVVTOUljMDNVZHMwbnA2ZWx6UWFUVXNBUlZHeWs1S1NtZ1BWRGhjUTl6ZXBLWW5hcG1nMG1vaHkwMThqZ1NScUlLRWs3b1l2akw4b2lyS2pMZ3NpekorRWtxaDFpWW1KQjRCY1JWRUtpb3VMUDYvcjhnanpabFhYQlJEM2hSSkZVVDREV2lZbkordnJ1akRDdk4wTEhkMVdXcTAyVUZHVWlVQVBqVVpqWDljRkVwVXBpb0pHY3k5ODNPNUpPa1ZSa29HTlNVbEpHNERpdWl4TWZmK1VXR20xMmtqZzZib3VpQkQzQWtWUjRwS1NraDZuRG9PcFhvZVNWcXQ5QWRqWXNXTkg1cytmajd1N080MGFOYXJyWWdsUnIrVG41NU9XbHNheVpjczRlZklraXFLOG5wU1U5RzVkbGFkZWQzVC9mNU9OK2ZQbjQrbnBLWUVreEcxd2NIRGdvWWNlNG8wMzNnQkFvOUU4VjVmbHFkZWhCUFFBY0hlWE8yQUljYWZhdEdsai9MVnpYWmFqWG9lU3NWTmJha2hDM0RsN2UvVWNrVzFkbHFOZWg1SVE0dDRqb1NTRU1Dc1NTa0lJc3lLaEpJUXdLeEpLUWdpeklxRWtoREFyRWtwQ0NMTWlvU1NFTUNzU1NuK0NHemR1Y1BIaXhVcnpEUVlESjArZTVNeVpNN2ZjUmtoSUNPSGgxVDkxS0RRMGxPM2J0OWU0alhQbnpoRVRFOE4zMzMxMzYwSlhRYS9YbzlmcktTMHR2YTNYQSt6WXNZT0lpQWd1WGJwVTQzcGZmZlVWdTNidFVxZmo0K001ZE9nUXVibTUxYjVtMzc1OW5EMTc5cmJMcHRQcC92QnIwdFBUaVlpSUlDa3A2YmIyYVRBWU1CZ002clNpS0NRa0pKQ1FrRUJ4Y1oxZWpDOXFnMWFyVmJSYXJWTFhQdnJvSStXUlJ4NVJ0bS9mYmpML3l5Ky9WTFJhcmZMMDAwOHJwYVdsbFY0WEZoYW1MRnUyVE5IcGRJcFdxMVVHRFJwVTdUNjBXcTN5NUpOUDFsaU8xMTkvWGRGcXRjb3p6enp6aDQ4aEtpcEtNYjZmWDMvOWRaWHJmUFRSUjhyVFR6OXQ4ck50MnpaMStSZGZmS0Z1WTlPbVRUWHViOGlRSVNaL08zOS9mMFdyMVNyNzl1MnJjdjNObXplcng2YlQ2UlJGVVpRbm4zeXl4cCtSSTBlcXI4L1B6MWQ4Zkh5VVNaTW1xWCtMZ29JQ1pkU29VWXFQajArMXgvelZWMThwV3ExVytlQ0REeFJGVVpSQmd3YXB4MWpWejdGanh5cTkzdHZiVzNuLy9mY1ZSVkdVa3BJU2RkMnJWNi9XK0I3VkJXUFo2dko3TFRkNXUwTjVlWGw4OXRsbjJOblpNWGp3WUx5OHZDcXRrNTZlVHMrZVBkWHA5dTNiRXhVVnhkYXRXOG5Nek9UdzRjUHF0dno4L0lDeTY1QXlNakpJVDA4bklTR2gwamFyMm85UldscGFsY3UvK09JTFhGd3FQMjd0eUpFakxGMjZWSjFldjM0OTN0N2U1Uzg3QU9EcTFhdWtwNmRYdWM5ejU4NnhiTmt5TEN3c2FOQ2dBYXRXcmFKTGx5NzA2dFZMWGVlNTU1N0R4Y1dGOTk5LzMrUzE1OCtmNTVkZmZzSEN3b0pISG5ta3l1MlBIajJhaUlnSTB0TFNXTDU4T1FzV0xDQXpNN1BhOXdEQXd1SzNoa0JjWEJ3M2I5NDBtYjk2OVdyT256OFB3TWFORy9IMTljWEs2dmQ5SmRxM04zMlVYV1ptSm5xOW5nWU5HcGpNMzdWckYwVkZSZXpldmJ0U0RYYkNoQWttWmJTeXNpSXlVaDcwSXFGMGg4TEN3aWdvS0dEV3JGazBiZG9VS0xzV2I5U29VVld1YjJ5aUhUMTZWUDFTR2Ivb0JvT2gyaTk5ZFZ4ZFhXLzVSYXBwbXpFeE1TeGF0SWppNG1MR2pSdkgrZlBuT1hUb0VGT25UbVhGaWhVNE9qcXE2MDZmUGgwWEZ4ZDY5T2pCNmRPbldibHlKVTVPVG1SbFpmSEtLNjlRVUZEQUN5KzhRTmV1WFprOWV6YXZ2dm9xeTVjdnAzZnYzZ0NjT1hPR29xS2lTbVg0L1BQUDFlUDM5ZlUxV2RhNGNXUDI3ZHVIblowZGMrYk00WjEzM3FGSGp4NWN1WEtGT1hQbTBMWnRXN3k4dlBEMjlsYVBwMVdyVml4YnRzemtINEd4NlR0a3lCQUE5dS9mejlhdFcybldyQmxhclphdnYvNmFkOTk5VjcxU0h1RFpaNS9seXBVcjZ1dGpZbUxVWlZGUlVaU1dsbUpwYVlsZXIyZlVxRkZjdVhJRkJ3Y0hkWjBUSjA0UUh4OFBRSFoyTnRuWjJTYkhaZ3hFby9JQmRUK1RVTG9EbHk1ZFl2UG16VHp3d0FPMGFkT0dTWk1tL2U3WFptWm00dUxpd3ZUcDB4a3laQWhlWGw3cUY5RElXR3VxeWJwMTYzQnhjU0VxS29ydnYvOGVIeDhmbm43YTlKNTNWZFdhQ2dvSytPQ0REOVIrblpFalIvTGFhNjlSV0ZqSUs2KzhRbUppSWtGQlFTeGR1cFF1WGJvQVpUV3c5ZXZYTTIzYU5LNWZ2dzZVMVo0bVRKakFoUXNYOFBIeFljcVVLVmhZV0RCdDJqUldybHpKdEduVG1EeDVNaE1tVEtpeS9EcWRqaDA3eXA0bDBMQmhRL1h1bE1aYWpaMmRuYnB1Ly83OTZkT25EOWJXMXNUSHg3TjA2Vkw2OU9sVDZmZ09IVHJFdG0zYlNFdExZOUNnUVp3NGNZTGs1R1NnTEpST25UcWxocys4ZWZQbzNyMDdQL3p3QXp0MzdzVGUzcDZaTTJjQ2NPM2FOZkx6OHdFb0xDeWtzTENReG8wYnEvdVpPSEVpcDArZnByUzBsTkxTVWhvMWFxVFdSSXVMaTNubm5YY0FXTE5talJyTXBhV2xhdTF4Nzk2OU5HdldyTXIzNVg0bW9YUUhqaDQ5U21GaElXZk9uR0hXckZucUZ5Z3ZMNi9HVG1zbzYraTF0clptelpvMXJGbXpSbjNkN3draVFLM210MnpaRW9QQlFHaG9LQmN1WEtCbHk1YVYxdDJ3WVFNQXpaczNSMUVVOXV6Wnc0b1ZLOVJhUUhCd01GT25Ua1dqMFdCcmE4dXFWYXQ0ODgwM2lZMk5KU2dvaVBIanh6Tmh3Z1N1WHIwS2dMT3pNMmxwYVFCY3VYS0ZDeGN1QUdWaFVMNTJBbVZmUXVQcnF2THBwNStxbmR1eHNiSFkydHFTbTV2TG9FR0Q2TkNoZzlweC9za25ud0JnYTJ2TGYvLzdYM3IyN0VuYnRtMDVkdXhZcGM3eGtKQVFBSjU1NWhrQTlmMkZzbHJqekprejBlbDBCQVVGcVRXenQ5OStteGt6WmhBZUhzNzU4K2Rac21RSisvYnRZOCtlUGN5Yk40L25uMytlbVRObk1uandZSFZiUGo0KzNMaHhBNENtVFpzeWVmSmtiR3hzZ0xLbTJLT1BQb3E5dmIwYVNPTDNrVkM2QXo0K1Bnd1pNb1RUcDArVGtaRkJjSEF3YTlhc3djWEZ4ZVNMVUpHam95UGp4NCt2MUNkU3NmbFdzZC9DYVB2MjdVUkUvUFlvdFpLU0VqVVk5dS9mejVFalI2cmQ5NUFoUTlTUWNuUjBKRGMzbDlEUVVFSkRReXV0MjdCaFEwcExTL24wMDAreHRiVlYrNWhhdG15cDFwVEdqeDlQZG5ZMkRnNE9mUC85OTVXMkVSZ1lTUC8rL2FzdHp4ZGZxRTlmNHVUSmszaDVlWEg4K0hIZ3QvdGs2WFE2dGVsamExdDJWdzJOUnNPSUVTTUlEUTBsTlRWVjNVWkdSZ1pwYVdrMGI5NmNRWU1HRVJzYnk3Rmp4OVRsdTNidElqYzNGeDhmSHdJREF6RVlERmhZV1BEZ2d3OHllZkprMXE1ZHl5Ky8vS0tHUzNuWHIxOVh6NlJWL09keC9mcDEzbjMzWFlLRGd4azVjaVM3ZCs5bTNicDFRUFg5ZjhPR0RhdHlmbFY5aVBjVENhVTcwTHg1YzZaTW1jSzRjZU5vMjdZdEFRRUJyRm16aG9zWEx6SjY5T2hxWC9mODg4OFRIUjF0TXUrUE5OOXljbktxN1NlNjFhbjQ0T0Jnamh3NWdyZTNONEdCZ1l3Yk53NG9DN2FzckN3QVdyZHVEWlIxdGsrYk5vM0l5RWdtVEpqQTZ0V3JBZmpuUC8vSnRXdlhBUGpIUC83QnhvMGJVUlNGS1ZPbUVCRVJ3WU1QUGtpL2Z2MzQ2YWVmYU4rK3ZVbS9WRVVMRml6Z3pUZmZKRHM3bTMzNzl1SGw1Y1grL2ZzQjBHcTFRRmt6YWVMRWlaVyszUDcrL293ZE85YWtjN2xObXpiRXhNUnc5dXhaTEMwdEt3MmpDQWdJb0xpNG1HKysrWWFoUTRjU0ZSVkYrL2J0MVlDWU9uVXF6Wm8xUTFFVWpoMDdwdllKZmZiWlo0U0hoNnY3cXU3OU45YmFIQndjcXYybkltb21vWFFIOUhvOXI3LytPbnE5bnI1OSszTG8wQ0dUNWRPblQyZkZpaFVzV3JTSUJRc1dxTk5HRlVPbmZQT3RwaSt5OFVzS3NIUG5UdjcxcjMvUnJsMDdJaU1qc2JhMkJtRHQycldFaElUZzRlSEJwazJiVEY1ZmZ0b1lqcW1wcWZqNys1dk1NM3JycmJjQTFHWlkrVEZaVjY5ZVpmMzY5Unc4ZUpBTkd6WVFFaExDNE1HRDZkZXZIM1BuemlVN081dHZ2LzIyMGxrcFJTazc2K3p0N1Uxa1pDU2pSbzBpT2pxYThlUEhzM2Z2WGpRYVRiVTFySXlNREY1KytlVksyd0o0NFlVWFREcU0vZno4dUg3OU9yLzg4Z3NBYm01dUxGNjhtTDU5K3dLVk81ZUhEeCtPaTRzTHVibTVUSjQ4V1oxZlZGU0VnNE1ER28yR29xSWkxcTlmejVFalIvajczLzhPd0lzdnZzaUpFeWZ3OFBBQVlNQ0FBUXdZTU9CM044ZWhyUE5jU0NqZGtldlhyNU9Ta2dMQXRtM2IrUG5ubjRHeXMyOTVlWGtNR0RDQUZTdFc4TVFUVDdCZ3dRSjEycWppZjl2eXpiZkdqUnZUcEVtVEd2ZWZtNXVyTmhNOVBEekl5OHZEeWNtSkN4Y3VxTTI3NTU5L3ZzclhlbnQ3bzlkWC9RaTJpalVTWTNQaXJiZmU0cTIzM3FLMHRCUzlYcytBQVFQVUp0N0preWY1NVpkZjZOS2xDeWRPbkNBN081dExseTd4OE1NUDA2QkJBN1haYytQR0RZS0NndFRtSDVUMXh6ejU1Sk5FUmtieTRvc3ZvdFBwNk51M2I1WERGNkNzVmxmZGNJRExseStiVFBmcjF3OGZIeDhDQWdMVWVZcWlxQU1YcTJxbVFkay9oVmF0V3RHa1NSTlNVbEx3OC9QajlkZGZWOC9lZmZIRkYwUkhSOU9uVHgrc3JLdzRjZUlFYm01dWVIcDZtbXpuajU1TkZSSktkNlJWcTFZRUJ3ZGpZMk9qaGtGeWNqTHQyclVqT1RsWjdXZzFmc21OMCtVWnh5eVZiNzdWTkFhcHZKeWNISHIyN01tK2Zmdll2WHMzZS9mdXBWKy9mcHc5ZXhhZFRrZnYzcjJyN2JkbzNicTFTU2hWMVh5cjZOVlhYK1hVcVZOa1pXWHg0b3N2WWpBWXNMVzFaZWpRb1lTRWhMQjM3MTY2ZE9uQ3p6Ly9yRFpEamFmcTQrTGkxRExuNXVaaVlXRmhNdEw1cFpkZUlqbzZtcXlzTERRYURYLzcyOStxUFc1bloyY21USmpBK1BIamFkeTRNWHE5dnRLUWdKcGtaMmVyKzY3cFZzb3hNVEZxUjdlZG5aMUpyV3JhdEduczM3K2ZPWFBtcUxYYUtWT21WTHV0bXZxSmV2YnNhZkplM085a1lNUWR1SGp4SXAwN2Q4YmEycHFVbEJRT0hqd0lRTmV1WFlIZmFpblRwazB6bWE1SitRK251N3U3dXEycXRHdlhqaVZMbGhBVEU4UEFnUU1wTFMxbC8vNzk2dmdYVjFkWGZ2MzExeXBmR3hVVlJYUjB0UHBqN0M4Q1RPYVhiOHBkdjM2ZDY5ZXYwN0ZqUi9YVXVKMmRIZTd1N3JpNnVySnYzejU2OWVyRnM4OCtxelpsQnd3WUFFRG56cDNWSnRtMmJkc3ExUUtQSERsQ1NVa0pVTmFKZmZMa3lTckxyZGZyOGZQelk4T0dEYmZzUDZ1T3NTTzlSWXNXSmtNTy9vaG16Wm94YTlZc3JsKy9UbnA2T2w1ZVhwWEdXSW5iSXpXbE81Q1FrTURDaFF0TjVybTR1S2hQaFhqNjZhY0pEdzhuT0RpWWxTdFhNbnIwNkZzT0ZmanJYLzhLbEozNWV1ZWRkN0MwdEZTL2ZNWXhQTm5aMlNRbko1T2Ftc3FwVTZkSVRFeFV6MDVaV2xyU3FWTW4vdmUvL3hFVkZVVlVWQlRkdW5YanFhZWU0b2tubnVER2pSdTg5TkpMbGZackRBU0FFU05HVkZyKzhjY2Y4OEVISHdCbFRadWZmdnBKL1Qwdkw0K1hYbm9KVjFkWE9uZnVUTy9ldlJrM2Jod3RXclNnZGV2V0ZCVVYwYUZEQno3OTlGTzF6OFhvOHVYTGZQamhoK3pkdTFkOS95NWV2TWc3Nzd4RFhGd2NMNy84TWoxNjlGQTdrRXRMUzdsOCtUSjkrdlM1N1RFK24zMzJHZkJiTGE0NnBhV2wxVjZMRngwZHpVY2ZmYVJPSnlRa01IdjJiSUtDZ3VqV3JWdWw5V3ZxVzVKYWtpa0pwVHZRcTFjdlhubmxGVHAxNnNTeFk4Y0lEdy9uaVNlZXFIYjlHVE5tQUZUcTlDMnZVYU5HV0ZwYU1ucjBhT2JObThjMzMzeWpkdVMyYU5FQ0tBdWxtVE5ubW5Ud3VycTZNbno0Y1B6OC9HamR1alUvLy93ellXRmg3TnUzajU5Ly9wbHo1ODR4Yk5pd0d2dGpqS3BhWGxKU1FwTW1UWGpoaFJmNDhjY2YxZmx1Ym00MTFoQjhmWDN4OS9kbnpwdzVsUUlKNE4xMzMrWEFnUU5BMmFVa3I3LytPdUhoNGF4ZXZacjQrSGcwR2cyclY2OG1LeXNMUzB0TDdPM3RtVE5uRG84OTlsaU54MUNkMk5oWWZ2amhCeXdzTEhqdXVab2ZielptekJqT25Uc0hWRzdtdmZYV1d4Z01Canc5UGZIMTlXWFZxbFhFeGNWeDl1eFp0bXpab3A1d01KSytwZDlQUXVrT3RHclZTcTNadEcvZm51enNiTWFQSDg5MzMzMUgxNjVkYWRteXBYcE4yZHExYTFtOGVER2VucDRNSHo0Y3FMcWY0Y01QUDhUQ3dnSXJLeXMrK2VRVFltTmpnYkorSHVPWkhuZDNkL3o5L2JsNTh5WWVIaDQ4OHNnamRPalF3V1E3M2JwMVkrblNwVnk4ZUpHSWlBamMzZDF4ZEhURTBkSHhqc2JCZE8vZW5aeWNIS3l0cmVuWXNTUGp4bzFUTy91cjg4QUREMVM3Yk9iTW1hU2xwVEY5K25RR0RSb0VsQTFiOFBMeVlzV0tGYno1NXB0b05CcmMzTno0NXovL3ljTVBQNHlycTZ2Sk5vekxnVXBoVUZHL2Z2M28wYU1IZmZ2MnJiRmNVRFlPcmJDd2tNNmRPNnVYRFZsYVdtSmhZVUZnWUNDV2xwWk1uandaS3lzcmV2YnN5YkpseTVnNmRhcEpHWXhEUXhZc1dGRHRmaFl2WGl5MXBYTHErMk83RmJoM0I1c3Bpb0tpS0dnMEdyWHBkaTh5SG1OdHlzbkpBYUJKa3lZVUZoYlNzR0hEV3QxZmZXVTh5WktZbUZobkh6aXBLWm14ZXoyTWpPN0dNWmJ2V0pkQU1tOXk5azBJWVZZa2xJUVFaa1ZDU1FoaFZpU1VoQkJtUlVKSkNHRlc2bnNvNlFEMTdvQkNpTnRYN21rdmhYVlpqbm9kU29xaUpBUHFYUkNGRUxmUE9KSmZVWlRiZjQ3Vm42QmVoeEt3RVdEWnNtV2twS1JRVUZCUTErVVJvdDdSNlhTa3BxYXlmUGx5NDZ5YUh6Qll5K3I3eUR4clQwL1AzUnFONXRHNkxvZ1E5NGlqUlVWRkE1S1RrNnUrMmRaZFlGbFhPLzZUR0M1ZHVyVEYyZGxacDlGb1dnS09RTTBYUHdraEtpcFVGT1VNc0ZhdjE3OVlsNEVraEJCQ0NDR0VFRUlJSVlRUVFnZ2hoQkJDQ0NHRUVFSUlJWVFRUWdnaGhCQkNDQ0dFRUVJSUlZUVFRZ2doaEJCQ0NDR0VFRUlJSVlRUVFnZ2hoQkJDQ0NHRUVFSUlJWVFRUWdnaGhCQkNDQ0dFRUVJSUlZUVE5Nm4vQTFqZTlEMzgzM3h1QUFBQUFFbEZUa1N1UW1DQyIsCgkiVGhlbWUiIDogIiIsCgkiVHlwZSIgOiAiZmxvdyIsCgkiVmVyc2lvbiIgOiAiMTk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118</Pages>
  <Words>3137</Words>
  <Characters>4094</Characters>
  <Lines>0</Lines>
  <Paragraphs>0</Paragraphs>
  <TotalTime>2</TotalTime>
  <ScaleCrop>false</ScaleCrop>
  <LinksUpToDate>false</LinksUpToDate>
  <CharactersWithSpaces>4688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2025-10-24T01:18:00Z</dcterms:created>
  <dc:creator>8.7</dc:creator>
  <cp:lastModifiedBy>8.7</cp:lastModifiedBy>
  <dcterms:modified xsi:type="dcterms:W3CDTF">2025-11-21T08:56:54Z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FC40EDED678648CD85B70C6708333E94_11</vt:lpwstr>
  </property>
  <property fmtid="{D5CDD505-2E9C-101B-9397-08002B2CF9AE}" pid="4" name="KSOTemplateDocerSaveRecord">
    <vt:lpwstr>eyJoZGlkIjoiYWRiNTRhNzljY2ExYjI3MzQ1ZWExMDRkNGU2NWZmZTIiLCJ1c2VySWQiOiIxMjMwNzkxNzcwIn0=</vt:lpwstr>
  </property>
</Properties>
</file>