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467B4">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outlineLvl w:val="9"/>
        <w:rPr>
          <w:rFonts w:hint="eastAsia" w:ascii="Times New Roman" w:cs="宋体"/>
          <w:b/>
          <w:bCs/>
          <w:color w:val="auto"/>
          <w:sz w:val="32"/>
          <w:szCs w:val="32"/>
        </w:rPr>
      </w:pPr>
      <w:r>
        <w:rPr>
          <w:rFonts w:hint="eastAsia" w:ascii="Times New Roman" w:cs="宋体"/>
          <w:b/>
          <w:bCs/>
          <w:color w:val="auto"/>
          <w:sz w:val="32"/>
          <w:szCs w:val="32"/>
        </w:rPr>
        <w:t>前言</w:t>
      </w:r>
    </w:p>
    <w:p w14:paraId="2C7FA4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随着我国法制化的日趋健全和完善，安全生产监督管理体系也逐步向科学化、规范化、制度化发展，安全评价作为现代先进安全生产管理模式的主要内容之一越来越受到重视。“安全第一、预防为主、综合治理”是我们党和国家始终不渝的安全生产方针，开展安全评价正是突出“安全第一”、体现“预防为主”的一项重要工作，是“安全第一、预防为主、综合治理”安全生产方针在企业安全生产中的具体体现。安全评价不仅能有效地提高企业和生产设备的本质安全程度，而且可以为各级安全生产监督管理部门的决策和监督检查提供有力的技术支撑。</w:t>
      </w:r>
    </w:p>
    <w:p w14:paraId="203BC920">
      <w:pPr>
        <w:keepNext w:val="0"/>
        <w:keepLines w:val="0"/>
        <w:pageBreakBefore w:val="0"/>
        <w:widowControl w:val="0"/>
        <w:kinsoku w:val="0"/>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hAnsi="宋体" w:cs="宋体"/>
          <w:color w:val="auto"/>
          <w:sz w:val="28"/>
          <w:szCs w:val="28"/>
          <w:lang w:val="en-US" w:eastAsia="zh-CN"/>
        </w:rPr>
        <w:t>玉溪正宇智能科技有限公司</w:t>
      </w:r>
      <w:r>
        <w:rPr>
          <w:rFonts w:hint="eastAsia" w:ascii="宋体" w:hAnsi="宋体" w:eastAsia="宋体" w:cs="宋体"/>
          <w:color w:val="auto"/>
          <w:sz w:val="28"/>
          <w:szCs w:val="28"/>
        </w:rPr>
        <w:t>成立于</w:t>
      </w:r>
      <w:r>
        <w:rPr>
          <w:rFonts w:hint="eastAsia" w:ascii="宋体" w:hAnsi="宋体" w:eastAsia="宋体" w:cs="宋体"/>
          <w:color w:val="auto"/>
          <w:sz w:val="28"/>
          <w:szCs w:val="28"/>
          <w:lang w:val="en-US" w:eastAsia="zh-CN"/>
        </w:rPr>
        <w:t>20</w:t>
      </w:r>
      <w:r>
        <w:rPr>
          <w:rFonts w:hint="eastAsia" w:hAnsi="宋体" w:cs="宋体"/>
          <w:color w:val="auto"/>
          <w:sz w:val="28"/>
          <w:szCs w:val="28"/>
          <w:lang w:val="en-US" w:eastAsia="zh-CN"/>
        </w:rPr>
        <w:t>19</w:t>
      </w:r>
      <w:r>
        <w:rPr>
          <w:rFonts w:hint="eastAsia" w:ascii="宋体" w:hAnsi="宋体" w:eastAsia="宋体" w:cs="宋体"/>
          <w:color w:val="auto"/>
          <w:sz w:val="28"/>
          <w:szCs w:val="28"/>
        </w:rPr>
        <w:t>年</w:t>
      </w:r>
      <w:r>
        <w:rPr>
          <w:rFonts w:hint="eastAsia" w:hAnsi="宋体" w:cs="宋体"/>
          <w:color w:val="auto"/>
          <w:sz w:val="28"/>
          <w:szCs w:val="28"/>
          <w:lang w:val="en-US" w:eastAsia="zh-CN"/>
        </w:rPr>
        <w:t>2</w:t>
      </w:r>
      <w:r>
        <w:rPr>
          <w:rFonts w:hint="eastAsia" w:ascii="宋体" w:hAnsi="宋体" w:eastAsia="宋体" w:cs="宋体"/>
          <w:color w:val="auto"/>
          <w:sz w:val="28"/>
          <w:szCs w:val="28"/>
        </w:rPr>
        <w:t>月</w:t>
      </w:r>
      <w:r>
        <w:rPr>
          <w:rFonts w:hint="eastAsia" w:hAnsi="宋体" w:cs="宋体"/>
          <w:color w:val="auto"/>
          <w:sz w:val="28"/>
          <w:szCs w:val="28"/>
          <w:lang w:val="en-US" w:eastAsia="zh-CN"/>
        </w:rPr>
        <w:t>20</w:t>
      </w:r>
      <w:r>
        <w:rPr>
          <w:rFonts w:hint="eastAsia" w:ascii="宋体" w:hAnsi="宋体" w:eastAsia="宋体" w:cs="宋体"/>
          <w:color w:val="auto"/>
          <w:sz w:val="28"/>
          <w:szCs w:val="28"/>
        </w:rPr>
        <w:t>日，</w:t>
      </w:r>
      <w:r>
        <w:rPr>
          <w:rFonts w:hint="eastAsia" w:ascii="宋体" w:hAnsi="宋体" w:eastAsia="宋体" w:cs="宋体"/>
          <w:color w:val="auto"/>
          <w:sz w:val="28"/>
          <w:szCs w:val="28"/>
          <w:lang w:val="en-US" w:eastAsia="zh-CN"/>
        </w:rPr>
        <w:t>注册资本100</w:t>
      </w:r>
      <w:r>
        <w:rPr>
          <w:rFonts w:hint="eastAsia" w:hAnsi="宋体" w:cs="宋体"/>
          <w:color w:val="auto"/>
          <w:sz w:val="28"/>
          <w:szCs w:val="28"/>
          <w:lang w:val="en-US" w:eastAsia="zh-CN"/>
        </w:rPr>
        <w:t>0</w:t>
      </w:r>
      <w:r>
        <w:rPr>
          <w:rFonts w:hint="eastAsia" w:ascii="宋体" w:hAnsi="宋体" w:eastAsia="宋体" w:cs="宋体"/>
          <w:color w:val="auto"/>
          <w:sz w:val="28"/>
          <w:szCs w:val="28"/>
          <w:lang w:val="en-US" w:eastAsia="zh-CN"/>
        </w:rPr>
        <w:t>万元，</w:t>
      </w:r>
      <w:r>
        <w:rPr>
          <w:rFonts w:hint="eastAsia" w:ascii="宋体" w:hAnsi="宋体" w:eastAsia="宋体" w:cs="宋体"/>
          <w:color w:val="auto"/>
          <w:sz w:val="28"/>
          <w:szCs w:val="28"/>
        </w:rPr>
        <w:t>是一家从事</w:t>
      </w:r>
      <w:r>
        <w:rPr>
          <w:rFonts w:hint="eastAsia" w:ascii="宋体" w:hAnsi="宋体" w:eastAsia="宋体" w:cs="宋体"/>
          <w:sz w:val="28"/>
          <w:szCs w:val="28"/>
          <w:lang w:val="en-US" w:eastAsia="zh-CN"/>
        </w:rPr>
        <w:t>机械设备、五金产品及电子产品、机电设备、厨房用具及日用杂品的销售；金属切削机床、教学用模型及教具、教学专用仪器的制造；电子与智能化工程；新能源技术的研究、开发、技术咨询、技术服务及技术转让；货物或技术进出口；工业自动化控制系统的设计、安装及调试；计算机自动化控制系统开发</w:t>
      </w:r>
      <w:r>
        <w:rPr>
          <w:rFonts w:hint="eastAsia" w:hAnsi="宋体" w:cs="宋体"/>
          <w:sz w:val="28"/>
          <w:szCs w:val="28"/>
          <w:lang w:val="en-US" w:eastAsia="zh-CN"/>
        </w:rPr>
        <w:t>的公司。</w:t>
      </w:r>
    </w:p>
    <w:p w14:paraId="6BC0965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根据《中华人民共和国安全生产法》等国家相关安全生产法律、法规的规定，并</w:t>
      </w:r>
      <w:r>
        <w:rPr>
          <w:rFonts w:hint="eastAsia" w:ascii="宋体" w:hAnsi="宋体" w:eastAsia="宋体" w:cs="宋体"/>
          <w:snapToGrid w:val="0"/>
          <w:color w:val="auto"/>
          <w:sz w:val="28"/>
          <w:szCs w:val="28"/>
        </w:rPr>
        <w:t>按照安全生产监督管理部门的要求，</w:t>
      </w:r>
      <w:r>
        <w:rPr>
          <w:rFonts w:hint="eastAsia" w:ascii="宋体" w:hAnsi="宋体" w:eastAsia="宋体" w:cs="宋体"/>
          <w:color w:val="auto"/>
          <w:sz w:val="28"/>
          <w:szCs w:val="28"/>
        </w:rPr>
        <w:t>该公司为</w:t>
      </w:r>
      <w:r>
        <w:rPr>
          <w:rFonts w:hint="eastAsia" w:ascii="宋体" w:hAnsi="宋体" w:eastAsia="宋体" w:cs="宋体"/>
          <w:snapToGrid w:val="0"/>
          <w:color w:val="auto"/>
          <w:sz w:val="28"/>
          <w:szCs w:val="28"/>
        </w:rPr>
        <w:t>了向安全生产监督管理部门提供安全监管依</w:t>
      </w:r>
      <w:r>
        <w:rPr>
          <w:rFonts w:hint="eastAsia" w:ascii="宋体" w:hAnsi="宋体" w:eastAsia="宋体" w:cs="宋体"/>
          <w:color w:val="auto"/>
          <w:sz w:val="28"/>
          <w:szCs w:val="28"/>
        </w:rPr>
        <w:t>据，特委</w:t>
      </w:r>
      <w:r>
        <w:rPr>
          <w:rFonts w:hint="eastAsia" w:ascii="宋体" w:hAnsi="宋体" w:eastAsia="宋体" w:cs="宋体"/>
          <w:color w:val="auto"/>
          <w:sz w:val="28"/>
          <w:szCs w:val="28"/>
          <w:highlight w:val="none"/>
        </w:rPr>
        <w:t>托</w:t>
      </w:r>
      <w:r>
        <w:rPr>
          <w:rFonts w:hint="eastAsia" w:ascii="宋体" w:hAnsi="宋体" w:eastAsia="宋体" w:cs="宋体"/>
          <w:color w:val="auto"/>
          <w:sz w:val="28"/>
          <w:szCs w:val="28"/>
          <w:highlight w:val="none"/>
          <w:lang w:eastAsia="zh-CN"/>
        </w:rPr>
        <w:t>昭通市鼎安科技有限公司</w:t>
      </w:r>
      <w:r>
        <w:rPr>
          <w:rFonts w:hint="eastAsia" w:ascii="宋体" w:hAnsi="宋体" w:eastAsia="宋体" w:cs="宋体"/>
          <w:color w:val="auto"/>
          <w:sz w:val="28"/>
          <w:szCs w:val="28"/>
        </w:rPr>
        <w:t>承担该企业</w:t>
      </w:r>
      <w:r>
        <w:rPr>
          <w:rFonts w:hint="eastAsia" w:ascii="宋体" w:hAnsi="宋体" w:eastAsia="宋体" w:cs="宋体"/>
          <w:color w:val="auto"/>
          <w:sz w:val="28"/>
          <w:szCs w:val="28"/>
          <w:lang w:val="en-US" w:eastAsia="zh-CN"/>
        </w:rPr>
        <w:t>机床制造</w:t>
      </w:r>
      <w:r>
        <w:rPr>
          <w:rFonts w:hint="eastAsia" w:ascii="宋体" w:hAnsi="宋体" w:eastAsia="宋体" w:cs="宋体"/>
          <w:color w:val="auto"/>
          <w:sz w:val="28"/>
          <w:szCs w:val="28"/>
        </w:rPr>
        <w:t>安全评价工作。</w:t>
      </w:r>
    </w:p>
    <w:p w14:paraId="1E6298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在接受</w:t>
      </w:r>
      <w:r>
        <w:rPr>
          <w:rFonts w:hint="eastAsia" w:hAnsi="宋体" w:cs="宋体"/>
          <w:color w:val="auto"/>
          <w:sz w:val="28"/>
          <w:szCs w:val="28"/>
          <w:lang w:val="en-US" w:eastAsia="zh-CN"/>
        </w:rPr>
        <w:t>玉溪正宇智能科技有限公司</w:t>
      </w:r>
      <w:r>
        <w:rPr>
          <w:rFonts w:hint="eastAsia" w:ascii="宋体" w:hAnsi="宋体" w:eastAsia="宋体" w:cs="宋体"/>
          <w:color w:val="auto"/>
          <w:sz w:val="28"/>
          <w:szCs w:val="28"/>
        </w:rPr>
        <w:t>的安全现状评价工作的委托之后，我公司立即组成安全评价组，组织评价人员投入到该项目的安全评价工作中。经过评价组现场的情况调查和资料调研，编写了本安全现状评价报告。</w:t>
      </w:r>
    </w:p>
    <w:p w14:paraId="7D18738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在本安全现状评价报告的编写过程中，得到</w:t>
      </w:r>
      <w:r>
        <w:rPr>
          <w:rFonts w:hint="eastAsia" w:ascii="宋体" w:hAnsi="宋体" w:eastAsia="宋体" w:cs="宋体"/>
          <w:color w:val="auto"/>
          <w:sz w:val="28"/>
          <w:szCs w:val="28"/>
          <w:lang w:val="en-US" w:eastAsia="zh-CN"/>
        </w:rPr>
        <w:t>红塔区应急管理局、</w:t>
      </w:r>
      <w:r>
        <w:rPr>
          <w:rFonts w:hint="eastAsia" w:hAnsi="宋体" w:cs="宋体"/>
          <w:color w:val="auto"/>
          <w:sz w:val="28"/>
          <w:szCs w:val="28"/>
          <w:lang w:val="en-US" w:eastAsia="zh-CN"/>
        </w:rPr>
        <w:t>玉溪正宇智能科技有限公司</w:t>
      </w:r>
      <w:r>
        <w:rPr>
          <w:rFonts w:hint="eastAsia" w:ascii="宋体" w:hAnsi="宋体" w:eastAsia="宋体" w:cs="宋体"/>
          <w:color w:val="auto"/>
          <w:sz w:val="28"/>
          <w:szCs w:val="28"/>
        </w:rPr>
        <w:t>有关领导和技术人员的大力支持，同时引用了一些专家学者的研究成果和技术资料，在此一并表示感谢</w:t>
      </w:r>
      <w:r>
        <w:rPr>
          <w:rFonts w:hint="eastAsia" w:ascii="宋体" w:hAnsi="宋体" w:eastAsia="宋体" w:cs="宋体"/>
          <w:color w:val="auto"/>
          <w:sz w:val="28"/>
          <w:szCs w:val="28"/>
          <w:lang w:eastAsia="zh-CN"/>
        </w:rPr>
        <w:t>！</w:t>
      </w:r>
    </w:p>
    <w:p w14:paraId="34A0BD83">
      <w:pPr>
        <w:bidi w:val="0"/>
        <w:rPr>
          <w:rFonts w:hint="eastAsia"/>
        </w:rPr>
        <w:sectPr>
          <w:headerReference r:id="rId3" w:type="default"/>
          <w:footerReference r:id="rId4" w:type="default"/>
          <w:pgSz w:w="11906" w:h="16838"/>
          <w:pgMar w:top="1417" w:right="1134" w:bottom="1134" w:left="1587" w:header="851" w:footer="992" w:gutter="0"/>
          <w:cols w:space="0" w:num="1"/>
          <w:rtlGutter w:val="0"/>
          <w:docGrid w:type="lines" w:linePitch="312" w:charSpace="0"/>
        </w:sectPr>
      </w:pPr>
    </w:p>
    <w:p w14:paraId="0570792E">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lang w:val="en-US" w:eastAsia="zh-CN"/>
        </w:rPr>
      </w:pPr>
      <w:bookmarkStart w:id="0" w:name="_Toc9553"/>
      <w:r>
        <w:rPr>
          <w:rFonts w:hint="eastAsia" w:ascii="宋体" w:hAnsi="宋体" w:eastAsia="宋体" w:cs="宋体"/>
          <w:b/>
          <w:bCs/>
          <w:lang w:val="en-US" w:eastAsia="zh-CN"/>
        </w:rPr>
        <w:t>评价人员及现场照片</w:t>
      </w:r>
    </w:p>
    <w:p w14:paraId="570DDF43">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bCs/>
          <w:lang w:val="en-US" w:eastAsia="zh-CN"/>
        </w:rPr>
      </w:pP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4"/>
        <w:gridCol w:w="4677"/>
      </w:tblGrid>
      <w:tr w14:paraId="12B5D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4" w:hRule="atLeast"/>
        </w:trPr>
        <w:tc>
          <w:tcPr>
            <w:tcW w:w="2512" w:type="pct"/>
            <w:vAlign w:val="top"/>
          </w:tcPr>
          <w:p w14:paraId="00338BA9">
            <w:pPr>
              <w:rPr>
                <w:rFonts w:hint="eastAsia" w:eastAsia="宋体"/>
                <w:vertAlign w:val="baseline"/>
                <w:lang w:eastAsia="zh-CN"/>
              </w:rPr>
            </w:pPr>
            <w:r>
              <w:rPr>
                <w:rFonts w:hint="eastAsia" w:eastAsia="宋体"/>
                <w:vertAlign w:val="baseline"/>
                <w:lang w:eastAsia="zh-CN"/>
              </w:rPr>
              <w:drawing>
                <wp:inline distT="0" distB="0" distL="114300" distR="114300">
                  <wp:extent cx="2853055" cy="2139950"/>
                  <wp:effectExtent l="0" t="0" r="4445" b="6350"/>
                  <wp:docPr id="1" name="图片 1" descr="正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正宇1"/>
                          <pic:cNvPicPr>
                            <a:picLocks noChangeAspect="1"/>
                          </pic:cNvPicPr>
                        </pic:nvPicPr>
                        <pic:blipFill>
                          <a:blip r:embed="rId7"/>
                          <a:stretch>
                            <a:fillRect/>
                          </a:stretch>
                        </pic:blipFill>
                        <pic:spPr>
                          <a:xfrm>
                            <a:off x="0" y="0"/>
                            <a:ext cx="2853055" cy="2139950"/>
                          </a:xfrm>
                          <a:prstGeom prst="rect">
                            <a:avLst/>
                          </a:prstGeom>
                        </pic:spPr>
                      </pic:pic>
                    </a:graphicData>
                  </a:graphic>
                </wp:inline>
              </w:drawing>
            </w:r>
          </w:p>
        </w:tc>
        <w:tc>
          <w:tcPr>
            <w:tcW w:w="2487" w:type="pct"/>
            <w:vAlign w:val="center"/>
          </w:tcPr>
          <w:p w14:paraId="5ED09B87">
            <w:pPr>
              <w:rPr>
                <w:rFonts w:hint="eastAsia" w:eastAsia="宋体"/>
                <w:vertAlign w:val="baseline"/>
                <w:lang w:eastAsia="zh-CN"/>
              </w:rPr>
            </w:pPr>
            <w:r>
              <w:rPr>
                <w:rFonts w:hint="eastAsia" w:eastAsia="宋体"/>
                <w:vertAlign w:val="baseline"/>
                <w:lang w:eastAsia="zh-CN"/>
              </w:rPr>
              <w:drawing>
                <wp:inline distT="0" distB="0" distL="114300" distR="114300">
                  <wp:extent cx="2830830" cy="2123440"/>
                  <wp:effectExtent l="0" t="0" r="1270" b="10160"/>
                  <wp:docPr id="7" name="图片 7" descr="1e93b8092ce9af4f80ddcdc88bb13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e93b8092ce9af4f80ddcdc88bb132f"/>
                          <pic:cNvPicPr>
                            <a:picLocks noChangeAspect="1"/>
                          </pic:cNvPicPr>
                        </pic:nvPicPr>
                        <pic:blipFill>
                          <a:blip r:embed="rId8"/>
                          <a:stretch>
                            <a:fillRect/>
                          </a:stretch>
                        </pic:blipFill>
                        <pic:spPr>
                          <a:xfrm>
                            <a:off x="0" y="0"/>
                            <a:ext cx="2830830" cy="2123440"/>
                          </a:xfrm>
                          <a:prstGeom prst="rect">
                            <a:avLst/>
                          </a:prstGeom>
                        </pic:spPr>
                      </pic:pic>
                    </a:graphicData>
                  </a:graphic>
                </wp:inline>
              </w:drawing>
            </w:r>
          </w:p>
        </w:tc>
      </w:tr>
      <w:tr w14:paraId="31B36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12" w:type="pct"/>
            <w:shd w:val="clear" w:color="auto" w:fill="auto"/>
            <w:vAlign w:val="top"/>
          </w:tcPr>
          <w:p w14:paraId="2BCE41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default" w:ascii="宋体" w:hAnsi="宋体" w:cs="宋体"/>
                <w:sz w:val="24"/>
                <w:szCs w:val="24"/>
                <w:vertAlign w:val="baseline"/>
                <w:lang w:val="en-US" w:eastAsia="zh-CN"/>
              </w:rPr>
              <w:t>评价师现场踏勘照片（</w:t>
            </w:r>
            <w:r>
              <w:rPr>
                <w:rFonts w:hint="eastAsia" w:ascii="宋体" w:hAnsi="宋体" w:cs="宋体"/>
                <w:sz w:val="24"/>
                <w:szCs w:val="24"/>
                <w:vertAlign w:val="baseline"/>
                <w:lang w:val="en-US" w:eastAsia="zh-CN"/>
              </w:rPr>
              <w:t>左</w:t>
            </w:r>
            <w:r>
              <w:rPr>
                <w:rFonts w:hint="default" w:ascii="宋体" w:hAnsi="宋体" w:cs="宋体"/>
                <w:sz w:val="24"/>
                <w:szCs w:val="24"/>
                <w:vertAlign w:val="baseline"/>
                <w:lang w:val="en-US" w:eastAsia="zh-CN"/>
              </w:rPr>
              <w:t>边李毅雄）</w:t>
            </w:r>
          </w:p>
        </w:tc>
        <w:tc>
          <w:tcPr>
            <w:tcW w:w="2487" w:type="pct"/>
            <w:shd w:val="clear" w:color="auto" w:fill="auto"/>
            <w:vAlign w:val="top"/>
          </w:tcPr>
          <w:p w14:paraId="222DA1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cs="宋体"/>
                <w:color w:val="auto"/>
                <w:sz w:val="24"/>
                <w:szCs w:val="24"/>
                <w:vertAlign w:val="baseline"/>
                <w:lang w:val="en-US" w:eastAsia="zh-CN"/>
              </w:rPr>
              <w:t>评价师现场踏勘照片（左边周忠菊）</w:t>
            </w:r>
          </w:p>
        </w:tc>
      </w:tr>
      <w:tr w14:paraId="0BCFD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4" w:hRule="atLeast"/>
        </w:trPr>
        <w:tc>
          <w:tcPr>
            <w:tcW w:w="2512" w:type="pct"/>
          </w:tcPr>
          <w:p w14:paraId="5307B63C">
            <w:pPr>
              <w:rPr>
                <w:rFonts w:hint="eastAsia" w:eastAsia="宋体"/>
                <w:vertAlign w:val="baseline"/>
                <w:lang w:eastAsia="zh-CN"/>
              </w:rPr>
            </w:pPr>
            <w:r>
              <w:rPr>
                <w:rFonts w:hint="eastAsia" w:eastAsia="宋体"/>
                <w:vertAlign w:val="baseline"/>
                <w:lang w:eastAsia="zh-CN"/>
              </w:rPr>
              <w:drawing>
                <wp:inline distT="0" distB="0" distL="114300" distR="114300">
                  <wp:extent cx="2854960" cy="2138680"/>
                  <wp:effectExtent l="0" t="0" r="2540" b="7620"/>
                  <wp:docPr id="5" name="图片 5" descr="P20241029-160258"/>
                  <wp:cNvGraphicFramePr/>
                  <a:graphic xmlns:a="http://schemas.openxmlformats.org/drawingml/2006/main">
                    <a:graphicData uri="http://schemas.openxmlformats.org/drawingml/2006/picture">
                      <pic:pic xmlns:pic="http://schemas.openxmlformats.org/drawingml/2006/picture">
                        <pic:nvPicPr>
                          <pic:cNvPr id="5" name="图片 5" descr="P20241029-160258"/>
                          <pic:cNvPicPr/>
                        </pic:nvPicPr>
                        <pic:blipFill>
                          <a:blip r:embed="rId9"/>
                          <a:srcRect b="5641"/>
                          <a:stretch>
                            <a:fillRect/>
                          </a:stretch>
                        </pic:blipFill>
                        <pic:spPr>
                          <a:xfrm>
                            <a:off x="0" y="0"/>
                            <a:ext cx="2854960" cy="2138680"/>
                          </a:xfrm>
                          <a:prstGeom prst="rect">
                            <a:avLst/>
                          </a:prstGeom>
                        </pic:spPr>
                      </pic:pic>
                    </a:graphicData>
                  </a:graphic>
                </wp:inline>
              </w:drawing>
            </w:r>
          </w:p>
        </w:tc>
        <w:tc>
          <w:tcPr>
            <w:tcW w:w="2487" w:type="pct"/>
          </w:tcPr>
          <w:p w14:paraId="2695964C">
            <w:pPr>
              <w:rPr>
                <w:rFonts w:hint="eastAsia" w:eastAsia="宋体"/>
                <w:vertAlign w:val="baseline"/>
                <w:lang w:eastAsia="zh-CN"/>
              </w:rPr>
            </w:pPr>
            <w:r>
              <w:rPr>
                <w:rFonts w:hint="eastAsia" w:eastAsia="宋体"/>
                <w:vertAlign w:val="baseline"/>
                <w:lang w:eastAsia="zh-CN"/>
              </w:rPr>
              <w:drawing>
                <wp:inline distT="0" distB="0" distL="114300" distR="114300">
                  <wp:extent cx="2854960" cy="2138680"/>
                  <wp:effectExtent l="0" t="0" r="2540" b="7620"/>
                  <wp:docPr id="6" name="图片 6" descr="P20241029-160150"/>
                  <wp:cNvGraphicFramePr/>
                  <a:graphic xmlns:a="http://schemas.openxmlformats.org/drawingml/2006/main">
                    <a:graphicData uri="http://schemas.openxmlformats.org/drawingml/2006/picture">
                      <pic:pic xmlns:pic="http://schemas.openxmlformats.org/drawingml/2006/picture">
                        <pic:nvPicPr>
                          <pic:cNvPr id="6" name="图片 6" descr="P20241029-160150"/>
                          <pic:cNvPicPr/>
                        </pic:nvPicPr>
                        <pic:blipFill>
                          <a:blip r:embed="rId10"/>
                          <a:srcRect b="7156"/>
                          <a:stretch>
                            <a:fillRect/>
                          </a:stretch>
                        </pic:blipFill>
                        <pic:spPr>
                          <a:xfrm>
                            <a:off x="0" y="0"/>
                            <a:ext cx="2854960" cy="2138680"/>
                          </a:xfrm>
                          <a:prstGeom prst="rect">
                            <a:avLst/>
                          </a:prstGeom>
                        </pic:spPr>
                      </pic:pic>
                    </a:graphicData>
                  </a:graphic>
                </wp:inline>
              </w:drawing>
            </w:r>
          </w:p>
        </w:tc>
      </w:tr>
      <w:tr w14:paraId="4BEE5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512" w:type="pct"/>
            <w:shd w:val="clear" w:color="auto" w:fill="auto"/>
            <w:vAlign w:val="top"/>
          </w:tcPr>
          <w:p w14:paraId="51E479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hAnsi="宋体" w:cs="宋体"/>
                <w:kern w:val="2"/>
                <w:sz w:val="24"/>
                <w:szCs w:val="24"/>
                <w:vertAlign w:val="baseline"/>
                <w:lang w:val="en-US" w:eastAsia="zh-CN" w:bidi="ar-SA"/>
              </w:rPr>
              <w:t>厂房内起重机械</w:t>
            </w:r>
          </w:p>
        </w:tc>
        <w:tc>
          <w:tcPr>
            <w:tcW w:w="2487" w:type="pct"/>
            <w:shd w:val="clear" w:color="auto" w:fill="auto"/>
            <w:vAlign w:val="top"/>
          </w:tcPr>
          <w:p w14:paraId="657D06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hAnsi="宋体" w:cs="宋体"/>
                <w:kern w:val="2"/>
                <w:sz w:val="24"/>
                <w:szCs w:val="24"/>
                <w:vertAlign w:val="baseline"/>
                <w:lang w:val="en-US" w:eastAsia="zh-CN" w:bidi="ar-SA"/>
              </w:rPr>
              <w:t>厂房出口</w:t>
            </w:r>
          </w:p>
        </w:tc>
      </w:tr>
      <w:tr w14:paraId="39CA5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4" w:hRule="atLeast"/>
        </w:trPr>
        <w:tc>
          <w:tcPr>
            <w:tcW w:w="2512" w:type="pct"/>
          </w:tcPr>
          <w:p w14:paraId="0050F946">
            <w:pPr>
              <w:rPr>
                <w:rFonts w:hint="eastAsia" w:eastAsia="宋体"/>
                <w:vertAlign w:val="baseline"/>
                <w:lang w:eastAsia="zh-CN"/>
              </w:rPr>
            </w:pPr>
            <w:r>
              <w:rPr>
                <w:rFonts w:hint="eastAsia" w:eastAsia="宋体"/>
                <w:vertAlign w:val="baseline"/>
                <w:lang w:eastAsia="zh-CN"/>
              </w:rPr>
              <w:drawing>
                <wp:inline distT="0" distB="0" distL="114300" distR="114300">
                  <wp:extent cx="2854960" cy="2138680"/>
                  <wp:effectExtent l="0" t="0" r="2540" b="7620"/>
                  <wp:docPr id="8" name="图片 8" descr="P20241029-160045"/>
                  <wp:cNvGraphicFramePr/>
                  <a:graphic xmlns:a="http://schemas.openxmlformats.org/drawingml/2006/main">
                    <a:graphicData uri="http://schemas.openxmlformats.org/drawingml/2006/picture">
                      <pic:pic xmlns:pic="http://schemas.openxmlformats.org/drawingml/2006/picture">
                        <pic:nvPicPr>
                          <pic:cNvPr id="8" name="图片 8" descr="P20241029-160045"/>
                          <pic:cNvPicPr/>
                        </pic:nvPicPr>
                        <pic:blipFill>
                          <a:blip r:embed="rId11"/>
                          <a:stretch>
                            <a:fillRect/>
                          </a:stretch>
                        </pic:blipFill>
                        <pic:spPr>
                          <a:xfrm>
                            <a:off x="0" y="0"/>
                            <a:ext cx="2854960" cy="2138680"/>
                          </a:xfrm>
                          <a:prstGeom prst="rect">
                            <a:avLst/>
                          </a:prstGeom>
                        </pic:spPr>
                      </pic:pic>
                    </a:graphicData>
                  </a:graphic>
                </wp:inline>
              </w:drawing>
            </w:r>
          </w:p>
        </w:tc>
        <w:tc>
          <w:tcPr>
            <w:tcW w:w="2487" w:type="pct"/>
          </w:tcPr>
          <w:p w14:paraId="5B710FA2">
            <w:pPr>
              <w:rPr>
                <w:rFonts w:hint="eastAsia" w:eastAsia="宋体"/>
                <w:vertAlign w:val="baseline"/>
                <w:lang w:eastAsia="zh-CN"/>
              </w:rPr>
            </w:pPr>
            <w:r>
              <w:rPr>
                <w:rFonts w:hint="eastAsia" w:eastAsia="宋体"/>
                <w:vertAlign w:val="baseline"/>
                <w:lang w:eastAsia="zh-CN"/>
              </w:rPr>
              <w:drawing>
                <wp:inline distT="0" distB="0" distL="114300" distR="114300">
                  <wp:extent cx="2854960" cy="2138680"/>
                  <wp:effectExtent l="0" t="0" r="2540" b="7620"/>
                  <wp:docPr id="10" name="图片 10" descr="P20241029-160043"/>
                  <wp:cNvGraphicFramePr/>
                  <a:graphic xmlns:a="http://schemas.openxmlformats.org/drawingml/2006/main">
                    <a:graphicData uri="http://schemas.openxmlformats.org/drawingml/2006/picture">
                      <pic:pic xmlns:pic="http://schemas.openxmlformats.org/drawingml/2006/picture">
                        <pic:nvPicPr>
                          <pic:cNvPr id="10" name="图片 10" descr="P20241029-160043"/>
                          <pic:cNvPicPr/>
                        </pic:nvPicPr>
                        <pic:blipFill>
                          <a:blip r:embed="rId12"/>
                          <a:srcRect b="6944"/>
                          <a:stretch>
                            <a:fillRect/>
                          </a:stretch>
                        </pic:blipFill>
                        <pic:spPr>
                          <a:xfrm>
                            <a:off x="0" y="0"/>
                            <a:ext cx="2854960" cy="2138680"/>
                          </a:xfrm>
                          <a:prstGeom prst="rect">
                            <a:avLst/>
                          </a:prstGeom>
                        </pic:spPr>
                      </pic:pic>
                    </a:graphicData>
                  </a:graphic>
                </wp:inline>
              </w:drawing>
            </w:r>
          </w:p>
        </w:tc>
      </w:tr>
      <w:tr w14:paraId="327DB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512" w:type="pct"/>
            <w:shd w:val="clear" w:color="auto" w:fill="auto"/>
            <w:vAlign w:val="top"/>
          </w:tcPr>
          <w:p w14:paraId="5109B0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cs="宋体"/>
                <w:kern w:val="2"/>
                <w:sz w:val="24"/>
                <w:szCs w:val="24"/>
                <w:vertAlign w:val="baseline"/>
                <w:lang w:val="en-US" w:eastAsia="zh-CN" w:bidi="ar-SA"/>
              </w:rPr>
              <w:t>厂房内</w:t>
            </w:r>
            <w:r>
              <w:rPr>
                <w:rFonts w:hint="eastAsia" w:hAnsi="宋体" w:cs="宋体"/>
                <w:kern w:val="2"/>
                <w:sz w:val="24"/>
                <w:szCs w:val="24"/>
                <w:vertAlign w:val="baseline"/>
                <w:lang w:val="en-US" w:eastAsia="zh-CN" w:bidi="ar-SA"/>
              </w:rPr>
              <w:t>办公区</w:t>
            </w:r>
          </w:p>
        </w:tc>
        <w:tc>
          <w:tcPr>
            <w:tcW w:w="2487" w:type="pct"/>
            <w:shd w:val="clear" w:color="auto" w:fill="auto"/>
            <w:vAlign w:val="top"/>
          </w:tcPr>
          <w:p w14:paraId="0BA53F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cs="宋体"/>
                <w:kern w:val="2"/>
                <w:sz w:val="24"/>
                <w:szCs w:val="24"/>
                <w:vertAlign w:val="baseline"/>
                <w:lang w:val="en-US" w:eastAsia="zh-CN" w:bidi="ar-SA"/>
              </w:rPr>
              <w:t>厂房内</w:t>
            </w:r>
            <w:r>
              <w:rPr>
                <w:rFonts w:hint="eastAsia" w:hAnsi="宋体" w:cs="宋体"/>
                <w:kern w:val="2"/>
                <w:sz w:val="24"/>
                <w:szCs w:val="24"/>
                <w:vertAlign w:val="baseline"/>
                <w:lang w:val="en-US" w:eastAsia="zh-CN" w:bidi="ar-SA"/>
              </w:rPr>
              <w:t>仓库</w:t>
            </w:r>
          </w:p>
        </w:tc>
      </w:tr>
      <w:tr w14:paraId="55387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3" w:hRule="atLeast"/>
        </w:trPr>
        <w:tc>
          <w:tcPr>
            <w:tcW w:w="2512" w:type="pct"/>
          </w:tcPr>
          <w:p w14:paraId="2728300A">
            <w:pPr>
              <w:rPr>
                <w:rFonts w:hint="eastAsia" w:eastAsia="宋体"/>
                <w:vertAlign w:val="baseline"/>
                <w:lang w:eastAsia="zh-CN"/>
              </w:rPr>
            </w:pPr>
            <w:r>
              <w:rPr>
                <w:rFonts w:ascii="华文中宋" w:hAnsi="华文中宋" w:eastAsia="华文中宋"/>
                <w:b/>
                <w:bCs/>
                <w:sz w:val="52"/>
                <w:szCs w:val="52"/>
              </w:rPr>
              <w:drawing>
                <wp:inline distT="0" distB="0" distL="114300" distR="114300">
                  <wp:extent cx="2854960" cy="2138680"/>
                  <wp:effectExtent l="0" t="0" r="2540" b="7620"/>
                  <wp:docPr id="13" name="图片 46"/>
                  <wp:cNvGraphicFramePr/>
                  <a:graphic xmlns:a="http://schemas.openxmlformats.org/drawingml/2006/main">
                    <a:graphicData uri="http://schemas.openxmlformats.org/drawingml/2006/picture">
                      <pic:pic xmlns:pic="http://schemas.openxmlformats.org/drawingml/2006/picture">
                        <pic:nvPicPr>
                          <pic:cNvPr id="13" name="图片 46"/>
                          <pic:cNvPicPr>
                            <a:picLocks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854960" cy="2138680"/>
                          </a:xfrm>
                          <a:prstGeom prst="rect">
                            <a:avLst/>
                          </a:prstGeom>
                          <a:noFill/>
                          <a:ln>
                            <a:noFill/>
                          </a:ln>
                        </pic:spPr>
                      </pic:pic>
                    </a:graphicData>
                  </a:graphic>
                </wp:inline>
              </w:drawing>
            </w:r>
          </w:p>
        </w:tc>
        <w:tc>
          <w:tcPr>
            <w:tcW w:w="2487" w:type="pct"/>
          </w:tcPr>
          <w:p w14:paraId="4701C96F">
            <w:pPr>
              <w:rPr>
                <w:rFonts w:hint="eastAsia" w:eastAsia="宋体"/>
                <w:vertAlign w:val="baseline"/>
                <w:lang w:eastAsia="zh-CN"/>
              </w:rPr>
            </w:pPr>
            <w:r>
              <w:rPr>
                <w:rFonts w:hint="eastAsia" w:ascii="华文中宋" w:hAnsi="华文中宋" w:eastAsia="华文中宋"/>
                <w:b/>
                <w:bCs/>
                <w:sz w:val="52"/>
                <w:szCs w:val="52"/>
              </w:rPr>
              <w:drawing>
                <wp:inline distT="0" distB="0" distL="114300" distR="114300">
                  <wp:extent cx="2854960" cy="2138680"/>
                  <wp:effectExtent l="0" t="0" r="2540" b="7620"/>
                  <wp:docPr id="16677628" name="图片 47"/>
                  <wp:cNvGraphicFramePr/>
                  <a:graphic xmlns:a="http://schemas.openxmlformats.org/drawingml/2006/main">
                    <a:graphicData uri="http://schemas.openxmlformats.org/drawingml/2006/picture">
                      <pic:pic xmlns:pic="http://schemas.openxmlformats.org/drawingml/2006/picture">
                        <pic:nvPicPr>
                          <pic:cNvPr id="16677628" name="图片 47"/>
                          <pic:cNvPicPr>
                            <a:picLocks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854960" cy="2138680"/>
                          </a:xfrm>
                          <a:prstGeom prst="rect">
                            <a:avLst/>
                          </a:prstGeom>
                          <a:noFill/>
                          <a:ln>
                            <a:noFill/>
                          </a:ln>
                        </pic:spPr>
                      </pic:pic>
                    </a:graphicData>
                  </a:graphic>
                </wp:inline>
              </w:drawing>
            </w:r>
          </w:p>
        </w:tc>
      </w:tr>
      <w:tr w14:paraId="2419D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12" w:type="pct"/>
            <w:shd w:val="clear" w:color="auto" w:fill="auto"/>
            <w:vAlign w:val="top"/>
          </w:tcPr>
          <w:p w14:paraId="2230B7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hAnsi="宋体" w:cs="宋体"/>
                <w:kern w:val="2"/>
                <w:sz w:val="24"/>
                <w:szCs w:val="24"/>
                <w:vertAlign w:val="baseline"/>
                <w:lang w:val="en-US" w:eastAsia="zh-CN" w:bidi="ar-SA"/>
              </w:rPr>
              <w:t>装配区</w:t>
            </w:r>
          </w:p>
        </w:tc>
        <w:tc>
          <w:tcPr>
            <w:tcW w:w="2487" w:type="pct"/>
            <w:shd w:val="clear" w:color="auto" w:fill="auto"/>
            <w:vAlign w:val="top"/>
          </w:tcPr>
          <w:p w14:paraId="0768C5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hAnsi="宋体" w:cs="宋体"/>
                <w:kern w:val="2"/>
                <w:sz w:val="24"/>
                <w:szCs w:val="24"/>
                <w:vertAlign w:val="baseline"/>
                <w:lang w:val="en-US" w:eastAsia="zh-CN" w:bidi="ar-SA"/>
              </w:rPr>
              <w:t>装配区</w:t>
            </w:r>
          </w:p>
        </w:tc>
      </w:tr>
      <w:tr w14:paraId="5F948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3" w:hRule="atLeast"/>
        </w:trPr>
        <w:tc>
          <w:tcPr>
            <w:tcW w:w="2512" w:type="pct"/>
          </w:tcPr>
          <w:p w14:paraId="3BFACCB8">
            <w:pPr>
              <w:rPr>
                <w:rFonts w:hint="eastAsia" w:eastAsia="宋体"/>
                <w:vertAlign w:val="baseline"/>
                <w:lang w:eastAsia="zh-CN"/>
              </w:rPr>
            </w:pPr>
            <w:r>
              <w:rPr>
                <w:rFonts w:hint="eastAsia" w:ascii="华文中宋" w:hAnsi="华文中宋" w:eastAsia="华文中宋"/>
                <w:b/>
                <w:bCs/>
                <w:sz w:val="52"/>
                <w:szCs w:val="52"/>
              </w:rPr>
              <w:drawing>
                <wp:inline distT="0" distB="0" distL="114300" distR="114300">
                  <wp:extent cx="2854960" cy="2138680"/>
                  <wp:effectExtent l="0" t="0" r="2540" b="7620"/>
                  <wp:docPr id="354481868" name="图片 39"/>
                  <wp:cNvGraphicFramePr/>
                  <a:graphic xmlns:a="http://schemas.openxmlformats.org/drawingml/2006/main">
                    <a:graphicData uri="http://schemas.openxmlformats.org/drawingml/2006/picture">
                      <pic:pic xmlns:pic="http://schemas.openxmlformats.org/drawingml/2006/picture">
                        <pic:nvPicPr>
                          <pic:cNvPr id="354481868" name="图片 39"/>
                          <pic:cNvPicPr>
                            <a:picLocks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854960" cy="2138680"/>
                          </a:xfrm>
                          <a:prstGeom prst="rect">
                            <a:avLst/>
                          </a:prstGeom>
                          <a:noFill/>
                          <a:ln>
                            <a:noFill/>
                          </a:ln>
                        </pic:spPr>
                      </pic:pic>
                    </a:graphicData>
                  </a:graphic>
                </wp:inline>
              </w:drawing>
            </w:r>
          </w:p>
        </w:tc>
        <w:tc>
          <w:tcPr>
            <w:tcW w:w="2487" w:type="pct"/>
          </w:tcPr>
          <w:p w14:paraId="4843126D">
            <w:pPr>
              <w:rPr>
                <w:rFonts w:hint="eastAsia" w:eastAsia="宋体"/>
                <w:vertAlign w:val="baseline"/>
                <w:lang w:eastAsia="zh-CN"/>
              </w:rPr>
            </w:pPr>
            <w:r>
              <w:rPr>
                <w:rFonts w:hint="eastAsia" w:eastAsia="宋体"/>
                <w:vertAlign w:val="baseline"/>
                <w:lang w:eastAsia="zh-CN"/>
              </w:rPr>
              <w:drawing>
                <wp:inline distT="0" distB="0" distL="114300" distR="114300">
                  <wp:extent cx="2854960" cy="2138680"/>
                  <wp:effectExtent l="0" t="0" r="2540" b="7620"/>
                  <wp:docPr id="12" name="图片 12" descr="P20241029-160443"/>
                  <wp:cNvGraphicFramePr/>
                  <a:graphic xmlns:a="http://schemas.openxmlformats.org/drawingml/2006/main">
                    <a:graphicData uri="http://schemas.openxmlformats.org/drawingml/2006/picture">
                      <pic:pic xmlns:pic="http://schemas.openxmlformats.org/drawingml/2006/picture">
                        <pic:nvPicPr>
                          <pic:cNvPr id="12" name="图片 12" descr="P20241029-160443"/>
                          <pic:cNvPicPr/>
                        </pic:nvPicPr>
                        <pic:blipFill>
                          <a:blip r:embed="rId16"/>
                          <a:srcRect b="7986"/>
                          <a:stretch>
                            <a:fillRect/>
                          </a:stretch>
                        </pic:blipFill>
                        <pic:spPr>
                          <a:xfrm>
                            <a:off x="0" y="0"/>
                            <a:ext cx="2854960" cy="2138680"/>
                          </a:xfrm>
                          <a:prstGeom prst="rect">
                            <a:avLst/>
                          </a:prstGeom>
                        </pic:spPr>
                      </pic:pic>
                    </a:graphicData>
                  </a:graphic>
                </wp:inline>
              </w:drawing>
            </w:r>
          </w:p>
        </w:tc>
      </w:tr>
      <w:tr w14:paraId="756C0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512" w:type="pct"/>
            <w:shd w:val="clear" w:color="auto" w:fill="auto"/>
            <w:vAlign w:val="top"/>
          </w:tcPr>
          <w:p w14:paraId="1F4596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hAnsi="宋体" w:cs="宋体"/>
                <w:kern w:val="2"/>
                <w:sz w:val="24"/>
                <w:szCs w:val="24"/>
                <w:vertAlign w:val="baseline"/>
                <w:lang w:val="en-US" w:eastAsia="zh-CN" w:bidi="ar-SA"/>
              </w:rPr>
              <w:t>厂房内组装室</w:t>
            </w:r>
          </w:p>
        </w:tc>
        <w:tc>
          <w:tcPr>
            <w:tcW w:w="2487" w:type="pct"/>
            <w:shd w:val="clear" w:color="auto" w:fill="auto"/>
            <w:vAlign w:val="top"/>
          </w:tcPr>
          <w:p w14:paraId="352C4D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hAnsi="宋体" w:cs="宋体"/>
                <w:kern w:val="2"/>
                <w:sz w:val="24"/>
                <w:szCs w:val="24"/>
                <w:vertAlign w:val="baseline"/>
                <w:lang w:val="en-US" w:eastAsia="zh-CN" w:bidi="ar-SA"/>
              </w:rPr>
              <w:t>厂房内灭火器</w:t>
            </w:r>
          </w:p>
        </w:tc>
      </w:tr>
    </w:tbl>
    <w:p w14:paraId="04388528">
      <w:pPr>
        <w:bidi w:val="0"/>
        <w:jc w:val="center"/>
        <w:rPr>
          <w:rFonts w:hint="eastAsia" w:ascii="宋体" w:hAnsi="宋体" w:eastAsia="宋体" w:cs="宋体"/>
          <w:b/>
          <w:bCs/>
          <w:color w:val="auto"/>
          <w:sz w:val="36"/>
          <w:szCs w:val="36"/>
        </w:rPr>
        <w:sectPr>
          <w:pgSz w:w="11906" w:h="16838"/>
          <w:pgMar w:top="1417" w:right="1134" w:bottom="1134" w:left="1587" w:header="851" w:footer="992" w:gutter="0"/>
          <w:cols w:space="0" w:num="1"/>
          <w:rtlGutter w:val="0"/>
          <w:docGrid w:type="lines" w:linePitch="312" w:charSpace="0"/>
        </w:sectPr>
      </w:pPr>
    </w:p>
    <w:sdt>
      <w:sdtPr>
        <w:rPr>
          <w:rFonts w:ascii="宋体" w:hAnsi="宋体" w:eastAsia="宋体" w:cs="Times New Roman"/>
          <w:sz w:val="21"/>
          <w:lang w:val="en-US" w:eastAsia="zh-CN" w:bidi="ar-SA"/>
        </w:rPr>
        <w:id w:val="147482135"/>
        <w15:color w:val="DBDBDB"/>
        <w:docPartObj>
          <w:docPartGallery w:val="Table of Contents"/>
          <w:docPartUnique/>
        </w:docPartObj>
      </w:sdtPr>
      <w:sdtEndPr>
        <w:rPr>
          <w:rFonts w:hint="eastAsia" w:ascii="宋体" w:hAnsi="宋体" w:eastAsia="宋体" w:cs="宋体"/>
          <w:bCs/>
          <w:color w:val="auto"/>
          <w:sz w:val="24"/>
          <w:szCs w:val="36"/>
          <w:lang w:val="en-US" w:eastAsia="zh-CN" w:bidi="ar-SA"/>
        </w:rPr>
      </w:sdtEndPr>
      <w:sdtContent>
        <w:p w14:paraId="1506D8BF">
          <w:pPr>
            <w:spacing w:before="0" w:beforeLines="0" w:after="0" w:afterLines="0" w:line="240" w:lineRule="auto"/>
            <w:ind w:left="0" w:leftChars="0" w:right="0" w:rightChars="0" w:firstLine="0" w:firstLineChars="0"/>
            <w:jc w:val="center"/>
            <w:rPr>
              <w:b/>
              <w:bCs/>
              <w:sz w:val="28"/>
              <w:szCs w:val="28"/>
            </w:rPr>
          </w:pPr>
          <w:r>
            <w:rPr>
              <w:rFonts w:ascii="宋体" w:hAnsi="宋体" w:eastAsia="宋体"/>
              <w:b/>
              <w:bCs/>
              <w:sz w:val="28"/>
              <w:szCs w:val="28"/>
            </w:rPr>
            <w:t>目录</w:t>
          </w:r>
        </w:p>
        <w:p w14:paraId="41081470">
          <w:pPr>
            <w:pStyle w:val="17"/>
            <w:tabs>
              <w:tab w:val="right" w:leader="dot" w:pos="9185"/>
            </w:tabs>
          </w:pPr>
          <w:r>
            <w:rPr>
              <w:rFonts w:hint="eastAsia" w:ascii="宋体" w:hAnsi="宋体" w:eastAsia="宋体" w:cs="宋体"/>
              <w:b/>
              <w:bCs/>
              <w:color w:val="auto"/>
              <w:sz w:val="36"/>
              <w:szCs w:val="36"/>
            </w:rPr>
            <w:fldChar w:fldCharType="begin"/>
          </w:r>
          <w:r>
            <w:rPr>
              <w:rFonts w:hint="eastAsia" w:ascii="宋体" w:hAnsi="宋体" w:eastAsia="宋体" w:cs="宋体"/>
              <w:b/>
              <w:bCs/>
              <w:color w:val="auto"/>
              <w:sz w:val="36"/>
              <w:szCs w:val="36"/>
            </w:rPr>
            <w:instrText xml:space="preserve">TOC \o "1-3" \h \u </w:instrText>
          </w:r>
          <w:r>
            <w:rPr>
              <w:rFonts w:hint="eastAsia" w:ascii="宋体" w:hAnsi="宋体" w:eastAsia="宋体" w:cs="宋体"/>
              <w:b/>
              <w:bCs/>
              <w:color w:val="auto"/>
              <w:sz w:val="36"/>
              <w:szCs w:val="36"/>
            </w:rPr>
            <w:fldChar w:fldCharType="separate"/>
          </w: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_Toc7902 </w:instrText>
          </w:r>
          <w:r>
            <w:rPr>
              <w:rFonts w:hint="eastAsia" w:ascii="宋体" w:hAnsi="宋体" w:eastAsia="宋体" w:cs="宋体"/>
              <w:bCs/>
              <w:szCs w:val="36"/>
            </w:rPr>
            <w:fldChar w:fldCharType="separate"/>
          </w:r>
          <w:r>
            <w:rPr>
              <w:rFonts w:hint="eastAsia" w:ascii="宋体" w:hAnsi="宋体" w:eastAsia="宋体" w:cs="宋体"/>
              <w:bCs/>
              <w:szCs w:val="36"/>
            </w:rPr>
            <w:t>第1章编制说明</w:t>
          </w:r>
          <w:r>
            <w:tab/>
          </w:r>
          <w:r>
            <w:fldChar w:fldCharType="begin"/>
          </w:r>
          <w:r>
            <w:instrText xml:space="preserve"> PAGEREF _Toc7902 \h </w:instrText>
          </w:r>
          <w:r>
            <w:fldChar w:fldCharType="separate"/>
          </w:r>
          <w:r>
            <w:t>- 1 -</w:t>
          </w:r>
          <w:r>
            <w:fldChar w:fldCharType="end"/>
          </w:r>
          <w:r>
            <w:rPr>
              <w:rFonts w:hint="eastAsia" w:ascii="宋体" w:hAnsi="宋体" w:eastAsia="宋体" w:cs="宋体"/>
              <w:bCs/>
              <w:color w:val="auto"/>
              <w:szCs w:val="36"/>
            </w:rPr>
            <w:fldChar w:fldCharType="end"/>
          </w:r>
        </w:p>
        <w:p w14:paraId="48283790">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_Toc17743 </w:instrText>
          </w:r>
          <w:r>
            <w:rPr>
              <w:rFonts w:hint="eastAsia" w:ascii="宋体" w:hAnsi="宋体" w:eastAsia="宋体" w:cs="宋体"/>
              <w:bCs/>
              <w:szCs w:val="36"/>
            </w:rPr>
            <w:fldChar w:fldCharType="separate"/>
          </w:r>
          <w:r>
            <w:rPr>
              <w:rFonts w:hint="eastAsia" w:ascii="宋体" w:hAnsi="宋体" w:eastAsia="宋体" w:cs="宋体"/>
              <w:kern w:val="0"/>
              <w:szCs w:val="30"/>
            </w:rPr>
            <w:t>1.1安全评价的目的</w:t>
          </w:r>
          <w:r>
            <w:tab/>
          </w:r>
          <w:r>
            <w:fldChar w:fldCharType="begin"/>
          </w:r>
          <w:r>
            <w:instrText xml:space="preserve"> PAGEREF _Toc17743 \h </w:instrText>
          </w:r>
          <w:r>
            <w:fldChar w:fldCharType="separate"/>
          </w:r>
          <w:r>
            <w:t>- 1 -</w:t>
          </w:r>
          <w:r>
            <w:fldChar w:fldCharType="end"/>
          </w:r>
          <w:r>
            <w:rPr>
              <w:rFonts w:hint="eastAsia" w:ascii="宋体" w:hAnsi="宋体" w:eastAsia="宋体" w:cs="宋体"/>
              <w:bCs/>
              <w:color w:val="auto"/>
              <w:szCs w:val="36"/>
            </w:rPr>
            <w:fldChar w:fldCharType="end"/>
          </w:r>
        </w:p>
        <w:p w14:paraId="4C348E14">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_Toc31085 </w:instrText>
          </w:r>
          <w:r>
            <w:rPr>
              <w:rFonts w:hint="eastAsia" w:ascii="宋体" w:hAnsi="宋体" w:eastAsia="宋体" w:cs="宋体"/>
              <w:bCs/>
              <w:szCs w:val="36"/>
            </w:rPr>
            <w:fldChar w:fldCharType="separate"/>
          </w:r>
          <w:r>
            <w:rPr>
              <w:rFonts w:hint="eastAsia" w:ascii="宋体" w:hAnsi="宋体" w:eastAsia="宋体" w:cs="宋体"/>
              <w:bCs/>
              <w:kern w:val="0"/>
              <w:szCs w:val="30"/>
            </w:rPr>
            <w:t>1.2安全评价依据</w:t>
          </w:r>
          <w:r>
            <w:tab/>
          </w:r>
          <w:r>
            <w:fldChar w:fldCharType="begin"/>
          </w:r>
          <w:r>
            <w:instrText xml:space="preserve"> PAGEREF _Toc31085 \h </w:instrText>
          </w:r>
          <w:r>
            <w:fldChar w:fldCharType="separate"/>
          </w:r>
          <w:r>
            <w:t>- 1 -</w:t>
          </w:r>
          <w:r>
            <w:fldChar w:fldCharType="end"/>
          </w:r>
          <w:r>
            <w:rPr>
              <w:rFonts w:hint="eastAsia" w:ascii="宋体" w:hAnsi="宋体" w:eastAsia="宋体" w:cs="宋体"/>
              <w:bCs/>
              <w:color w:val="auto"/>
              <w:szCs w:val="36"/>
            </w:rPr>
            <w:fldChar w:fldCharType="end"/>
          </w:r>
        </w:p>
        <w:p w14:paraId="2AEB962C">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_Toc20655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w:t>
          </w:r>
          <w:r>
            <w:rPr>
              <w:rFonts w:hint="eastAsia" w:ascii="宋体" w:hAnsi="宋体" w:eastAsia="宋体" w:cs="宋体"/>
              <w:kern w:val="0"/>
              <w:szCs w:val="28"/>
            </w:rPr>
            <w:t>.</w:t>
          </w:r>
          <w:r>
            <w:rPr>
              <w:rFonts w:hint="eastAsia" w:ascii="宋体" w:hAnsi="宋体" w:eastAsia="宋体" w:cs="宋体"/>
              <w:snapToGrid w:val="0"/>
              <w:kern w:val="0"/>
              <w:szCs w:val="28"/>
            </w:rPr>
            <w:t>2</w:t>
          </w:r>
          <w:r>
            <w:rPr>
              <w:rFonts w:hint="eastAsia" w:ascii="宋体" w:hAnsi="宋体" w:eastAsia="宋体" w:cs="宋体"/>
              <w:kern w:val="0"/>
              <w:szCs w:val="28"/>
            </w:rPr>
            <w:t>.</w:t>
          </w:r>
          <w:r>
            <w:rPr>
              <w:rFonts w:hint="eastAsia" w:ascii="宋体" w:hAnsi="宋体" w:eastAsia="宋体" w:cs="宋体"/>
              <w:snapToGrid w:val="0"/>
              <w:kern w:val="0"/>
              <w:szCs w:val="28"/>
            </w:rPr>
            <w:t>1法律法规</w:t>
          </w:r>
          <w:r>
            <w:tab/>
          </w:r>
          <w:r>
            <w:fldChar w:fldCharType="begin"/>
          </w:r>
          <w:r>
            <w:instrText xml:space="preserve"> PAGEREF _Toc20655 \h </w:instrText>
          </w:r>
          <w:r>
            <w:fldChar w:fldCharType="separate"/>
          </w:r>
          <w:r>
            <w:t>- 1 -</w:t>
          </w:r>
          <w:r>
            <w:fldChar w:fldCharType="end"/>
          </w:r>
          <w:r>
            <w:rPr>
              <w:rFonts w:hint="eastAsia" w:ascii="宋体" w:hAnsi="宋体" w:eastAsia="宋体" w:cs="宋体"/>
              <w:bCs/>
              <w:color w:val="auto"/>
              <w:szCs w:val="36"/>
            </w:rPr>
            <w:fldChar w:fldCharType="end"/>
          </w:r>
        </w:p>
        <w:p w14:paraId="445B2024">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_Toc29257 </w:instrText>
          </w:r>
          <w:r>
            <w:rPr>
              <w:rFonts w:hint="eastAsia" w:ascii="宋体" w:hAnsi="宋体" w:eastAsia="宋体" w:cs="宋体"/>
              <w:bCs/>
              <w:szCs w:val="36"/>
            </w:rPr>
            <w:fldChar w:fldCharType="separate"/>
          </w:r>
          <w:r>
            <w:rPr>
              <w:rFonts w:hint="eastAsia" w:hAnsi="宋体"/>
              <w:snapToGrid w:val="0"/>
              <w:kern w:val="0"/>
              <w:szCs w:val="28"/>
            </w:rPr>
            <w:t>1.2.2行政法规</w:t>
          </w:r>
          <w:r>
            <w:tab/>
          </w:r>
          <w:r>
            <w:fldChar w:fldCharType="begin"/>
          </w:r>
          <w:r>
            <w:instrText xml:space="preserve"> PAGEREF _Toc29257 \h </w:instrText>
          </w:r>
          <w:r>
            <w:fldChar w:fldCharType="separate"/>
          </w:r>
          <w:r>
            <w:t>- 2 -</w:t>
          </w:r>
          <w:r>
            <w:fldChar w:fldCharType="end"/>
          </w:r>
          <w:r>
            <w:rPr>
              <w:rFonts w:hint="eastAsia" w:ascii="宋体" w:hAnsi="宋体" w:eastAsia="宋体" w:cs="宋体"/>
              <w:bCs/>
              <w:color w:val="auto"/>
              <w:szCs w:val="36"/>
            </w:rPr>
            <w:fldChar w:fldCharType="end"/>
          </w:r>
        </w:p>
        <w:p w14:paraId="13EC0645">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_Toc20683 </w:instrText>
          </w:r>
          <w:r>
            <w:rPr>
              <w:rFonts w:hint="eastAsia" w:ascii="宋体" w:hAnsi="宋体" w:eastAsia="宋体" w:cs="宋体"/>
              <w:bCs/>
              <w:szCs w:val="36"/>
            </w:rPr>
            <w:fldChar w:fldCharType="separate"/>
          </w:r>
          <w:r>
            <w:rPr>
              <w:rFonts w:hint="eastAsia" w:hAnsi="宋体"/>
              <w:snapToGrid w:val="0"/>
              <w:kern w:val="0"/>
              <w:szCs w:val="28"/>
            </w:rPr>
            <w:t>1.2.3部门规章</w:t>
          </w:r>
          <w:r>
            <w:tab/>
          </w:r>
          <w:r>
            <w:fldChar w:fldCharType="begin"/>
          </w:r>
          <w:r>
            <w:instrText xml:space="preserve"> PAGEREF _Toc20683 \h </w:instrText>
          </w:r>
          <w:r>
            <w:fldChar w:fldCharType="separate"/>
          </w:r>
          <w:r>
            <w:t>- 3 -</w:t>
          </w:r>
          <w:r>
            <w:fldChar w:fldCharType="end"/>
          </w:r>
          <w:r>
            <w:rPr>
              <w:rFonts w:hint="eastAsia" w:ascii="宋体" w:hAnsi="宋体" w:eastAsia="宋体" w:cs="宋体"/>
              <w:bCs/>
              <w:color w:val="auto"/>
              <w:szCs w:val="36"/>
            </w:rPr>
            <w:fldChar w:fldCharType="end"/>
          </w:r>
        </w:p>
        <w:p w14:paraId="0848016D">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_Toc32514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1.2.4地方有关法规文件</w:t>
          </w:r>
          <w:r>
            <w:tab/>
          </w:r>
          <w:r>
            <w:fldChar w:fldCharType="begin"/>
          </w:r>
          <w:r>
            <w:instrText xml:space="preserve"> PAGEREF _Toc32514 \h </w:instrText>
          </w:r>
          <w:r>
            <w:fldChar w:fldCharType="separate"/>
          </w:r>
          <w:r>
            <w:t>- 5 -</w:t>
          </w:r>
          <w:r>
            <w:fldChar w:fldCharType="end"/>
          </w:r>
          <w:r>
            <w:rPr>
              <w:rFonts w:hint="eastAsia" w:ascii="宋体" w:hAnsi="宋体" w:eastAsia="宋体" w:cs="宋体"/>
              <w:bCs/>
              <w:color w:val="auto"/>
              <w:szCs w:val="36"/>
            </w:rPr>
            <w:fldChar w:fldCharType="end"/>
          </w:r>
        </w:p>
        <w:p w14:paraId="7FDC75BF">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_Toc7192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1.2.5国家标准</w:t>
          </w:r>
          <w:r>
            <w:tab/>
          </w:r>
          <w:r>
            <w:fldChar w:fldCharType="begin"/>
          </w:r>
          <w:r>
            <w:instrText xml:space="preserve"> PAGEREF _Toc7192 \h </w:instrText>
          </w:r>
          <w:r>
            <w:fldChar w:fldCharType="separate"/>
          </w:r>
          <w:r>
            <w:t>- 6 -</w:t>
          </w:r>
          <w:r>
            <w:fldChar w:fldCharType="end"/>
          </w:r>
          <w:r>
            <w:rPr>
              <w:rFonts w:hint="eastAsia" w:ascii="宋体" w:hAnsi="宋体" w:eastAsia="宋体" w:cs="宋体"/>
              <w:bCs/>
              <w:color w:val="auto"/>
              <w:szCs w:val="36"/>
            </w:rPr>
            <w:fldChar w:fldCharType="end"/>
          </w:r>
        </w:p>
        <w:p w14:paraId="7AB001EA">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_Toc32469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1.2.6行业标准</w:t>
          </w:r>
          <w:r>
            <w:tab/>
          </w:r>
          <w:r>
            <w:fldChar w:fldCharType="begin"/>
          </w:r>
          <w:r>
            <w:instrText xml:space="preserve"> PAGEREF _Toc32469 \h </w:instrText>
          </w:r>
          <w:r>
            <w:fldChar w:fldCharType="separate"/>
          </w:r>
          <w:r>
            <w:t>- 8 -</w:t>
          </w:r>
          <w:r>
            <w:fldChar w:fldCharType="end"/>
          </w:r>
          <w:r>
            <w:rPr>
              <w:rFonts w:hint="eastAsia" w:ascii="宋体" w:hAnsi="宋体" w:eastAsia="宋体" w:cs="宋体"/>
              <w:bCs/>
              <w:color w:val="auto"/>
              <w:szCs w:val="36"/>
            </w:rPr>
            <w:fldChar w:fldCharType="end"/>
          </w:r>
        </w:p>
        <w:p w14:paraId="07477694">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_Toc21773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1.2.7其他相关参考资料</w:t>
          </w:r>
          <w:r>
            <w:tab/>
          </w:r>
          <w:r>
            <w:fldChar w:fldCharType="begin"/>
          </w:r>
          <w:r>
            <w:instrText xml:space="preserve"> PAGEREF _Toc21773 \h </w:instrText>
          </w:r>
          <w:r>
            <w:fldChar w:fldCharType="separate"/>
          </w:r>
          <w:r>
            <w:t>- 8 -</w:t>
          </w:r>
          <w:r>
            <w:fldChar w:fldCharType="end"/>
          </w:r>
          <w:r>
            <w:rPr>
              <w:rFonts w:hint="eastAsia" w:ascii="宋体" w:hAnsi="宋体" w:eastAsia="宋体" w:cs="宋体"/>
              <w:bCs/>
              <w:color w:val="auto"/>
              <w:szCs w:val="36"/>
            </w:rPr>
            <w:fldChar w:fldCharType="end"/>
          </w:r>
        </w:p>
        <w:p w14:paraId="62C71736">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_Toc4553 </w:instrText>
          </w:r>
          <w:r>
            <w:rPr>
              <w:rFonts w:hint="eastAsia" w:ascii="宋体" w:hAnsi="宋体" w:eastAsia="宋体" w:cs="宋体"/>
              <w:bCs/>
              <w:szCs w:val="36"/>
            </w:rPr>
            <w:fldChar w:fldCharType="separate"/>
          </w:r>
          <w:r>
            <w:rPr>
              <w:rFonts w:hint="eastAsia" w:ascii="宋体" w:hAnsi="宋体" w:eastAsia="宋体" w:cs="宋体"/>
              <w:bCs/>
              <w:spacing w:val="1"/>
              <w:szCs w:val="30"/>
            </w:rPr>
            <w:t>1.</w:t>
          </w:r>
          <w:r>
            <w:rPr>
              <w:rFonts w:hint="eastAsia" w:ascii="宋体" w:hAnsi="宋体" w:eastAsia="宋体" w:cs="宋体"/>
              <w:bCs/>
              <w:spacing w:val="1"/>
              <w:szCs w:val="30"/>
              <w:lang w:val="en-US" w:eastAsia="zh-CN"/>
            </w:rPr>
            <w:t>3</w:t>
          </w:r>
          <w:r>
            <w:rPr>
              <w:rFonts w:hint="eastAsia" w:ascii="宋体" w:hAnsi="宋体" w:eastAsia="宋体" w:cs="宋体"/>
              <w:bCs/>
              <w:spacing w:val="1"/>
              <w:szCs w:val="30"/>
            </w:rPr>
            <w:t>评价原则及范围</w:t>
          </w:r>
          <w:r>
            <w:tab/>
          </w:r>
          <w:r>
            <w:fldChar w:fldCharType="begin"/>
          </w:r>
          <w:r>
            <w:instrText xml:space="preserve"> PAGEREF _Toc4553 \h </w:instrText>
          </w:r>
          <w:r>
            <w:fldChar w:fldCharType="separate"/>
          </w:r>
          <w:r>
            <w:t>- 8 -</w:t>
          </w:r>
          <w:r>
            <w:fldChar w:fldCharType="end"/>
          </w:r>
          <w:r>
            <w:rPr>
              <w:rFonts w:hint="eastAsia" w:ascii="宋体" w:hAnsi="宋体" w:eastAsia="宋体" w:cs="宋体"/>
              <w:bCs/>
              <w:color w:val="auto"/>
              <w:szCs w:val="36"/>
            </w:rPr>
            <w:fldChar w:fldCharType="end"/>
          </w:r>
        </w:p>
        <w:p w14:paraId="0B5083F4">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_Toc11611 </w:instrText>
          </w:r>
          <w:r>
            <w:rPr>
              <w:rFonts w:hint="eastAsia" w:ascii="宋体" w:hAnsi="宋体" w:eastAsia="宋体" w:cs="宋体"/>
              <w:bCs/>
              <w:szCs w:val="36"/>
            </w:rPr>
            <w:fldChar w:fldCharType="separate"/>
          </w:r>
          <w:r>
            <w:rPr>
              <w:rFonts w:hint="eastAsia" w:ascii="宋体" w:hAnsi="宋体" w:eastAsia="宋体" w:cs="宋体"/>
              <w:bCs/>
              <w:spacing w:val="-1"/>
              <w:szCs w:val="28"/>
            </w:rPr>
            <w:t>1.</w:t>
          </w:r>
          <w:r>
            <w:rPr>
              <w:rFonts w:hint="eastAsia" w:ascii="宋体" w:hAnsi="宋体" w:eastAsia="宋体" w:cs="宋体"/>
              <w:bCs/>
              <w:spacing w:val="-1"/>
              <w:szCs w:val="28"/>
              <w:lang w:val="en-US" w:eastAsia="zh-CN"/>
            </w:rPr>
            <w:t>3</w:t>
          </w:r>
          <w:r>
            <w:rPr>
              <w:rFonts w:hint="eastAsia" w:ascii="宋体" w:hAnsi="宋体" w:eastAsia="宋体" w:cs="宋体"/>
              <w:bCs/>
              <w:spacing w:val="-1"/>
              <w:szCs w:val="28"/>
            </w:rPr>
            <w:t>.1评价原则</w:t>
          </w:r>
          <w:r>
            <w:tab/>
          </w:r>
          <w:r>
            <w:fldChar w:fldCharType="begin"/>
          </w:r>
          <w:r>
            <w:instrText xml:space="preserve"> PAGEREF _Toc11611 \h </w:instrText>
          </w:r>
          <w:r>
            <w:fldChar w:fldCharType="separate"/>
          </w:r>
          <w:r>
            <w:t>- 8 -</w:t>
          </w:r>
          <w:r>
            <w:fldChar w:fldCharType="end"/>
          </w:r>
          <w:r>
            <w:rPr>
              <w:rFonts w:hint="eastAsia" w:ascii="宋体" w:hAnsi="宋体" w:eastAsia="宋体" w:cs="宋体"/>
              <w:bCs/>
              <w:color w:val="auto"/>
              <w:szCs w:val="36"/>
            </w:rPr>
            <w:fldChar w:fldCharType="end"/>
          </w:r>
        </w:p>
        <w:p w14:paraId="30A732FE">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_Toc30083 </w:instrText>
          </w:r>
          <w:r>
            <w:rPr>
              <w:rFonts w:hint="eastAsia" w:ascii="宋体" w:hAnsi="宋体" w:eastAsia="宋体" w:cs="宋体"/>
              <w:bCs/>
              <w:szCs w:val="36"/>
            </w:rPr>
            <w:fldChar w:fldCharType="separate"/>
          </w:r>
          <w:r>
            <w:rPr>
              <w:rFonts w:hint="eastAsia" w:ascii="宋体" w:hAnsi="宋体" w:eastAsia="宋体" w:cs="宋体"/>
              <w:bCs/>
              <w:spacing w:val="-1"/>
              <w:szCs w:val="28"/>
            </w:rPr>
            <w:t>1.</w:t>
          </w:r>
          <w:r>
            <w:rPr>
              <w:rFonts w:hint="eastAsia" w:ascii="宋体" w:hAnsi="宋体" w:eastAsia="宋体" w:cs="宋体"/>
              <w:bCs/>
              <w:spacing w:val="-1"/>
              <w:szCs w:val="28"/>
              <w:lang w:val="en-US" w:eastAsia="zh-CN"/>
            </w:rPr>
            <w:t>3</w:t>
          </w:r>
          <w:r>
            <w:rPr>
              <w:rFonts w:hint="eastAsia" w:ascii="宋体" w:hAnsi="宋体" w:eastAsia="宋体" w:cs="宋体"/>
              <w:bCs/>
              <w:spacing w:val="-1"/>
              <w:szCs w:val="28"/>
            </w:rPr>
            <w:t>.2评价范围</w:t>
          </w:r>
          <w:r>
            <w:tab/>
          </w:r>
          <w:r>
            <w:fldChar w:fldCharType="begin"/>
          </w:r>
          <w:r>
            <w:instrText xml:space="preserve"> PAGEREF _Toc30083 \h </w:instrText>
          </w:r>
          <w:r>
            <w:fldChar w:fldCharType="separate"/>
          </w:r>
          <w:r>
            <w:t>- 9 -</w:t>
          </w:r>
          <w:r>
            <w:fldChar w:fldCharType="end"/>
          </w:r>
          <w:r>
            <w:rPr>
              <w:rFonts w:hint="eastAsia" w:ascii="宋体" w:hAnsi="宋体" w:eastAsia="宋体" w:cs="宋体"/>
              <w:bCs/>
              <w:color w:val="auto"/>
              <w:szCs w:val="36"/>
            </w:rPr>
            <w:fldChar w:fldCharType="end"/>
          </w:r>
        </w:p>
        <w:p w14:paraId="2B34AADF">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_Toc23522 </w:instrText>
          </w:r>
          <w:r>
            <w:rPr>
              <w:rFonts w:hint="eastAsia" w:ascii="宋体" w:hAnsi="宋体" w:eastAsia="宋体" w:cs="宋体"/>
              <w:bCs/>
              <w:szCs w:val="36"/>
            </w:rPr>
            <w:fldChar w:fldCharType="separate"/>
          </w:r>
          <w:r>
            <w:rPr>
              <w:rFonts w:hint="eastAsia" w:ascii="宋体" w:hAnsi="宋体" w:eastAsia="宋体" w:cs="宋体"/>
              <w:bCs/>
              <w:kern w:val="0"/>
              <w:szCs w:val="30"/>
            </w:rPr>
            <w:t>1.</w:t>
          </w:r>
          <w:r>
            <w:rPr>
              <w:rFonts w:hint="eastAsia" w:ascii="宋体" w:hAnsi="宋体" w:eastAsia="宋体" w:cs="宋体"/>
              <w:bCs/>
              <w:kern w:val="0"/>
              <w:szCs w:val="30"/>
              <w:lang w:val="en-US" w:eastAsia="zh-CN"/>
            </w:rPr>
            <w:t>4</w:t>
          </w:r>
          <w:r>
            <w:rPr>
              <w:rFonts w:hint="eastAsia" w:ascii="宋体" w:hAnsi="宋体" w:eastAsia="宋体" w:cs="宋体"/>
              <w:bCs/>
              <w:kern w:val="0"/>
              <w:szCs w:val="30"/>
            </w:rPr>
            <w:t>评价程序</w:t>
          </w:r>
          <w:r>
            <w:tab/>
          </w:r>
          <w:r>
            <w:fldChar w:fldCharType="begin"/>
          </w:r>
          <w:r>
            <w:instrText xml:space="preserve"> PAGEREF _Toc23522 \h </w:instrText>
          </w:r>
          <w:r>
            <w:fldChar w:fldCharType="separate"/>
          </w:r>
          <w:r>
            <w:t>- 9 -</w:t>
          </w:r>
          <w:r>
            <w:fldChar w:fldCharType="end"/>
          </w:r>
          <w:r>
            <w:rPr>
              <w:rFonts w:hint="eastAsia" w:ascii="宋体" w:hAnsi="宋体" w:eastAsia="宋体" w:cs="宋体"/>
              <w:bCs/>
              <w:color w:val="auto"/>
              <w:szCs w:val="36"/>
            </w:rPr>
            <w:fldChar w:fldCharType="end"/>
          </w:r>
        </w:p>
        <w:p w14:paraId="31FA1672">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_Toc32236 </w:instrText>
          </w:r>
          <w:r>
            <w:rPr>
              <w:rFonts w:hint="eastAsia" w:ascii="宋体" w:hAnsi="宋体" w:eastAsia="宋体" w:cs="宋体"/>
              <w:bCs/>
              <w:szCs w:val="36"/>
            </w:rPr>
            <w:fldChar w:fldCharType="separate"/>
          </w:r>
          <w:r>
            <w:rPr>
              <w:rFonts w:hint="eastAsia" w:ascii="宋体" w:hAnsi="宋体" w:eastAsia="宋体" w:cs="宋体"/>
              <w:bCs/>
              <w:kern w:val="0"/>
              <w:szCs w:val="30"/>
            </w:rPr>
            <w:t>1.</w:t>
          </w:r>
          <w:r>
            <w:rPr>
              <w:rFonts w:hint="eastAsia" w:ascii="宋体" w:hAnsi="宋体" w:eastAsia="宋体" w:cs="宋体"/>
              <w:bCs/>
              <w:kern w:val="0"/>
              <w:szCs w:val="30"/>
              <w:lang w:val="en-US" w:eastAsia="zh-CN"/>
            </w:rPr>
            <w:t>5</w:t>
          </w:r>
          <w:r>
            <w:rPr>
              <w:rFonts w:hint="eastAsia" w:ascii="宋体" w:hAnsi="宋体" w:eastAsia="宋体" w:cs="宋体"/>
              <w:bCs/>
              <w:kern w:val="0"/>
              <w:szCs w:val="30"/>
            </w:rPr>
            <w:t>评价基准日</w:t>
          </w:r>
          <w:r>
            <w:tab/>
          </w:r>
          <w:r>
            <w:fldChar w:fldCharType="begin"/>
          </w:r>
          <w:r>
            <w:instrText xml:space="preserve"> PAGEREF _Toc32236 \h </w:instrText>
          </w:r>
          <w:r>
            <w:fldChar w:fldCharType="separate"/>
          </w:r>
          <w:r>
            <w:t>- 10 -</w:t>
          </w:r>
          <w:r>
            <w:fldChar w:fldCharType="end"/>
          </w:r>
          <w:r>
            <w:rPr>
              <w:rFonts w:hint="eastAsia" w:ascii="宋体" w:hAnsi="宋体" w:eastAsia="宋体" w:cs="宋体"/>
              <w:bCs/>
              <w:color w:val="auto"/>
              <w:szCs w:val="36"/>
            </w:rPr>
            <w:fldChar w:fldCharType="end"/>
          </w:r>
        </w:p>
        <w:p w14:paraId="7AEE2AC9">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_Toc9037 </w:instrText>
          </w:r>
          <w:r>
            <w:rPr>
              <w:rFonts w:hint="eastAsia" w:ascii="宋体" w:hAnsi="宋体" w:eastAsia="宋体" w:cs="宋体"/>
              <w:bCs/>
              <w:szCs w:val="36"/>
            </w:rPr>
            <w:fldChar w:fldCharType="separate"/>
          </w:r>
          <w:r>
            <w:rPr>
              <w:rFonts w:hint="eastAsia" w:ascii="宋体" w:hAnsi="宋体" w:eastAsia="宋体" w:cs="宋体"/>
              <w:bCs/>
              <w:spacing w:val="2"/>
              <w:szCs w:val="30"/>
            </w:rPr>
            <w:t>1.</w:t>
          </w:r>
          <w:r>
            <w:rPr>
              <w:rFonts w:hint="eastAsia" w:ascii="宋体" w:hAnsi="宋体" w:eastAsia="宋体" w:cs="宋体"/>
              <w:bCs/>
              <w:spacing w:val="2"/>
              <w:szCs w:val="30"/>
              <w:lang w:val="en-US" w:eastAsia="zh-CN"/>
            </w:rPr>
            <w:t>6</w:t>
          </w:r>
          <w:r>
            <w:rPr>
              <w:rFonts w:hint="eastAsia" w:ascii="宋体" w:hAnsi="宋体" w:eastAsia="宋体" w:cs="宋体"/>
              <w:bCs/>
              <w:spacing w:val="2"/>
              <w:szCs w:val="30"/>
            </w:rPr>
            <w:t>评价报告使用权声明</w:t>
          </w:r>
          <w:r>
            <w:tab/>
          </w:r>
          <w:r>
            <w:fldChar w:fldCharType="begin"/>
          </w:r>
          <w:r>
            <w:instrText xml:space="preserve"> PAGEREF _Toc9037 \h </w:instrText>
          </w:r>
          <w:r>
            <w:fldChar w:fldCharType="separate"/>
          </w:r>
          <w:r>
            <w:t>- 10 -</w:t>
          </w:r>
          <w:r>
            <w:fldChar w:fldCharType="end"/>
          </w:r>
          <w:r>
            <w:rPr>
              <w:rFonts w:hint="eastAsia" w:ascii="宋体" w:hAnsi="宋体" w:eastAsia="宋体" w:cs="宋体"/>
              <w:bCs/>
              <w:color w:val="auto"/>
              <w:szCs w:val="36"/>
            </w:rPr>
            <w:fldChar w:fldCharType="end"/>
          </w:r>
        </w:p>
        <w:p w14:paraId="317F7C50">
          <w:pPr>
            <w:pStyle w:val="17"/>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_Toc12257 </w:instrText>
          </w:r>
          <w:r>
            <w:rPr>
              <w:rFonts w:hint="eastAsia" w:ascii="宋体" w:hAnsi="宋体" w:eastAsia="宋体" w:cs="宋体"/>
              <w:bCs/>
              <w:szCs w:val="36"/>
            </w:rPr>
            <w:fldChar w:fldCharType="separate"/>
          </w:r>
          <w:r>
            <w:rPr>
              <w:rFonts w:ascii="宋体" w:hAnsi="宋体" w:eastAsia="宋体" w:cs="宋体"/>
              <w:bCs/>
              <w:szCs w:val="36"/>
            </w:rPr>
            <w:t>第2章评价项目概况</w:t>
          </w:r>
          <w:r>
            <w:tab/>
          </w:r>
          <w:r>
            <w:fldChar w:fldCharType="begin"/>
          </w:r>
          <w:r>
            <w:instrText xml:space="preserve"> PAGEREF _Toc12257 \h </w:instrText>
          </w:r>
          <w:r>
            <w:fldChar w:fldCharType="separate"/>
          </w:r>
          <w:r>
            <w:t>- 11 -</w:t>
          </w:r>
          <w:r>
            <w:fldChar w:fldCharType="end"/>
          </w:r>
          <w:r>
            <w:rPr>
              <w:rFonts w:hint="eastAsia" w:ascii="宋体" w:hAnsi="宋体" w:eastAsia="宋体" w:cs="宋体"/>
              <w:bCs/>
              <w:color w:val="auto"/>
              <w:szCs w:val="36"/>
            </w:rPr>
            <w:fldChar w:fldCharType="end"/>
          </w:r>
        </w:p>
        <w:p w14:paraId="1400B192">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_Toc30323 </w:instrText>
          </w:r>
          <w:r>
            <w:rPr>
              <w:rFonts w:hint="eastAsia" w:ascii="宋体" w:hAnsi="宋体" w:eastAsia="宋体" w:cs="宋体"/>
              <w:bCs/>
              <w:szCs w:val="36"/>
            </w:rPr>
            <w:fldChar w:fldCharType="separate"/>
          </w:r>
          <w:r>
            <w:rPr>
              <w:rFonts w:hint="eastAsia" w:ascii="宋体" w:hAnsi="宋体" w:eastAsia="宋体" w:cs="宋体"/>
              <w:bCs/>
              <w:szCs w:val="30"/>
            </w:rPr>
            <w:t>2.1企业概况</w:t>
          </w:r>
          <w:r>
            <w:tab/>
          </w:r>
          <w:r>
            <w:fldChar w:fldCharType="begin"/>
          </w:r>
          <w:r>
            <w:instrText xml:space="preserve"> PAGEREF _Toc30323 \h </w:instrText>
          </w:r>
          <w:r>
            <w:fldChar w:fldCharType="separate"/>
          </w:r>
          <w:r>
            <w:t>- 11 -</w:t>
          </w:r>
          <w:r>
            <w:fldChar w:fldCharType="end"/>
          </w:r>
          <w:r>
            <w:rPr>
              <w:rFonts w:hint="eastAsia" w:ascii="宋体" w:hAnsi="宋体" w:eastAsia="宋体" w:cs="宋体"/>
              <w:bCs/>
              <w:color w:val="auto"/>
              <w:szCs w:val="36"/>
            </w:rPr>
            <w:fldChar w:fldCharType="end"/>
          </w:r>
        </w:p>
        <w:p w14:paraId="55BD3C47">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_Toc30337 </w:instrText>
          </w:r>
          <w:r>
            <w:rPr>
              <w:rFonts w:hint="eastAsia" w:ascii="宋体" w:hAnsi="宋体" w:eastAsia="宋体" w:cs="宋体"/>
              <w:bCs/>
              <w:szCs w:val="36"/>
            </w:rPr>
            <w:fldChar w:fldCharType="separate"/>
          </w:r>
          <w:r>
            <w:rPr>
              <w:rFonts w:hint="eastAsia" w:ascii="宋体" w:hAnsi="宋体" w:eastAsia="宋体" w:cs="宋体"/>
              <w:bCs/>
              <w:spacing w:val="1"/>
              <w:szCs w:val="28"/>
            </w:rPr>
            <w:t>2.1.1企业简介</w:t>
          </w:r>
          <w:r>
            <w:tab/>
          </w:r>
          <w:r>
            <w:fldChar w:fldCharType="begin"/>
          </w:r>
          <w:r>
            <w:instrText xml:space="preserve"> PAGEREF _Toc30337 \h </w:instrText>
          </w:r>
          <w:r>
            <w:fldChar w:fldCharType="separate"/>
          </w:r>
          <w:r>
            <w:t>- 11 -</w:t>
          </w:r>
          <w:r>
            <w:fldChar w:fldCharType="end"/>
          </w:r>
          <w:r>
            <w:rPr>
              <w:rFonts w:hint="eastAsia" w:ascii="宋体" w:hAnsi="宋体" w:eastAsia="宋体" w:cs="宋体"/>
              <w:bCs/>
              <w:color w:val="auto"/>
              <w:szCs w:val="36"/>
            </w:rPr>
            <w:fldChar w:fldCharType="end"/>
          </w:r>
        </w:p>
        <w:p w14:paraId="1E2CBFA4">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_Toc28921 </w:instrText>
          </w:r>
          <w:r>
            <w:rPr>
              <w:rFonts w:hint="eastAsia" w:ascii="宋体" w:hAnsi="宋体" w:eastAsia="宋体" w:cs="宋体"/>
              <w:bCs/>
              <w:szCs w:val="36"/>
            </w:rPr>
            <w:fldChar w:fldCharType="separate"/>
          </w:r>
          <w:r>
            <w:rPr>
              <w:rFonts w:hint="eastAsia" w:ascii="宋体" w:hAnsi="宋体" w:eastAsia="宋体" w:cs="宋体"/>
              <w:kern w:val="0"/>
            </w:rPr>
            <w:t>2.2</w:t>
          </w:r>
          <w:r>
            <w:rPr>
              <w:rFonts w:hint="eastAsia" w:ascii="宋体" w:hAnsi="宋体" w:eastAsia="宋体" w:cs="宋体"/>
              <w:kern w:val="0"/>
              <w:lang w:val="en-US" w:eastAsia="zh-CN"/>
            </w:rPr>
            <w:t xml:space="preserve"> </w:t>
          </w:r>
          <w:r>
            <w:rPr>
              <w:rFonts w:hint="eastAsia" w:ascii="宋体" w:hAnsi="宋体" w:eastAsia="宋体" w:cs="宋体"/>
              <w:kern w:val="0"/>
            </w:rPr>
            <w:t>项目概况</w:t>
          </w:r>
          <w:r>
            <w:tab/>
          </w:r>
          <w:r>
            <w:fldChar w:fldCharType="begin"/>
          </w:r>
          <w:r>
            <w:instrText xml:space="preserve"> PAGEREF _Toc28921 \h </w:instrText>
          </w:r>
          <w:r>
            <w:fldChar w:fldCharType="separate"/>
          </w:r>
          <w:r>
            <w:t>- 11 -</w:t>
          </w:r>
          <w:r>
            <w:fldChar w:fldCharType="end"/>
          </w:r>
          <w:r>
            <w:rPr>
              <w:rFonts w:hint="eastAsia" w:ascii="宋体" w:hAnsi="宋体" w:eastAsia="宋体" w:cs="宋体"/>
              <w:bCs/>
              <w:color w:val="auto"/>
              <w:szCs w:val="36"/>
            </w:rPr>
            <w:fldChar w:fldCharType="end"/>
          </w:r>
        </w:p>
        <w:p w14:paraId="47216FC8">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_Toc28634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2.2.1项目简介</w:t>
          </w:r>
          <w:r>
            <w:tab/>
          </w:r>
          <w:r>
            <w:fldChar w:fldCharType="begin"/>
          </w:r>
          <w:r>
            <w:instrText xml:space="preserve"> PAGEREF _Toc28634 \h </w:instrText>
          </w:r>
          <w:r>
            <w:fldChar w:fldCharType="separate"/>
          </w:r>
          <w:r>
            <w:t>- 11 -</w:t>
          </w:r>
          <w:r>
            <w:fldChar w:fldCharType="end"/>
          </w:r>
          <w:r>
            <w:rPr>
              <w:rFonts w:hint="eastAsia" w:ascii="宋体" w:hAnsi="宋体" w:eastAsia="宋体" w:cs="宋体"/>
              <w:bCs/>
              <w:color w:val="auto"/>
              <w:szCs w:val="36"/>
            </w:rPr>
            <w:fldChar w:fldCharType="end"/>
          </w:r>
        </w:p>
        <w:p w14:paraId="5CCA8758">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_Toc19911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2.2.</w:t>
          </w:r>
          <w:r>
            <w:rPr>
              <w:rFonts w:hint="eastAsia" w:ascii="宋体" w:hAnsi="宋体" w:eastAsia="宋体" w:cs="宋体"/>
              <w:snapToGrid w:val="0"/>
              <w:kern w:val="0"/>
              <w:szCs w:val="28"/>
              <w:lang w:val="en-US" w:eastAsia="zh-CN"/>
            </w:rPr>
            <w:t xml:space="preserve">2 </w:t>
          </w:r>
          <w:r>
            <w:rPr>
              <w:rFonts w:hint="eastAsia" w:ascii="宋体" w:hAnsi="宋体" w:eastAsia="宋体" w:cs="宋体"/>
              <w:snapToGrid w:val="0"/>
              <w:kern w:val="0"/>
              <w:szCs w:val="28"/>
            </w:rPr>
            <w:t>项目地理位置</w:t>
          </w:r>
          <w:r>
            <w:tab/>
          </w:r>
          <w:r>
            <w:fldChar w:fldCharType="begin"/>
          </w:r>
          <w:r>
            <w:instrText xml:space="preserve"> PAGEREF _Toc19911 \h </w:instrText>
          </w:r>
          <w:r>
            <w:fldChar w:fldCharType="separate"/>
          </w:r>
          <w:r>
            <w:t>- 11 -</w:t>
          </w:r>
          <w:r>
            <w:fldChar w:fldCharType="end"/>
          </w:r>
          <w:r>
            <w:rPr>
              <w:rFonts w:hint="eastAsia" w:ascii="宋体" w:hAnsi="宋体" w:eastAsia="宋体" w:cs="宋体"/>
              <w:bCs/>
              <w:color w:val="auto"/>
              <w:szCs w:val="36"/>
            </w:rPr>
            <w:fldChar w:fldCharType="end"/>
          </w:r>
        </w:p>
        <w:p w14:paraId="7BACF370">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_Toc29697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2.2.</w:t>
          </w:r>
          <w:r>
            <w:rPr>
              <w:rFonts w:hint="eastAsia" w:ascii="宋体" w:hAnsi="宋体" w:eastAsia="宋体" w:cs="宋体"/>
              <w:snapToGrid w:val="0"/>
              <w:kern w:val="0"/>
              <w:szCs w:val="28"/>
              <w:lang w:val="en-US" w:eastAsia="zh-CN"/>
            </w:rPr>
            <w:t xml:space="preserve">3 </w:t>
          </w:r>
          <w:r>
            <w:rPr>
              <w:rFonts w:hint="eastAsia" w:ascii="宋体" w:hAnsi="宋体" w:eastAsia="宋体" w:cs="宋体"/>
              <w:snapToGrid w:val="0"/>
              <w:kern w:val="0"/>
              <w:szCs w:val="28"/>
            </w:rPr>
            <w:t>项目周边情况</w:t>
          </w:r>
          <w:r>
            <w:tab/>
          </w:r>
          <w:r>
            <w:fldChar w:fldCharType="begin"/>
          </w:r>
          <w:r>
            <w:instrText xml:space="preserve"> PAGEREF _Toc29697 \h </w:instrText>
          </w:r>
          <w:r>
            <w:fldChar w:fldCharType="separate"/>
          </w:r>
          <w:r>
            <w:t>- 12 -</w:t>
          </w:r>
          <w:r>
            <w:fldChar w:fldCharType="end"/>
          </w:r>
          <w:r>
            <w:rPr>
              <w:rFonts w:hint="eastAsia" w:ascii="宋体" w:hAnsi="宋体" w:eastAsia="宋体" w:cs="宋体"/>
              <w:bCs/>
              <w:color w:val="auto"/>
              <w:szCs w:val="36"/>
            </w:rPr>
            <w:fldChar w:fldCharType="end"/>
          </w:r>
        </w:p>
        <w:p w14:paraId="1B8E99EF">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_Toc4677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2.2.</w:t>
          </w:r>
          <w:r>
            <w:rPr>
              <w:rFonts w:hint="eastAsia" w:ascii="宋体" w:hAnsi="宋体" w:eastAsia="宋体" w:cs="宋体"/>
              <w:snapToGrid w:val="0"/>
              <w:kern w:val="0"/>
              <w:szCs w:val="28"/>
              <w:lang w:val="en-US" w:eastAsia="zh-CN"/>
            </w:rPr>
            <w:t>4</w:t>
          </w:r>
          <w:r>
            <w:rPr>
              <w:rFonts w:hint="eastAsia" w:ascii="宋体" w:hAnsi="宋体" w:eastAsia="宋体" w:cs="宋体"/>
              <w:snapToGrid w:val="0"/>
              <w:kern w:val="0"/>
              <w:szCs w:val="28"/>
            </w:rPr>
            <w:t>气象条件</w:t>
          </w:r>
          <w:r>
            <w:tab/>
          </w:r>
          <w:r>
            <w:fldChar w:fldCharType="begin"/>
          </w:r>
          <w:r>
            <w:instrText xml:space="preserve"> PAGEREF _Toc4677 \h </w:instrText>
          </w:r>
          <w:r>
            <w:fldChar w:fldCharType="separate"/>
          </w:r>
          <w:r>
            <w:t>- 14 -</w:t>
          </w:r>
          <w:r>
            <w:fldChar w:fldCharType="end"/>
          </w:r>
          <w:r>
            <w:rPr>
              <w:rFonts w:hint="eastAsia" w:ascii="宋体" w:hAnsi="宋体" w:eastAsia="宋体" w:cs="宋体"/>
              <w:bCs/>
              <w:color w:val="auto"/>
              <w:szCs w:val="36"/>
            </w:rPr>
            <w:fldChar w:fldCharType="end"/>
          </w:r>
        </w:p>
        <w:p w14:paraId="0789FCB8">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_Toc20946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2.2.</w:t>
          </w:r>
          <w:r>
            <w:rPr>
              <w:rFonts w:hint="eastAsia" w:ascii="宋体" w:hAnsi="宋体" w:eastAsia="宋体" w:cs="宋体"/>
              <w:snapToGrid w:val="0"/>
              <w:kern w:val="0"/>
              <w:szCs w:val="28"/>
              <w:lang w:val="en-US" w:eastAsia="zh-CN"/>
            </w:rPr>
            <w:t xml:space="preserve">5 </w:t>
          </w:r>
          <w:r>
            <w:rPr>
              <w:rFonts w:hint="eastAsia" w:ascii="宋体" w:hAnsi="宋体" w:eastAsia="宋体" w:cs="宋体"/>
              <w:snapToGrid w:val="0"/>
              <w:kern w:val="0"/>
              <w:szCs w:val="28"/>
            </w:rPr>
            <w:t>地质条件</w:t>
          </w:r>
          <w:r>
            <w:tab/>
          </w:r>
          <w:r>
            <w:fldChar w:fldCharType="begin"/>
          </w:r>
          <w:r>
            <w:instrText xml:space="preserve"> PAGEREF _Toc20946 \h </w:instrText>
          </w:r>
          <w:r>
            <w:fldChar w:fldCharType="separate"/>
          </w:r>
          <w:r>
            <w:t>- 15 -</w:t>
          </w:r>
          <w:r>
            <w:fldChar w:fldCharType="end"/>
          </w:r>
          <w:r>
            <w:rPr>
              <w:rFonts w:hint="eastAsia" w:ascii="宋体" w:hAnsi="宋体" w:eastAsia="宋体" w:cs="宋体"/>
              <w:bCs/>
              <w:color w:val="auto"/>
              <w:szCs w:val="36"/>
            </w:rPr>
            <w:fldChar w:fldCharType="end"/>
          </w:r>
        </w:p>
        <w:p w14:paraId="38D5FCA3">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_Toc7305 </w:instrText>
          </w:r>
          <w:r>
            <w:rPr>
              <w:rFonts w:hint="eastAsia" w:ascii="宋体" w:hAnsi="宋体" w:eastAsia="宋体" w:cs="宋体"/>
              <w:bCs/>
              <w:szCs w:val="36"/>
            </w:rPr>
            <w:fldChar w:fldCharType="separate"/>
          </w:r>
          <w:r>
            <w:rPr>
              <w:rFonts w:hint="eastAsia" w:ascii="宋体" w:hAnsi="宋体" w:eastAsia="宋体" w:cs="宋体"/>
              <w:kern w:val="0"/>
            </w:rPr>
            <w:t>2.3</w:t>
          </w:r>
          <w:r>
            <w:rPr>
              <w:rFonts w:hint="eastAsia" w:ascii="宋体" w:hAnsi="宋体" w:eastAsia="宋体" w:cs="宋体"/>
              <w:kern w:val="0"/>
              <w:lang w:val="en-US" w:eastAsia="zh-CN"/>
            </w:rPr>
            <w:t xml:space="preserve"> </w:t>
          </w:r>
          <w:r>
            <w:rPr>
              <w:rFonts w:hint="eastAsia" w:ascii="宋体" w:hAnsi="宋体" w:eastAsia="宋体" w:cs="宋体"/>
              <w:kern w:val="0"/>
            </w:rPr>
            <w:t>总图布置</w:t>
          </w:r>
          <w:r>
            <w:tab/>
          </w:r>
          <w:r>
            <w:fldChar w:fldCharType="begin"/>
          </w:r>
          <w:r>
            <w:instrText xml:space="preserve"> PAGEREF _Toc7305 \h </w:instrText>
          </w:r>
          <w:r>
            <w:fldChar w:fldCharType="separate"/>
          </w:r>
          <w:r>
            <w:t>- 15 -</w:t>
          </w:r>
          <w:r>
            <w:fldChar w:fldCharType="end"/>
          </w:r>
          <w:r>
            <w:rPr>
              <w:rFonts w:hint="eastAsia" w:ascii="宋体" w:hAnsi="宋体" w:eastAsia="宋体" w:cs="宋体"/>
              <w:bCs/>
              <w:color w:val="auto"/>
              <w:szCs w:val="36"/>
            </w:rPr>
            <w:fldChar w:fldCharType="end"/>
          </w:r>
        </w:p>
        <w:p w14:paraId="043B810B">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_Toc22267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2.3.1</w:t>
          </w:r>
          <w:r>
            <w:rPr>
              <w:rFonts w:hint="eastAsia" w:ascii="宋体" w:hAnsi="宋体" w:eastAsia="宋体" w:cs="宋体"/>
              <w:snapToGrid w:val="0"/>
              <w:kern w:val="0"/>
              <w:szCs w:val="28"/>
              <w:lang w:val="en-US" w:eastAsia="zh-CN"/>
            </w:rPr>
            <w:t xml:space="preserve"> </w:t>
          </w:r>
          <w:r>
            <w:rPr>
              <w:rFonts w:hint="eastAsia" w:ascii="宋体" w:hAnsi="宋体" w:eastAsia="宋体" w:cs="宋体"/>
              <w:snapToGrid w:val="0"/>
              <w:kern w:val="0"/>
              <w:szCs w:val="28"/>
            </w:rPr>
            <w:t>总平面布置</w:t>
          </w:r>
          <w:r>
            <w:tab/>
          </w:r>
          <w:r>
            <w:fldChar w:fldCharType="begin"/>
          </w:r>
          <w:r>
            <w:instrText xml:space="preserve"> PAGEREF _Toc22267 \h </w:instrText>
          </w:r>
          <w:r>
            <w:fldChar w:fldCharType="separate"/>
          </w:r>
          <w:r>
            <w:t>- 15 -</w:t>
          </w:r>
          <w:r>
            <w:fldChar w:fldCharType="end"/>
          </w:r>
          <w:r>
            <w:rPr>
              <w:rFonts w:hint="eastAsia" w:ascii="宋体" w:hAnsi="宋体" w:eastAsia="宋体" w:cs="宋体"/>
              <w:bCs/>
              <w:color w:val="auto"/>
              <w:szCs w:val="36"/>
            </w:rPr>
            <w:fldChar w:fldCharType="end"/>
          </w:r>
        </w:p>
        <w:p w14:paraId="27242F6A">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_Toc29651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w:t>
          </w:r>
          <w:r>
            <w:rPr>
              <w:rFonts w:hint="eastAsia" w:ascii="宋体" w:hAnsi="宋体" w:eastAsia="宋体" w:cs="宋体"/>
              <w:snapToGrid w:val="0"/>
              <w:kern w:val="0"/>
              <w:szCs w:val="28"/>
              <w:lang w:val="en-US" w:eastAsia="zh-CN"/>
            </w:rPr>
            <w:t>3</w:t>
          </w:r>
          <w:r>
            <w:rPr>
              <w:rFonts w:hint="eastAsia" w:ascii="宋体" w:hAnsi="宋体" w:eastAsia="宋体" w:cs="宋体"/>
              <w:snapToGrid w:val="0"/>
              <w:kern w:val="0"/>
              <w:szCs w:val="28"/>
            </w:rPr>
            <w:t>.</w:t>
          </w:r>
          <w:r>
            <w:rPr>
              <w:rFonts w:hint="eastAsia" w:ascii="宋体" w:hAnsi="宋体" w:eastAsia="宋体" w:cs="宋体"/>
              <w:snapToGrid w:val="0"/>
              <w:kern w:val="0"/>
              <w:szCs w:val="28"/>
              <w:lang w:val="en-US" w:eastAsia="zh-CN"/>
            </w:rPr>
            <w:t>2</w:t>
          </w:r>
          <w:r>
            <w:rPr>
              <w:rFonts w:hint="eastAsia" w:ascii="宋体" w:hAnsi="宋体" w:eastAsia="宋体" w:cs="宋体"/>
              <w:snapToGrid w:val="0"/>
              <w:kern w:val="0"/>
              <w:szCs w:val="28"/>
            </w:rPr>
            <w:t xml:space="preserve"> 主要建（构）筑物防火间距</w:t>
          </w:r>
          <w:r>
            <w:tab/>
          </w:r>
          <w:r>
            <w:fldChar w:fldCharType="begin"/>
          </w:r>
          <w:r>
            <w:instrText xml:space="preserve"> PAGEREF _Toc29651 \h </w:instrText>
          </w:r>
          <w:r>
            <w:fldChar w:fldCharType="separate"/>
          </w:r>
          <w:r>
            <w:t>- 16 -</w:t>
          </w:r>
          <w:r>
            <w:fldChar w:fldCharType="end"/>
          </w:r>
          <w:r>
            <w:rPr>
              <w:rFonts w:hint="eastAsia" w:ascii="宋体" w:hAnsi="宋体" w:eastAsia="宋体" w:cs="宋体"/>
              <w:bCs/>
              <w:color w:val="auto"/>
              <w:szCs w:val="36"/>
            </w:rPr>
            <w:fldChar w:fldCharType="end"/>
          </w:r>
        </w:p>
        <w:p w14:paraId="01F22BBF">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_Toc9459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2.3.</w:t>
          </w:r>
          <w:r>
            <w:rPr>
              <w:rFonts w:hint="eastAsia" w:ascii="宋体" w:hAnsi="宋体" w:eastAsia="宋体" w:cs="宋体"/>
              <w:snapToGrid w:val="0"/>
              <w:kern w:val="0"/>
              <w:szCs w:val="28"/>
              <w:lang w:val="en-US" w:eastAsia="zh-CN"/>
            </w:rPr>
            <w:t xml:space="preserve">3 </w:t>
          </w:r>
          <w:r>
            <w:rPr>
              <w:rFonts w:hint="eastAsia" w:ascii="宋体" w:hAnsi="宋体" w:eastAsia="宋体" w:cs="宋体"/>
              <w:snapToGrid w:val="0"/>
              <w:kern w:val="0"/>
              <w:szCs w:val="28"/>
            </w:rPr>
            <w:t>厂内运输</w:t>
          </w:r>
          <w:r>
            <w:tab/>
          </w:r>
          <w:r>
            <w:fldChar w:fldCharType="begin"/>
          </w:r>
          <w:r>
            <w:instrText xml:space="preserve"> PAGEREF _Toc9459 \h </w:instrText>
          </w:r>
          <w:r>
            <w:fldChar w:fldCharType="separate"/>
          </w:r>
          <w:r>
            <w:t>- 17 -</w:t>
          </w:r>
          <w:r>
            <w:fldChar w:fldCharType="end"/>
          </w:r>
          <w:r>
            <w:rPr>
              <w:rFonts w:hint="eastAsia" w:ascii="宋体" w:hAnsi="宋体" w:eastAsia="宋体" w:cs="宋体"/>
              <w:bCs/>
              <w:color w:val="auto"/>
              <w:szCs w:val="36"/>
            </w:rPr>
            <w:fldChar w:fldCharType="end"/>
          </w:r>
        </w:p>
        <w:p w14:paraId="6892A683">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_Toc30220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w:t>
          </w:r>
          <w:r>
            <w:rPr>
              <w:rFonts w:hint="eastAsia" w:ascii="宋体" w:hAnsi="宋体" w:eastAsia="宋体" w:cs="宋体"/>
              <w:snapToGrid w:val="0"/>
              <w:kern w:val="0"/>
              <w:szCs w:val="28"/>
              <w:lang w:val="en-US" w:eastAsia="zh-CN"/>
            </w:rPr>
            <w:t>3</w:t>
          </w:r>
          <w:r>
            <w:rPr>
              <w:rFonts w:hint="eastAsia" w:ascii="宋体" w:hAnsi="宋体" w:eastAsia="宋体" w:cs="宋体"/>
              <w:snapToGrid w:val="0"/>
              <w:kern w:val="0"/>
              <w:szCs w:val="28"/>
            </w:rPr>
            <w:t>.</w:t>
          </w:r>
          <w:r>
            <w:rPr>
              <w:rFonts w:hint="eastAsia" w:ascii="宋体" w:hAnsi="宋体" w:eastAsia="宋体" w:cs="宋体"/>
              <w:snapToGrid w:val="0"/>
              <w:kern w:val="0"/>
              <w:szCs w:val="28"/>
              <w:lang w:val="en-US" w:eastAsia="zh-CN"/>
            </w:rPr>
            <w:t>4</w:t>
          </w:r>
          <w:r>
            <w:rPr>
              <w:rFonts w:hint="eastAsia" w:ascii="宋体" w:hAnsi="宋体" w:eastAsia="宋体" w:cs="宋体"/>
              <w:snapToGrid w:val="0"/>
              <w:kern w:val="0"/>
              <w:szCs w:val="28"/>
            </w:rPr>
            <w:t>厂外运输</w:t>
          </w:r>
          <w:r>
            <w:tab/>
          </w:r>
          <w:r>
            <w:fldChar w:fldCharType="begin"/>
          </w:r>
          <w:r>
            <w:instrText xml:space="preserve"> PAGEREF _Toc30220 \h </w:instrText>
          </w:r>
          <w:r>
            <w:fldChar w:fldCharType="separate"/>
          </w:r>
          <w:r>
            <w:t>- 17 -</w:t>
          </w:r>
          <w:r>
            <w:fldChar w:fldCharType="end"/>
          </w:r>
          <w:r>
            <w:rPr>
              <w:rFonts w:hint="eastAsia" w:ascii="宋体" w:hAnsi="宋体" w:eastAsia="宋体" w:cs="宋体"/>
              <w:bCs/>
              <w:color w:val="auto"/>
              <w:szCs w:val="36"/>
            </w:rPr>
            <w:fldChar w:fldCharType="end"/>
          </w:r>
        </w:p>
        <w:p w14:paraId="599CC4B2">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_Toc8969 </w:instrText>
          </w:r>
          <w:r>
            <w:rPr>
              <w:rFonts w:hint="eastAsia" w:ascii="宋体" w:hAnsi="宋体" w:eastAsia="宋体" w:cs="宋体"/>
              <w:bCs/>
              <w:szCs w:val="36"/>
            </w:rPr>
            <w:fldChar w:fldCharType="separate"/>
          </w:r>
          <w:r>
            <w:rPr>
              <w:rFonts w:hint="eastAsia" w:ascii="宋体" w:hAnsi="宋体" w:eastAsia="宋体" w:cs="宋体"/>
              <w:kern w:val="0"/>
            </w:rPr>
            <w:t>2.4</w:t>
          </w:r>
          <w:r>
            <w:rPr>
              <w:rFonts w:hint="eastAsia" w:ascii="宋体" w:hAnsi="宋体" w:eastAsia="宋体" w:cs="宋体"/>
              <w:kern w:val="0"/>
              <w:lang w:val="en-US" w:eastAsia="zh-CN"/>
            </w:rPr>
            <w:t xml:space="preserve"> </w:t>
          </w:r>
          <w:r>
            <w:rPr>
              <w:rFonts w:hint="eastAsia" w:ascii="宋体" w:hAnsi="宋体" w:eastAsia="宋体" w:cs="宋体"/>
              <w:kern w:val="0"/>
            </w:rPr>
            <w:t>生产工艺</w:t>
          </w:r>
          <w:r>
            <w:tab/>
          </w:r>
          <w:r>
            <w:fldChar w:fldCharType="begin"/>
          </w:r>
          <w:r>
            <w:instrText xml:space="preserve"> PAGEREF _Toc8969 \h </w:instrText>
          </w:r>
          <w:r>
            <w:fldChar w:fldCharType="separate"/>
          </w:r>
          <w:r>
            <w:t>- 17 -</w:t>
          </w:r>
          <w:r>
            <w:fldChar w:fldCharType="end"/>
          </w:r>
          <w:r>
            <w:rPr>
              <w:rFonts w:hint="eastAsia" w:ascii="宋体" w:hAnsi="宋体" w:eastAsia="宋体" w:cs="宋体"/>
              <w:bCs/>
              <w:color w:val="auto"/>
              <w:szCs w:val="36"/>
            </w:rPr>
            <w:fldChar w:fldCharType="end"/>
          </w:r>
        </w:p>
        <w:p w14:paraId="4CDE7398">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_Toc4646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2.4.1</w:t>
          </w:r>
          <w:r>
            <w:rPr>
              <w:rFonts w:hint="eastAsia" w:ascii="宋体" w:hAnsi="宋体" w:eastAsia="宋体" w:cs="宋体"/>
              <w:snapToGrid w:val="0"/>
              <w:kern w:val="0"/>
              <w:szCs w:val="28"/>
              <w:lang w:val="en-US" w:eastAsia="zh-CN"/>
            </w:rPr>
            <w:t xml:space="preserve"> </w:t>
          </w:r>
          <w:r>
            <w:rPr>
              <w:rFonts w:hint="eastAsia" w:ascii="宋体" w:hAnsi="宋体" w:eastAsia="宋体" w:cs="宋体"/>
              <w:snapToGrid w:val="0"/>
              <w:kern w:val="0"/>
              <w:szCs w:val="28"/>
            </w:rPr>
            <w:t>产品</w:t>
          </w:r>
          <w:r>
            <w:tab/>
          </w:r>
          <w:r>
            <w:fldChar w:fldCharType="begin"/>
          </w:r>
          <w:r>
            <w:instrText xml:space="preserve"> PAGEREF _Toc4646 \h </w:instrText>
          </w:r>
          <w:r>
            <w:fldChar w:fldCharType="separate"/>
          </w:r>
          <w:r>
            <w:t>- 17 -</w:t>
          </w:r>
          <w:r>
            <w:fldChar w:fldCharType="end"/>
          </w:r>
          <w:r>
            <w:rPr>
              <w:rFonts w:hint="eastAsia" w:ascii="宋体" w:hAnsi="宋体" w:eastAsia="宋体" w:cs="宋体"/>
              <w:bCs/>
              <w:color w:val="auto"/>
              <w:szCs w:val="36"/>
            </w:rPr>
            <w:fldChar w:fldCharType="end"/>
          </w:r>
        </w:p>
        <w:p w14:paraId="0B682414">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_Toc7617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2.4.</w:t>
          </w:r>
          <w:r>
            <w:rPr>
              <w:rFonts w:hint="eastAsia" w:ascii="宋体" w:hAnsi="宋体" w:eastAsia="宋体" w:cs="宋体"/>
              <w:snapToGrid w:val="0"/>
              <w:kern w:val="0"/>
              <w:szCs w:val="28"/>
              <w:lang w:val="en-US" w:eastAsia="zh-CN"/>
            </w:rPr>
            <w:t xml:space="preserve">2 </w:t>
          </w:r>
          <w:r>
            <w:rPr>
              <w:rFonts w:hint="eastAsia" w:ascii="宋体" w:hAnsi="宋体" w:eastAsia="宋体" w:cs="宋体"/>
              <w:snapToGrid w:val="0"/>
              <w:kern w:val="0"/>
              <w:szCs w:val="28"/>
            </w:rPr>
            <w:t>生产工艺简述</w:t>
          </w:r>
          <w:r>
            <w:tab/>
          </w:r>
          <w:r>
            <w:fldChar w:fldCharType="begin"/>
          </w:r>
          <w:r>
            <w:instrText xml:space="preserve"> PAGEREF _Toc7617 \h </w:instrText>
          </w:r>
          <w:r>
            <w:fldChar w:fldCharType="separate"/>
          </w:r>
          <w:r>
            <w:t>- 17 -</w:t>
          </w:r>
          <w:r>
            <w:fldChar w:fldCharType="end"/>
          </w:r>
          <w:r>
            <w:rPr>
              <w:rFonts w:hint="eastAsia" w:ascii="宋体" w:hAnsi="宋体" w:eastAsia="宋体" w:cs="宋体"/>
              <w:bCs/>
              <w:color w:val="auto"/>
              <w:szCs w:val="36"/>
            </w:rPr>
            <w:fldChar w:fldCharType="end"/>
          </w:r>
        </w:p>
        <w:p w14:paraId="4CEBE7FF">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_Toc32396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2.4.3主要设备设施</w:t>
          </w:r>
          <w:r>
            <w:tab/>
          </w:r>
          <w:r>
            <w:fldChar w:fldCharType="begin"/>
          </w:r>
          <w:r>
            <w:instrText xml:space="preserve"> PAGEREF _Toc32396 \h </w:instrText>
          </w:r>
          <w:r>
            <w:fldChar w:fldCharType="separate"/>
          </w:r>
          <w:r>
            <w:t>- 23 -</w:t>
          </w:r>
          <w:r>
            <w:fldChar w:fldCharType="end"/>
          </w:r>
          <w:r>
            <w:rPr>
              <w:rFonts w:hint="eastAsia" w:ascii="宋体" w:hAnsi="宋体" w:eastAsia="宋体" w:cs="宋体"/>
              <w:bCs/>
              <w:color w:val="auto"/>
              <w:szCs w:val="36"/>
            </w:rPr>
            <w:fldChar w:fldCharType="end"/>
          </w:r>
        </w:p>
        <w:p w14:paraId="798825B0">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_Toc26116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2.5公用工程及辅助生产设施</w:t>
          </w:r>
          <w:r>
            <w:tab/>
          </w:r>
          <w:r>
            <w:fldChar w:fldCharType="begin"/>
          </w:r>
          <w:r>
            <w:instrText xml:space="preserve"> PAGEREF _Toc26116 \h </w:instrText>
          </w:r>
          <w:r>
            <w:fldChar w:fldCharType="separate"/>
          </w:r>
          <w:r>
            <w:t>- 24 -</w:t>
          </w:r>
          <w:r>
            <w:fldChar w:fldCharType="end"/>
          </w:r>
          <w:r>
            <w:rPr>
              <w:rFonts w:hint="eastAsia" w:ascii="宋体" w:hAnsi="宋体" w:eastAsia="宋体" w:cs="宋体"/>
              <w:bCs/>
              <w:color w:val="auto"/>
              <w:szCs w:val="36"/>
            </w:rPr>
            <w:fldChar w:fldCharType="end"/>
          </w:r>
        </w:p>
        <w:p w14:paraId="79447435">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_Toc5126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2.5.1 给排水</w:t>
          </w:r>
          <w:r>
            <w:tab/>
          </w:r>
          <w:r>
            <w:fldChar w:fldCharType="begin"/>
          </w:r>
          <w:r>
            <w:instrText xml:space="preserve"> PAGEREF _Toc5126 \h </w:instrText>
          </w:r>
          <w:r>
            <w:fldChar w:fldCharType="separate"/>
          </w:r>
          <w:r>
            <w:t>- 24 -</w:t>
          </w:r>
          <w:r>
            <w:fldChar w:fldCharType="end"/>
          </w:r>
          <w:r>
            <w:rPr>
              <w:rFonts w:hint="eastAsia" w:ascii="宋体" w:hAnsi="宋体" w:eastAsia="宋体" w:cs="宋体"/>
              <w:bCs/>
              <w:color w:val="auto"/>
              <w:szCs w:val="36"/>
            </w:rPr>
            <w:fldChar w:fldCharType="end"/>
          </w:r>
        </w:p>
        <w:p w14:paraId="00C09E76">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_Toc5877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2.5.2 供配电</w:t>
          </w:r>
          <w:r>
            <w:tab/>
          </w:r>
          <w:r>
            <w:fldChar w:fldCharType="begin"/>
          </w:r>
          <w:r>
            <w:instrText xml:space="preserve"> PAGEREF _Toc5877 \h </w:instrText>
          </w:r>
          <w:r>
            <w:fldChar w:fldCharType="separate"/>
          </w:r>
          <w:r>
            <w:t>- 24 -</w:t>
          </w:r>
          <w:r>
            <w:fldChar w:fldCharType="end"/>
          </w:r>
          <w:r>
            <w:rPr>
              <w:rFonts w:hint="eastAsia" w:ascii="宋体" w:hAnsi="宋体" w:eastAsia="宋体" w:cs="宋体"/>
              <w:bCs/>
              <w:color w:val="auto"/>
              <w:szCs w:val="36"/>
            </w:rPr>
            <w:fldChar w:fldCharType="end"/>
          </w:r>
        </w:p>
        <w:p w14:paraId="397C21E4">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_Toc30903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2.5.3 防雷防静电</w:t>
          </w:r>
          <w:r>
            <w:tab/>
          </w:r>
          <w:r>
            <w:fldChar w:fldCharType="begin"/>
          </w:r>
          <w:r>
            <w:instrText xml:space="preserve"> PAGEREF _Toc30903 \h </w:instrText>
          </w:r>
          <w:r>
            <w:fldChar w:fldCharType="separate"/>
          </w:r>
          <w:r>
            <w:t>- 24 -</w:t>
          </w:r>
          <w:r>
            <w:fldChar w:fldCharType="end"/>
          </w:r>
          <w:r>
            <w:rPr>
              <w:rFonts w:hint="eastAsia" w:ascii="宋体" w:hAnsi="宋体" w:eastAsia="宋体" w:cs="宋体"/>
              <w:bCs/>
              <w:color w:val="auto"/>
              <w:szCs w:val="36"/>
            </w:rPr>
            <w:fldChar w:fldCharType="end"/>
          </w:r>
        </w:p>
        <w:p w14:paraId="3C6856B7">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_Toc8052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2.5.4 消防</w:t>
          </w:r>
          <w:r>
            <w:tab/>
          </w:r>
          <w:r>
            <w:fldChar w:fldCharType="begin"/>
          </w:r>
          <w:r>
            <w:instrText xml:space="preserve"> PAGEREF _Toc8052 \h </w:instrText>
          </w:r>
          <w:r>
            <w:fldChar w:fldCharType="separate"/>
          </w:r>
          <w:r>
            <w:t>- 24 -</w:t>
          </w:r>
          <w:r>
            <w:fldChar w:fldCharType="end"/>
          </w:r>
          <w:r>
            <w:rPr>
              <w:rFonts w:hint="eastAsia" w:ascii="宋体" w:hAnsi="宋体" w:eastAsia="宋体" w:cs="宋体"/>
              <w:bCs/>
              <w:color w:val="auto"/>
              <w:szCs w:val="36"/>
            </w:rPr>
            <w:fldChar w:fldCharType="end"/>
          </w:r>
        </w:p>
        <w:p w14:paraId="1AFE1AA4">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_Toc25637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2.5.5供气情况</w:t>
          </w:r>
          <w:r>
            <w:tab/>
          </w:r>
          <w:r>
            <w:fldChar w:fldCharType="begin"/>
          </w:r>
          <w:r>
            <w:instrText xml:space="preserve"> PAGEREF _Toc25637 \h </w:instrText>
          </w:r>
          <w:r>
            <w:fldChar w:fldCharType="separate"/>
          </w:r>
          <w:r>
            <w:t>- 25 -</w:t>
          </w:r>
          <w:r>
            <w:fldChar w:fldCharType="end"/>
          </w:r>
          <w:r>
            <w:rPr>
              <w:rFonts w:hint="eastAsia" w:ascii="宋体" w:hAnsi="宋体" w:eastAsia="宋体" w:cs="宋体"/>
              <w:bCs/>
              <w:color w:val="auto"/>
              <w:szCs w:val="36"/>
            </w:rPr>
            <w:fldChar w:fldCharType="end"/>
          </w:r>
        </w:p>
        <w:p w14:paraId="53927E2B">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_Toc21640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2.5.6通风除尘</w:t>
          </w:r>
          <w:r>
            <w:tab/>
          </w:r>
          <w:r>
            <w:fldChar w:fldCharType="begin"/>
          </w:r>
          <w:r>
            <w:instrText xml:space="preserve"> PAGEREF _Toc21640 \h </w:instrText>
          </w:r>
          <w:r>
            <w:fldChar w:fldCharType="separate"/>
          </w:r>
          <w:r>
            <w:t>- 25 -</w:t>
          </w:r>
          <w:r>
            <w:fldChar w:fldCharType="end"/>
          </w:r>
          <w:r>
            <w:rPr>
              <w:rFonts w:hint="eastAsia" w:ascii="宋体" w:hAnsi="宋体" w:eastAsia="宋体" w:cs="宋体"/>
              <w:bCs/>
              <w:color w:val="auto"/>
              <w:szCs w:val="36"/>
            </w:rPr>
            <w:fldChar w:fldCharType="end"/>
          </w:r>
        </w:p>
        <w:p w14:paraId="16F1B507">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_Toc19563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2.5.7其他</w:t>
          </w:r>
          <w:r>
            <w:tab/>
          </w:r>
          <w:r>
            <w:fldChar w:fldCharType="begin"/>
          </w:r>
          <w:r>
            <w:instrText xml:space="preserve"> PAGEREF _Toc19563 \h </w:instrText>
          </w:r>
          <w:r>
            <w:fldChar w:fldCharType="separate"/>
          </w:r>
          <w:r>
            <w:t>- 25 -</w:t>
          </w:r>
          <w:r>
            <w:fldChar w:fldCharType="end"/>
          </w:r>
          <w:r>
            <w:rPr>
              <w:rFonts w:hint="eastAsia" w:ascii="宋体" w:hAnsi="宋体" w:eastAsia="宋体" w:cs="宋体"/>
              <w:bCs/>
              <w:color w:val="auto"/>
              <w:szCs w:val="36"/>
            </w:rPr>
            <w:fldChar w:fldCharType="end"/>
          </w:r>
        </w:p>
        <w:p w14:paraId="677CB7A8">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_Toc15434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2.6安全管理现状</w:t>
          </w:r>
          <w:r>
            <w:tab/>
          </w:r>
          <w:r>
            <w:fldChar w:fldCharType="begin"/>
          </w:r>
          <w:r>
            <w:instrText xml:space="preserve"> PAGEREF _Toc15434 \h </w:instrText>
          </w:r>
          <w:r>
            <w:fldChar w:fldCharType="separate"/>
          </w:r>
          <w:r>
            <w:t>- 26 -</w:t>
          </w:r>
          <w:r>
            <w:fldChar w:fldCharType="end"/>
          </w:r>
          <w:r>
            <w:rPr>
              <w:rFonts w:hint="eastAsia" w:ascii="宋体" w:hAnsi="宋体" w:eastAsia="宋体" w:cs="宋体"/>
              <w:bCs/>
              <w:color w:val="auto"/>
              <w:szCs w:val="36"/>
            </w:rPr>
            <w:fldChar w:fldCharType="end"/>
          </w:r>
        </w:p>
        <w:p w14:paraId="738557F9">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_Toc3586 </w:instrText>
          </w:r>
          <w:r>
            <w:rPr>
              <w:rFonts w:hint="eastAsia" w:ascii="宋体" w:hAnsi="宋体" w:eastAsia="宋体" w:cs="宋体"/>
              <w:bCs/>
              <w:szCs w:val="36"/>
            </w:rPr>
            <w:fldChar w:fldCharType="separate"/>
          </w:r>
          <w:r>
            <w:rPr>
              <w:rFonts w:hint="default" w:ascii="宋体" w:hAnsi="宋体" w:eastAsia="宋体" w:cs="宋体"/>
              <w:snapToGrid w:val="0"/>
              <w:kern w:val="0"/>
              <w:szCs w:val="28"/>
              <w:lang w:val="en-US" w:eastAsia="zh-CN"/>
            </w:rPr>
            <w:t>2.</w:t>
          </w:r>
          <w:r>
            <w:rPr>
              <w:rFonts w:hint="eastAsia" w:ascii="宋体" w:hAnsi="宋体" w:eastAsia="宋体" w:cs="宋体"/>
              <w:snapToGrid w:val="0"/>
              <w:kern w:val="0"/>
              <w:szCs w:val="28"/>
              <w:lang w:val="en-US" w:eastAsia="zh-CN"/>
            </w:rPr>
            <w:t>6</w:t>
          </w:r>
          <w:r>
            <w:rPr>
              <w:rFonts w:hint="default" w:ascii="宋体" w:hAnsi="宋体" w:eastAsia="宋体" w:cs="宋体"/>
              <w:snapToGrid w:val="0"/>
              <w:kern w:val="0"/>
              <w:szCs w:val="28"/>
              <w:lang w:val="en-US" w:eastAsia="zh-CN"/>
            </w:rPr>
            <w:t xml:space="preserve">.1 </w:t>
          </w:r>
          <w:r>
            <w:rPr>
              <w:rFonts w:hint="eastAsia" w:ascii="宋体" w:hAnsi="宋体" w:eastAsia="宋体" w:cs="宋体"/>
              <w:snapToGrid w:val="0"/>
              <w:kern w:val="0"/>
              <w:szCs w:val="28"/>
              <w:lang w:val="en-US" w:eastAsia="zh-CN"/>
            </w:rPr>
            <w:t>劳动定员及作业制度</w:t>
          </w:r>
          <w:r>
            <w:tab/>
          </w:r>
          <w:r>
            <w:fldChar w:fldCharType="begin"/>
          </w:r>
          <w:r>
            <w:instrText xml:space="preserve"> PAGEREF _Toc3586 \h </w:instrText>
          </w:r>
          <w:r>
            <w:fldChar w:fldCharType="separate"/>
          </w:r>
          <w:r>
            <w:t>- 26 -</w:t>
          </w:r>
          <w:r>
            <w:fldChar w:fldCharType="end"/>
          </w:r>
          <w:r>
            <w:rPr>
              <w:rFonts w:hint="eastAsia" w:ascii="宋体" w:hAnsi="宋体" w:eastAsia="宋体" w:cs="宋体"/>
              <w:bCs/>
              <w:color w:val="auto"/>
              <w:szCs w:val="36"/>
            </w:rPr>
            <w:fldChar w:fldCharType="end"/>
          </w:r>
        </w:p>
        <w:p w14:paraId="29EE769E">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_Toc32014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2.6.2安全生产管理组织机构</w:t>
          </w:r>
          <w:r>
            <w:tab/>
          </w:r>
          <w:r>
            <w:fldChar w:fldCharType="begin"/>
          </w:r>
          <w:r>
            <w:instrText xml:space="preserve"> PAGEREF _Toc32014 \h </w:instrText>
          </w:r>
          <w:r>
            <w:fldChar w:fldCharType="separate"/>
          </w:r>
          <w:r>
            <w:t>- 26 -</w:t>
          </w:r>
          <w:r>
            <w:fldChar w:fldCharType="end"/>
          </w:r>
          <w:r>
            <w:rPr>
              <w:rFonts w:hint="eastAsia" w:ascii="宋体" w:hAnsi="宋体" w:eastAsia="宋体" w:cs="宋体"/>
              <w:bCs/>
              <w:color w:val="auto"/>
              <w:szCs w:val="36"/>
            </w:rPr>
            <w:fldChar w:fldCharType="end"/>
          </w:r>
        </w:p>
        <w:p w14:paraId="3876C3C4">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_Toc27330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2.6.3安全生产管理制度</w:t>
          </w:r>
          <w:r>
            <w:tab/>
          </w:r>
          <w:r>
            <w:fldChar w:fldCharType="begin"/>
          </w:r>
          <w:r>
            <w:instrText xml:space="preserve"> PAGEREF _Toc27330 \h </w:instrText>
          </w:r>
          <w:r>
            <w:fldChar w:fldCharType="separate"/>
          </w:r>
          <w:r>
            <w:t>- 27 -</w:t>
          </w:r>
          <w:r>
            <w:fldChar w:fldCharType="end"/>
          </w:r>
          <w:r>
            <w:rPr>
              <w:rFonts w:hint="eastAsia" w:ascii="宋体" w:hAnsi="宋体" w:eastAsia="宋体" w:cs="宋体"/>
              <w:bCs/>
              <w:color w:val="auto"/>
              <w:szCs w:val="36"/>
            </w:rPr>
            <w:fldChar w:fldCharType="end"/>
          </w:r>
        </w:p>
        <w:p w14:paraId="26A65135">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_Toc31442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zh-CN" w:eastAsia="zh-CN"/>
            </w:rPr>
            <w:t>2.</w:t>
          </w:r>
          <w:r>
            <w:rPr>
              <w:rFonts w:hint="eastAsia" w:ascii="宋体" w:hAnsi="宋体" w:eastAsia="宋体" w:cs="宋体"/>
              <w:snapToGrid w:val="0"/>
              <w:kern w:val="0"/>
              <w:szCs w:val="28"/>
              <w:lang w:val="en-US" w:eastAsia="zh-CN"/>
            </w:rPr>
            <w:t>6</w:t>
          </w:r>
          <w:r>
            <w:rPr>
              <w:rFonts w:hint="eastAsia" w:ascii="宋体" w:hAnsi="宋体" w:eastAsia="宋体" w:cs="宋体"/>
              <w:snapToGrid w:val="0"/>
              <w:kern w:val="0"/>
              <w:szCs w:val="28"/>
              <w:lang w:val="zh-CN" w:eastAsia="zh-CN"/>
            </w:rPr>
            <w:t>.</w:t>
          </w:r>
          <w:r>
            <w:rPr>
              <w:rFonts w:hint="eastAsia" w:hAnsi="宋体" w:cs="宋体"/>
              <w:snapToGrid w:val="0"/>
              <w:kern w:val="0"/>
              <w:szCs w:val="28"/>
              <w:lang w:val="en-US" w:eastAsia="zh-CN"/>
            </w:rPr>
            <w:t>4</w:t>
          </w:r>
          <w:r>
            <w:rPr>
              <w:rFonts w:hint="eastAsia" w:ascii="宋体" w:hAnsi="宋体" w:eastAsia="宋体" w:cs="宋体"/>
              <w:snapToGrid w:val="0"/>
              <w:kern w:val="0"/>
              <w:szCs w:val="28"/>
              <w:lang w:val="en-US" w:eastAsia="zh-CN"/>
            </w:rPr>
            <w:t xml:space="preserve"> 事故</w:t>
          </w:r>
          <w:r>
            <w:rPr>
              <w:rFonts w:hint="eastAsia" w:ascii="宋体" w:hAnsi="宋体" w:eastAsia="宋体" w:cs="宋体"/>
              <w:snapToGrid w:val="0"/>
              <w:kern w:val="0"/>
              <w:szCs w:val="28"/>
              <w:lang w:val="zh-CN" w:eastAsia="zh-CN"/>
            </w:rPr>
            <w:t>应急救援预案</w:t>
          </w:r>
          <w:r>
            <w:tab/>
          </w:r>
          <w:r>
            <w:fldChar w:fldCharType="begin"/>
          </w:r>
          <w:r>
            <w:instrText xml:space="preserve"> PAGEREF _Toc31442 \h </w:instrText>
          </w:r>
          <w:r>
            <w:fldChar w:fldCharType="separate"/>
          </w:r>
          <w:r>
            <w:t>- 29 -</w:t>
          </w:r>
          <w:r>
            <w:fldChar w:fldCharType="end"/>
          </w:r>
          <w:r>
            <w:rPr>
              <w:rFonts w:hint="eastAsia" w:ascii="宋体" w:hAnsi="宋体" w:eastAsia="宋体" w:cs="宋体"/>
              <w:bCs/>
              <w:color w:val="auto"/>
              <w:szCs w:val="36"/>
            </w:rPr>
            <w:fldChar w:fldCharType="end"/>
          </w:r>
        </w:p>
        <w:p w14:paraId="3821796B">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_Toc25102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2.6.5作业人员培训情况</w:t>
          </w:r>
          <w:r>
            <w:tab/>
          </w:r>
          <w:r>
            <w:fldChar w:fldCharType="begin"/>
          </w:r>
          <w:r>
            <w:instrText xml:space="preserve"> PAGEREF _Toc25102 \h </w:instrText>
          </w:r>
          <w:r>
            <w:fldChar w:fldCharType="separate"/>
          </w:r>
          <w:r>
            <w:t>- 29 -</w:t>
          </w:r>
          <w:r>
            <w:fldChar w:fldCharType="end"/>
          </w:r>
          <w:r>
            <w:rPr>
              <w:rFonts w:hint="eastAsia" w:ascii="宋体" w:hAnsi="宋体" w:eastAsia="宋体" w:cs="宋体"/>
              <w:bCs/>
              <w:color w:val="auto"/>
              <w:szCs w:val="36"/>
            </w:rPr>
            <w:fldChar w:fldCharType="end"/>
          </w:r>
        </w:p>
        <w:p w14:paraId="530ECF00">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_Toc15685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2.6.6劳动防护用品配置</w:t>
          </w:r>
          <w:r>
            <w:tab/>
          </w:r>
          <w:r>
            <w:fldChar w:fldCharType="begin"/>
          </w:r>
          <w:r>
            <w:instrText xml:space="preserve"> PAGEREF _Toc15685 \h </w:instrText>
          </w:r>
          <w:r>
            <w:fldChar w:fldCharType="separate"/>
          </w:r>
          <w:r>
            <w:t>- 30 -</w:t>
          </w:r>
          <w:r>
            <w:fldChar w:fldCharType="end"/>
          </w:r>
          <w:r>
            <w:rPr>
              <w:rFonts w:hint="eastAsia" w:ascii="宋体" w:hAnsi="宋体" w:eastAsia="宋体" w:cs="宋体"/>
              <w:bCs/>
              <w:color w:val="auto"/>
              <w:szCs w:val="36"/>
            </w:rPr>
            <w:fldChar w:fldCharType="end"/>
          </w:r>
        </w:p>
        <w:p w14:paraId="50284186">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_Toc13132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2.6.7工伤保险购买情况</w:t>
          </w:r>
          <w:r>
            <w:tab/>
          </w:r>
          <w:r>
            <w:fldChar w:fldCharType="begin"/>
          </w:r>
          <w:r>
            <w:instrText xml:space="preserve"> PAGEREF _Toc13132 \h </w:instrText>
          </w:r>
          <w:r>
            <w:fldChar w:fldCharType="separate"/>
          </w:r>
          <w:r>
            <w:t>- 30 -</w:t>
          </w:r>
          <w:r>
            <w:fldChar w:fldCharType="end"/>
          </w:r>
          <w:r>
            <w:rPr>
              <w:rFonts w:hint="eastAsia" w:ascii="宋体" w:hAnsi="宋体" w:eastAsia="宋体" w:cs="宋体"/>
              <w:bCs/>
              <w:color w:val="auto"/>
              <w:szCs w:val="36"/>
            </w:rPr>
            <w:fldChar w:fldCharType="end"/>
          </w:r>
        </w:p>
        <w:p w14:paraId="4B055E88">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_Toc19171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2.6.8近期运行情况</w:t>
          </w:r>
          <w:r>
            <w:tab/>
          </w:r>
          <w:r>
            <w:fldChar w:fldCharType="begin"/>
          </w:r>
          <w:r>
            <w:instrText xml:space="preserve"> PAGEREF _Toc19171 \h </w:instrText>
          </w:r>
          <w:r>
            <w:fldChar w:fldCharType="separate"/>
          </w:r>
          <w:r>
            <w:t>- 30 -</w:t>
          </w:r>
          <w:r>
            <w:fldChar w:fldCharType="end"/>
          </w:r>
          <w:r>
            <w:rPr>
              <w:rFonts w:hint="eastAsia" w:ascii="宋体" w:hAnsi="宋体" w:eastAsia="宋体" w:cs="宋体"/>
              <w:bCs/>
              <w:color w:val="auto"/>
              <w:szCs w:val="36"/>
            </w:rPr>
            <w:fldChar w:fldCharType="end"/>
          </w:r>
        </w:p>
        <w:p w14:paraId="35D9D52D">
          <w:pPr>
            <w:pStyle w:val="17"/>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_Toc9486 </w:instrText>
          </w:r>
          <w:r>
            <w:rPr>
              <w:rFonts w:hint="eastAsia" w:ascii="宋体" w:hAnsi="宋体" w:eastAsia="宋体" w:cs="宋体"/>
              <w:bCs/>
              <w:szCs w:val="36"/>
            </w:rPr>
            <w:fldChar w:fldCharType="separate"/>
          </w:r>
          <w:r>
            <w:rPr>
              <w:rFonts w:hint="eastAsia" w:ascii="宋体" w:hAnsi="宋体" w:eastAsia="宋体" w:cs="宋体"/>
            </w:rPr>
            <w:t>第3章  主要危险、有害因素辨识与分析</w:t>
          </w:r>
          <w:r>
            <w:tab/>
          </w:r>
          <w:r>
            <w:fldChar w:fldCharType="begin"/>
          </w:r>
          <w:r>
            <w:instrText xml:space="preserve"> PAGEREF _Toc9486 \h </w:instrText>
          </w:r>
          <w:r>
            <w:fldChar w:fldCharType="separate"/>
          </w:r>
          <w:r>
            <w:t>- 31 -</w:t>
          </w:r>
          <w:r>
            <w:fldChar w:fldCharType="end"/>
          </w:r>
          <w:r>
            <w:rPr>
              <w:rFonts w:hint="eastAsia" w:ascii="宋体" w:hAnsi="宋体" w:eastAsia="宋体" w:cs="宋体"/>
              <w:bCs/>
              <w:color w:val="auto"/>
              <w:szCs w:val="36"/>
            </w:rPr>
            <w:fldChar w:fldCharType="end"/>
          </w:r>
        </w:p>
        <w:p w14:paraId="0A0EBAF8">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_Toc18926 </w:instrText>
          </w:r>
          <w:r>
            <w:rPr>
              <w:rFonts w:hint="eastAsia" w:ascii="宋体" w:hAnsi="宋体" w:eastAsia="宋体" w:cs="宋体"/>
              <w:bCs/>
              <w:szCs w:val="36"/>
            </w:rPr>
            <w:fldChar w:fldCharType="separate"/>
          </w:r>
          <w:r>
            <w:rPr>
              <w:rFonts w:hint="eastAsia" w:ascii="宋体" w:hAnsi="宋体" w:eastAsia="宋体" w:cs="宋体"/>
              <w:kern w:val="0"/>
            </w:rPr>
            <w:t>3.1</w:t>
          </w:r>
          <w:r>
            <w:rPr>
              <w:rFonts w:hint="eastAsia" w:ascii="宋体" w:hAnsi="宋体" w:eastAsia="宋体" w:cs="宋体"/>
              <w:kern w:val="0"/>
              <w:lang w:val="en-US" w:eastAsia="zh-CN"/>
            </w:rPr>
            <w:t xml:space="preserve"> </w:t>
          </w:r>
          <w:r>
            <w:rPr>
              <w:rFonts w:hint="eastAsia" w:ascii="宋体" w:hAnsi="宋体" w:eastAsia="宋体" w:cs="宋体"/>
              <w:kern w:val="0"/>
            </w:rPr>
            <w:t>辨识与分析的目的</w:t>
          </w:r>
          <w:r>
            <w:tab/>
          </w:r>
          <w:r>
            <w:fldChar w:fldCharType="begin"/>
          </w:r>
          <w:r>
            <w:instrText xml:space="preserve"> PAGEREF _Toc18926 \h </w:instrText>
          </w:r>
          <w:r>
            <w:fldChar w:fldCharType="separate"/>
          </w:r>
          <w:r>
            <w:t>- 31 -</w:t>
          </w:r>
          <w:r>
            <w:fldChar w:fldCharType="end"/>
          </w:r>
          <w:r>
            <w:rPr>
              <w:rFonts w:hint="eastAsia" w:ascii="宋体" w:hAnsi="宋体" w:eastAsia="宋体" w:cs="宋体"/>
              <w:bCs/>
              <w:color w:val="auto"/>
              <w:szCs w:val="36"/>
            </w:rPr>
            <w:fldChar w:fldCharType="end"/>
          </w:r>
        </w:p>
        <w:p w14:paraId="3CF65AAA">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_Toc16027 </w:instrText>
          </w:r>
          <w:r>
            <w:rPr>
              <w:rFonts w:hint="eastAsia" w:ascii="宋体" w:hAnsi="宋体" w:eastAsia="宋体" w:cs="宋体"/>
              <w:bCs/>
              <w:szCs w:val="36"/>
            </w:rPr>
            <w:fldChar w:fldCharType="separate"/>
          </w:r>
          <w:r>
            <w:rPr>
              <w:rFonts w:hint="eastAsia" w:ascii="宋体" w:hAnsi="宋体" w:eastAsia="宋体" w:cs="宋体"/>
              <w:kern w:val="0"/>
            </w:rPr>
            <w:t>3.</w:t>
          </w:r>
          <w:r>
            <w:rPr>
              <w:rFonts w:hint="eastAsia" w:ascii="宋体" w:hAnsi="宋体" w:eastAsia="宋体" w:cs="宋体"/>
              <w:kern w:val="0"/>
              <w:lang w:val="en-US" w:eastAsia="zh-CN"/>
            </w:rPr>
            <w:t xml:space="preserve">2 </w:t>
          </w:r>
          <w:r>
            <w:rPr>
              <w:rFonts w:hint="eastAsia" w:ascii="宋体" w:hAnsi="宋体" w:eastAsia="宋体" w:cs="宋体"/>
              <w:kern w:val="0"/>
            </w:rPr>
            <w:t>辨识与分析的依据</w:t>
          </w:r>
          <w:r>
            <w:tab/>
          </w:r>
          <w:r>
            <w:fldChar w:fldCharType="begin"/>
          </w:r>
          <w:r>
            <w:instrText xml:space="preserve"> PAGEREF _Toc16027 \h </w:instrText>
          </w:r>
          <w:r>
            <w:fldChar w:fldCharType="separate"/>
          </w:r>
          <w:r>
            <w:t>- 31 -</w:t>
          </w:r>
          <w:r>
            <w:fldChar w:fldCharType="end"/>
          </w:r>
          <w:r>
            <w:rPr>
              <w:rFonts w:hint="eastAsia" w:ascii="宋体" w:hAnsi="宋体" w:eastAsia="宋体" w:cs="宋体"/>
              <w:bCs/>
              <w:color w:val="auto"/>
              <w:szCs w:val="36"/>
            </w:rPr>
            <w:fldChar w:fldCharType="end"/>
          </w:r>
        </w:p>
        <w:p w14:paraId="44748AAA">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_Toc20160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3.3</w:t>
          </w:r>
          <w:r>
            <w:rPr>
              <w:rFonts w:hint="eastAsia" w:ascii="宋体" w:hAnsi="宋体" w:eastAsia="宋体" w:cs="宋体"/>
              <w:kern w:val="0"/>
            </w:rPr>
            <w:t>危险、有害因素产生的原因</w:t>
          </w:r>
          <w:r>
            <w:tab/>
          </w:r>
          <w:r>
            <w:fldChar w:fldCharType="begin"/>
          </w:r>
          <w:r>
            <w:instrText xml:space="preserve"> PAGEREF _Toc20160 \h </w:instrText>
          </w:r>
          <w:r>
            <w:fldChar w:fldCharType="separate"/>
          </w:r>
          <w:r>
            <w:t>- 32 -</w:t>
          </w:r>
          <w:r>
            <w:fldChar w:fldCharType="end"/>
          </w:r>
          <w:r>
            <w:rPr>
              <w:rFonts w:hint="eastAsia" w:ascii="宋体" w:hAnsi="宋体" w:eastAsia="宋体" w:cs="宋体"/>
              <w:bCs/>
              <w:color w:val="auto"/>
              <w:szCs w:val="36"/>
            </w:rPr>
            <w:fldChar w:fldCharType="end"/>
          </w:r>
        </w:p>
        <w:p w14:paraId="58772BBD">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_Toc13275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3.3.1</w:t>
          </w:r>
          <w:r>
            <w:rPr>
              <w:rFonts w:hint="eastAsia" w:ascii="宋体" w:hAnsi="宋体" w:eastAsia="宋体" w:cs="宋体"/>
              <w:snapToGrid w:val="0"/>
              <w:kern w:val="0"/>
              <w:szCs w:val="28"/>
              <w:lang w:val="zh-CN" w:eastAsia="zh-CN"/>
            </w:rPr>
            <w:t>运行失控与设备故障</w:t>
          </w:r>
          <w:r>
            <w:tab/>
          </w:r>
          <w:r>
            <w:fldChar w:fldCharType="begin"/>
          </w:r>
          <w:r>
            <w:instrText xml:space="preserve"> PAGEREF _Toc13275 \h </w:instrText>
          </w:r>
          <w:r>
            <w:fldChar w:fldCharType="separate"/>
          </w:r>
          <w:r>
            <w:t>- 32 -</w:t>
          </w:r>
          <w:r>
            <w:fldChar w:fldCharType="end"/>
          </w:r>
          <w:r>
            <w:rPr>
              <w:rFonts w:hint="eastAsia" w:ascii="宋体" w:hAnsi="宋体" w:eastAsia="宋体" w:cs="宋体"/>
              <w:bCs/>
              <w:color w:val="auto"/>
              <w:szCs w:val="36"/>
            </w:rPr>
            <w:fldChar w:fldCharType="end"/>
          </w:r>
        </w:p>
        <w:p w14:paraId="1A006A7A">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_Toc12805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3.3.2人员失误</w:t>
          </w:r>
          <w:r>
            <w:tab/>
          </w:r>
          <w:r>
            <w:fldChar w:fldCharType="begin"/>
          </w:r>
          <w:r>
            <w:instrText xml:space="preserve"> PAGEREF _Toc12805 \h </w:instrText>
          </w:r>
          <w:r>
            <w:fldChar w:fldCharType="separate"/>
          </w:r>
          <w:r>
            <w:t>- 33 -</w:t>
          </w:r>
          <w:r>
            <w:fldChar w:fldCharType="end"/>
          </w:r>
          <w:r>
            <w:rPr>
              <w:rFonts w:hint="eastAsia" w:ascii="宋体" w:hAnsi="宋体" w:eastAsia="宋体" w:cs="宋体"/>
              <w:bCs/>
              <w:color w:val="auto"/>
              <w:szCs w:val="36"/>
            </w:rPr>
            <w:fldChar w:fldCharType="end"/>
          </w:r>
        </w:p>
        <w:p w14:paraId="4E53870F">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_Toc24004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3.3.3管理缺陷</w:t>
          </w:r>
          <w:r>
            <w:tab/>
          </w:r>
          <w:r>
            <w:fldChar w:fldCharType="begin"/>
          </w:r>
          <w:r>
            <w:instrText xml:space="preserve"> PAGEREF _Toc24004 \h </w:instrText>
          </w:r>
          <w:r>
            <w:fldChar w:fldCharType="separate"/>
          </w:r>
          <w:r>
            <w:t>- 33 -</w:t>
          </w:r>
          <w:r>
            <w:fldChar w:fldCharType="end"/>
          </w:r>
          <w:r>
            <w:rPr>
              <w:rFonts w:hint="eastAsia" w:ascii="宋体" w:hAnsi="宋体" w:eastAsia="宋体" w:cs="宋体"/>
              <w:bCs/>
              <w:color w:val="auto"/>
              <w:szCs w:val="36"/>
            </w:rPr>
            <w:fldChar w:fldCharType="end"/>
          </w:r>
        </w:p>
        <w:p w14:paraId="02A551E2">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_Toc7105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3.3.4环境因素</w:t>
          </w:r>
          <w:r>
            <w:tab/>
          </w:r>
          <w:r>
            <w:fldChar w:fldCharType="begin"/>
          </w:r>
          <w:r>
            <w:instrText xml:space="preserve"> PAGEREF _Toc7105 \h </w:instrText>
          </w:r>
          <w:r>
            <w:fldChar w:fldCharType="separate"/>
          </w:r>
          <w:r>
            <w:t>- 33 -</w:t>
          </w:r>
          <w:r>
            <w:fldChar w:fldCharType="end"/>
          </w:r>
          <w:r>
            <w:rPr>
              <w:rFonts w:hint="eastAsia" w:ascii="宋体" w:hAnsi="宋体" w:eastAsia="宋体" w:cs="宋体"/>
              <w:bCs/>
              <w:color w:val="auto"/>
              <w:szCs w:val="36"/>
            </w:rPr>
            <w:fldChar w:fldCharType="end"/>
          </w:r>
        </w:p>
        <w:p w14:paraId="2FBDEA2B">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_Toc16970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3.4 主要危险、有害物质辨识与分析</w:t>
          </w:r>
          <w:r>
            <w:tab/>
          </w:r>
          <w:r>
            <w:fldChar w:fldCharType="begin"/>
          </w:r>
          <w:r>
            <w:instrText xml:space="preserve"> PAGEREF _Toc16970 \h </w:instrText>
          </w:r>
          <w:r>
            <w:fldChar w:fldCharType="separate"/>
          </w:r>
          <w:r>
            <w:t>- 33 -</w:t>
          </w:r>
          <w:r>
            <w:fldChar w:fldCharType="end"/>
          </w:r>
          <w:r>
            <w:rPr>
              <w:rFonts w:hint="eastAsia" w:ascii="宋体" w:hAnsi="宋体" w:eastAsia="宋体" w:cs="宋体"/>
              <w:bCs/>
              <w:color w:val="auto"/>
              <w:szCs w:val="36"/>
            </w:rPr>
            <w:fldChar w:fldCharType="end"/>
          </w:r>
        </w:p>
        <w:p w14:paraId="51604178">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3.4.1主要危险、有害物质辨识</w:t>
          </w:r>
          <w:r>
            <w:tab/>
          </w:r>
          <w:r>
            <w:fldChar w:fldCharType="begin"/>
          </w:r>
          <w:r>
            <w:instrText xml:space="preserve"> PAGEREF _Toc165 \h </w:instrText>
          </w:r>
          <w:r>
            <w:fldChar w:fldCharType="separate"/>
          </w:r>
          <w:r>
            <w:t>- 33 -</w:t>
          </w:r>
          <w:r>
            <w:fldChar w:fldCharType="end"/>
          </w:r>
          <w:r>
            <w:rPr>
              <w:rFonts w:hint="eastAsia" w:ascii="宋体" w:hAnsi="宋体" w:eastAsia="宋体" w:cs="宋体"/>
              <w:bCs/>
              <w:color w:val="auto"/>
              <w:szCs w:val="36"/>
            </w:rPr>
            <w:fldChar w:fldCharType="end"/>
          </w:r>
        </w:p>
        <w:p w14:paraId="1F350D08">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_Toc30050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3.4.2危险化学品辨识</w:t>
          </w:r>
          <w:r>
            <w:tab/>
          </w:r>
          <w:r>
            <w:fldChar w:fldCharType="begin"/>
          </w:r>
          <w:r>
            <w:instrText xml:space="preserve"> PAGEREF _Toc30050 \h </w:instrText>
          </w:r>
          <w:r>
            <w:fldChar w:fldCharType="separate"/>
          </w:r>
          <w:r>
            <w:t>- 33 -</w:t>
          </w:r>
          <w:r>
            <w:fldChar w:fldCharType="end"/>
          </w:r>
          <w:r>
            <w:rPr>
              <w:rFonts w:hint="eastAsia" w:ascii="宋体" w:hAnsi="宋体" w:eastAsia="宋体" w:cs="宋体"/>
              <w:bCs/>
              <w:color w:val="auto"/>
              <w:szCs w:val="36"/>
            </w:rPr>
            <w:fldChar w:fldCharType="end"/>
          </w:r>
        </w:p>
        <w:p w14:paraId="6AB8603D">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_Toc30382 </w:instrText>
          </w:r>
          <w:r>
            <w:rPr>
              <w:rFonts w:hint="eastAsia" w:ascii="宋体" w:hAnsi="宋体" w:eastAsia="宋体" w:cs="宋体"/>
              <w:bCs/>
              <w:szCs w:val="36"/>
            </w:rPr>
            <w:fldChar w:fldCharType="separate"/>
          </w:r>
          <w:r>
            <w:rPr>
              <w:rFonts w:hint="default" w:ascii="宋体" w:hAnsi="宋体" w:eastAsia="宋体" w:cs="宋体"/>
              <w:snapToGrid w:val="0"/>
              <w:kern w:val="0"/>
              <w:szCs w:val="28"/>
              <w:lang w:val="en-US" w:eastAsia="zh-CN"/>
            </w:rPr>
            <w:t>3.4.</w:t>
          </w:r>
          <w:r>
            <w:rPr>
              <w:rFonts w:hint="eastAsia" w:ascii="宋体" w:hAnsi="宋体" w:eastAsia="宋体" w:cs="宋体"/>
              <w:snapToGrid w:val="0"/>
              <w:kern w:val="0"/>
              <w:szCs w:val="28"/>
              <w:lang w:val="en-US" w:eastAsia="zh-CN"/>
            </w:rPr>
            <w:t>3 危险物质理化特性</w:t>
          </w:r>
          <w:r>
            <w:tab/>
          </w:r>
          <w:r>
            <w:fldChar w:fldCharType="begin"/>
          </w:r>
          <w:r>
            <w:instrText xml:space="preserve"> PAGEREF _Toc30382 \h </w:instrText>
          </w:r>
          <w:r>
            <w:fldChar w:fldCharType="separate"/>
          </w:r>
          <w:r>
            <w:t>- 34 -</w:t>
          </w:r>
          <w:r>
            <w:fldChar w:fldCharType="end"/>
          </w:r>
          <w:r>
            <w:rPr>
              <w:rFonts w:hint="eastAsia" w:ascii="宋体" w:hAnsi="宋体" w:eastAsia="宋体" w:cs="宋体"/>
              <w:bCs/>
              <w:color w:val="auto"/>
              <w:szCs w:val="36"/>
            </w:rPr>
            <w:fldChar w:fldCharType="end"/>
          </w:r>
        </w:p>
        <w:p w14:paraId="0A3149CA">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_Toc18289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3.5厂址及总平面布置主要危险、有害因素辨识与分析</w:t>
          </w:r>
          <w:r>
            <w:tab/>
          </w:r>
          <w:r>
            <w:fldChar w:fldCharType="begin"/>
          </w:r>
          <w:r>
            <w:instrText xml:space="preserve"> PAGEREF _Toc18289 \h </w:instrText>
          </w:r>
          <w:r>
            <w:fldChar w:fldCharType="separate"/>
          </w:r>
          <w:r>
            <w:t>- 35 -</w:t>
          </w:r>
          <w:r>
            <w:fldChar w:fldCharType="end"/>
          </w:r>
          <w:r>
            <w:rPr>
              <w:rFonts w:hint="eastAsia" w:ascii="宋体" w:hAnsi="宋体" w:eastAsia="宋体" w:cs="宋体"/>
              <w:bCs/>
              <w:color w:val="auto"/>
              <w:szCs w:val="36"/>
            </w:rPr>
            <w:fldChar w:fldCharType="end"/>
          </w:r>
        </w:p>
        <w:p w14:paraId="2F888BFE">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_Toc15779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3.5.1厂址危险性分析</w:t>
          </w:r>
          <w:r>
            <w:tab/>
          </w:r>
          <w:r>
            <w:fldChar w:fldCharType="begin"/>
          </w:r>
          <w:r>
            <w:instrText xml:space="preserve"> PAGEREF _Toc15779 \h </w:instrText>
          </w:r>
          <w:r>
            <w:fldChar w:fldCharType="separate"/>
          </w:r>
          <w:r>
            <w:t>- 35 -</w:t>
          </w:r>
          <w:r>
            <w:fldChar w:fldCharType="end"/>
          </w:r>
          <w:r>
            <w:rPr>
              <w:rFonts w:hint="eastAsia" w:ascii="宋体" w:hAnsi="宋体" w:eastAsia="宋体" w:cs="宋体"/>
              <w:bCs/>
              <w:color w:val="auto"/>
              <w:szCs w:val="36"/>
            </w:rPr>
            <w:fldChar w:fldCharType="end"/>
          </w:r>
        </w:p>
        <w:p w14:paraId="4564204E">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_Toc11851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3.5.2总平面布置危险性分析</w:t>
          </w:r>
          <w:r>
            <w:tab/>
          </w:r>
          <w:r>
            <w:fldChar w:fldCharType="begin"/>
          </w:r>
          <w:r>
            <w:instrText xml:space="preserve"> PAGEREF _Toc11851 \h </w:instrText>
          </w:r>
          <w:r>
            <w:fldChar w:fldCharType="separate"/>
          </w:r>
          <w:r>
            <w:t>- 37 -</w:t>
          </w:r>
          <w:r>
            <w:fldChar w:fldCharType="end"/>
          </w:r>
          <w:r>
            <w:rPr>
              <w:rFonts w:hint="eastAsia" w:ascii="宋体" w:hAnsi="宋体" w:eastAsia="宋体" w:cs="宋体"/>
              <w:bCs/>
              <w:color w:val="auto"/>
              <w:szCs w:val="36"/>
            </w:rPr>
            <w:fldChar w:fldCharType="end"/>
          </w:r>
        </w:p>
        <w:p w14:paraId="688AABD5">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_Toc31881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3.5.3公用工程和辅助设施的危险、有害因素辨识</w:t>
          </w:r>
          <w:r>
            <w:tab/>
          </w:r>
          <w:r>
            <w:fldChar w:fldCharType="begin"/>
          </w:r>
          <w:r>
            <w:instrText xml:space="preserve"> PAGEREF _Toc31881 \h </w:instrText>
          </w:r>
          <w:r>
            <w:fldChar w:fldCharType="separate"/>
          </w:r>
          <w:r>
            <w:t>- 37 -</w:t>
          </w:r>
          <w:r>
            <w:fldChar w:fldCharType="end"/>
          </w:r>
          <w:r>
            <w:rPr>
              <w:rFonts w:hint="eastAsia" w:ascii="宋体" w:hAnsi="宋体" w:eastAsia="宋体" w:cs="宋体"/>
              <w:bCs/>
              <w:color w:val="auto"/>
              <w:szCs w:val="36"/>
            </w:rPr>
            <w:fldChar w:fldCharType="end"/>
          </w:r>
        </w:p>
        <w:p w14:paraId="72B9B808">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_Toc9050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3.6主要危险、有害因素类别分析</w:t>
          </w:r>
          <w:r>
            <w:tab/>
          </w:r>
          <w:r>
            <w:fldChar w:fldCharType="begin"/>
          </w:r>
          <w:r>
            <w:instrText xml:space="preserve"> PAGEREF _Toc9050 \h </w:instrText>
          </w:r>
          <w:r>
            <w:fldChar w:fldCharType="separate"/>
          </w:r>
          <w:r>
            <w:t>- 41 -</w:t>
          </w:r>
          <w:r>
            <w:fldChar w:fldCharType="end"/>
          </w:r>
          <w:r>
            <w:rPr>
              <w:rFonts w:hint="eastAsia" w:ascii="宋体" w:hAnsi="宋体" w:eastAsia="宋体" w:cs="宋体"/>
              <w:bCs/>
              <w:color w:val="auto"/>
              <w:szCs w:val="36"/>
            </w:rPr>
            <w:fldChar w:fldCharType="end"/>
          </w:r>
        </w:p>
        <w:p w14:paraId="65FD0C4B">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_Toc25525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3.6.1火灾危险性分析</w:t>
          </w:r>
          <w:r>
            <w:tab/>
          </w:r>
          <w:r>
            <w:fldChar w:fldCharType="begin"/>
          </w:r>
          <w:r>
            <w:instrText xml:space="preserve"> PAGEREF _Toc25525 \h </w:instrText>
          </w:r>
          <w:r>
            <w:fldChar w:fldCharType="separate"/>
          </w:r>
          <w:r>
            <w:t>- 41 -</w:t>
          </w:r>
          <w:r>
            <w:fldChar w:fldCharType="end"/>
          </w:r>
          <w:r>
            <w:rPr>
              <w:rFonts w:hint="eastAsia" w:ascii="宋体" w:hAnsi="宋体" w:eastAsia="宋体" w:cs="宋体"/>
              <w:bCs/>
              <w:color w:val="auto"/>
              <w:szCs w:val="36"/>
            </w:rPr>
            <w:fldChar w:fldCharType="end"/>
          </w:r>
        </w:p>
        <w:p w14:paraId="2EB1B205">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_Toc2028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3.6.2容器爆炸危险性分析</w:t>
          </w:r>
          <w:r>
            <w:tab/>
          </w:r>
          <w:r>
            <w:fldChar w:fldCharType="begin"/>
          </w:r>
          <w:r>
            <w:instrText xml:space="preserve"> PAGEREF _Toc2028 \h </w:instrText>
          </w:r>
          <w:r>
            <w:fldChar w:fldCharType="separate"/>
          </w:r>
          <w:r>
            <w:t>- 42 -</w:t>
          </w:r>
          <w:r>
            <w:fldChar w:fldCharType="end"/>
          </w:r>
          <w:r>
            <w:rPr>
              <w:rFonts w:hint="eastAsia" w:ascii="宋体" w:hAnsi="宋体" w:eastAsia="宋体" w:cs="宋体"/>
              <w:bCs/>
              <w:color w:val="auto"/>
              <w:szCs w:val="36"/>
            </w:rPr>
            <w:fldChar w:fldCharType="end"/>
          </w:r>
        </w:p>
        <w:p w14:paraId="3B1D8BDF">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_Toc8287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3.6.3机械伤害危险性分析</w:t>
          </w:r>
          <w:r>
            <w:tab/>
          </w:r>
          <w:r>
            <w:fldChar w:fldCharType="begin"/>
          </w:r>
          <w:r>
            <w:instrText xml:space="preserve"> PAGEREF _Toc8287 \h </w:instrText>
          </w:r>
          <w:r>
            <w:fldChar w:fldCharType="separate"/>
          </w:r>
          <w:r>
            <w:t>- 43 -</w:t>
          </w:r>
          <w:r>
            <w:fldChar w:fldCharType="end"/>
          </w:r>
          <w:r>
            <w:rPr>
              <w:rFonts w:hint="eastAsia" w:ascii="宋体" w:hAnsi="宋体" w:eastAsia="宋体" w:cs="宋体"/>
              <w:bCs/>
              <w:color w:val="auto"/>
              <w:szCs w:val="36"/>
            </w:rPr>
            <w:fldChar w:fldCharType="end"/>
          </w:r>
        </w:p>
        <w:p w14:paraId="6177D8F2">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_Toc26865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3.6.4高处坠落危险性分析</w:t>
          </w:r>
          <w:r>
            <w:tab/>
          </w:r>
          <w:r>
            <w:fldChar w:fldCharType="begin"/>
          </w:r>
          <w:r>
            <w:instrText xml:space="preserve"> PAGEREF _Toc26865 \h </w:instrText>
          </w:r>
          <w:r>
            <w:fldChar w:fldCharType="separate"/>
          </w:r>
          <w:r>
            <w:t>- 43 -</w:t>
          </w:r>
          <w:r>
            <w:fldChar w:fldCharType="end"/>
          </w:r>
          <w:r>
            <w:rPr>
              <w:rFonts w:hint="eastAsia" w:ascii="宋体" w:hAnsi="宋体" w:eastAsia="宋体" w:cs="宋体"/>
              <w:bCs/>
              <w:color w:val="auto"/>
              <w:szCs w:val="36"/>
            </w:rPr>
            <w:fldChar w:fldCharType="end"/>
          </w:r>
        </w:p>
        <w:p w14:paraId="198CEC4E">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_Toc13798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3.6.5触电事故危险性素分析</w:t>
          </w:r>
          <w:r>
            <w:tab/>
          </w:r>
          <w:r>
            <w:fldChar w:fldCharType="begin"/>
          </w:r>
          <w:r>
            <w:instrText xml:space="preserve"> PAGEREF _Toc13798 \h </w:instrText>
          </w:r>
          <w:r>
            <w:fldChar w:fldCharType="separate"/>
          </w:r>
          <w:r>
            <w:t>- 44 -</w:t>
          </w:r>
          <w:r>
            <w:fldChar w:fldCharType="end"/>
          </w:r>
          <w:r>
            <w:rPr>
              <w:rFonts w:hint="eastAsia" w:ascii="宋体" w:hAnsi="宋体" w:eastAsia="宋体" w:cs="宋体"/>
              <w:bCs/>
              <w:color w:val="auto"/>
              <w:szCs w:val="36"/>
            </w:rPr>
            <w:fldChar w:fldCharType="end"/>
          </w:r>
        </w:p>
        <w:p w14:paraId="4B315F60">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_Toc1462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3.6.6物体打击危险性分析</w:t>
          </w:r>
          <w:r>
            <w:tab/>
          </w:r>
          <w:r>
            <w:fldChar w:fldCharType="begin"/>
          </w:r>
          <w:r>
            <w:instrText xml:space="preserve"> PAGEREF _Toc1462 \h </w:instrText>
          </w:r>
          <w:r>
            <w:fldChar w:fldCharType="separate"/>
          </w:r>
          <w:r>
            <w:t>- 45 -</w:t>
          </w:r>
          <w:r>
            <w:fldChar w:fldCharType="end"/>
          </w:r>
          <w:r>
            <w:rPr>
              <w:rFonts w:hint="eastAsia" w:ascii="宋体" w:hAnsi="宋体" w:eastAsia="宋体" w:cs="宋体"/>
              <w:bCs/>
              <w:color w:val="auto"/>
              <w:szCs w:val="36"/>
            </w:rPr>
            <w:fldChar w:fldCharType="end"/>
          </w:r>
        </w:p>
        <w:p w14:paraId="51D1212D">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_Toc12840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3.6.7车辆伤害危险性分析</w:t>
          </w:r>
          <w:r>
            <w:tab/>
          </w:r>
          <w:r>
            <w:fldChar w:fldCharType="begin"/>
          </w:r>
          <w:r>
            <w:instrText xml:space="preserve"> PAGEREF _Toc12840 \h </w:instrText>
          </w:r>
          <w:r>
            <w:fldChar w:fldCharType="separate"/>
          </w:r>
          <w:r>
            <w:t>- 45 -</w:t>
          </w:r>
          <w:r>
            <w:fldChar w:fldCharType="end"/>
          </w:r>
          <w:r>
            <w:rPr>
              <w:rFonts w:hint="eastAsia" w:ascii="宋体" w:hAnsi="宋体" w:eastAsia="宋体" w:cs="宋体"/>
              <w:bCs/>
              <w:color w:val="auto"/>
              <w:szCs w:val="36"/>
            </w:rPr>
            <w:fldChar w:fldCharType="end"/>
          </w:r>
        </w:p>
        <w:p w14:paraId="5E1F3125">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_Toc22876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3.6.8坍塌危险性分析</w:t>
          </w:r>
          <w:r>
            <w:tab/>
          </w:r>
          <w:r>
            <w:fldChar w:fldCharType="begin"/>
          </w:r>
          <w:r>
            <w:instrText xml:space="preserve"> PAGEREF _Toc22876 \h </w:instrText>
          </w:r>
          <w:r>
            <w:fldChar w:fldCharType="separate"/>
          </w:r>
          <w:r>
            <w:t>- 46 -</w:t>
          </w:r>
          <w:r>
            <w:fldChar w:fldCharType="end"/>
          </w:r>
          <w:r>
            <w:rPr>
              <w:rFonts w:hint="eastAsia" w:ascii="宋体" w:hAnsi="宋体" w:eastAsia="宋体" w:cs="宋体"/>
              <w:bCs/>
              <w:color w:val="auto"/>
              <w:szCs w:val="36"/>
            </w:rPr>
            <w:fldChar w:fldCharType="end"/>
          </w:r>
        </w:p>
        <w:p w14:paraId="4876A942">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_Toc7575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3.6.9 起重伤害危险性分析</w:t>
          </w:r>
          <w:r>
            <w:tab/>
          </w:r>
          <w:r>
            <w:fldChar w:fldCharType="begin"/>
          </w:r>
          <w:r>
            <w:instrText xml:space="preserve"> PAGEREF _Toc7575 \h </w:instrText>
          </w:r>
          <w:r>
            <w:fldChar w:fldCharType="separate"/>
          </w:r>
          <w:r>
            <w:t>- 46 -</w:t>
          </w:r>
          <w:r>
            <w:fldChar w:fldCharType="end"/>
          </w:r>
          <w:r>
            <w:rPr>
              <w:rFonts w:hint="eastAsia" w:ascii="宋体" w:hAnsi="宋体" w:eastAsia="宋体" w:cs="宋体"/>
              <w:bCs/>
              <w:color w:val="auto"/>
              <w:szCs w:val="36"/>
            </w:rPr>
            <w:fldChar w:fldCharType="end"/>
          </w:r>
        </w:p>
        <w:p w14:paraId="74500310">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_Toc9495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3.6.10静电、雷电危险性分析</w:t>
          </w:r>
          <w:r>
            <w:tab/>
          </w:r>
          <w:r>
            <w:fldChar w:fldCharType="begin"/>
          </w:r>
          <w:r>
            <w:instrText xml:space="preserve"> PAGEREF _Toc9495 \h </w:instrText>
          </w:r>
          <w:r>
            <w:fldChar w:fldCharType="separate"/>
          </w:r>
          <w:r>
            <w:t>- 48 -</w:t>
          </w:r>
          <w:r>
            <w:fldChar w:fldCharType="end"/>
          </w:r>
          <w:r>
            <w:rPr>
              <w:rFonts w:hint="eastAsia" w:ascii="宋体" w:hAnsi="宋体" w:eastAsia="宋体" w:cs="宋体"/>
              <w:bCs/>
              <w:color w:val="auto"/>
              <w:szCs w:val="36"/>
            </w:rPr>
            <w:fldChar w:fldCharType="end"/>
          </w:r>
        </w:p>
        <w:p w14:paraId="0B4BF95A">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_Toc19695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3.6.11其他伤害危险性分析</w:t>
          </w:r>
          <w:r>
            <w:tab/>
          </w:r>
          <w:r>
            <w:fldChar w:fldCharType="begin"/>
          </w:r>
          <w:r>
            <w:instrText xml:space="preserve"> PAGEREF _Toc19695 \h </w:instrText>
          </w:r>
          <w:r>
            <w:fldChar w:fldCharType="separate"/>
          </w:r>
          <w:r>
            <w:t>- 49 -</w:t>
          </w:r>
          <w:r>
            <w:fldChar w:fldCharType="end"/>
          </w:r>
          <w:r>
            <w:rPr>
              <w:rFonts w:hint="eastAsia" w:ascii="宋体" w:hAnsi="宋体" w:eastAsia="宋体" w:cs="宋体"/>
              <w:bCs/>
              <w:color w:val="auto"/>
              <w:szCs w:val="36"/>
            </w:rPr>
            <w:fldChar w:fldCharType="end"/>
          </w:r>
        </w:p>
        <w:p w14:paraId="16A0424A">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_Toc10634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3.7特殊作业危险性分析</w:t>
          </w:r>
          <w:r>
            <w:tab/>
          </w:r>
          <w:r>
            <w:fldChar w:fldCharType="begin"/>
          </w:r>
          <w:r>
            <w:instrText xml:space="preserve"> PAGEREF _Toc10634 \h </w:instrText>
          </w:r>
          <w:r>
            <w:fldChar w:fldCharType="separate"/>
          </w:r>
          <w:r>
            <w:t>- 50 -</w:t>
          </w:r>
          <w:r>
            <w:fldChar w:fldCharType="end"/>
          </w:r>
          <w:r>
            <w:rPr>
              <w:rFonts w:hint="eastAsia" w:ascii="宋体" w:hAnsi="宋体" w:eastAsia="宋体" w:cs="宋体"/>
              <w:bCs/>
              <w:color w:val="auto"/>
              <w:szCs w:val="36"/>
            </w:rPr>
            <w:fldChar w:fldCharType="end"/>
          </w:r>
        </w:p>
        <w:p w14:paraId="4148C523">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_Toc10691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3.7.1临时用电作业危险、有害因素分析</w:t>
          </w:r>
          <w:r>
            <w:tab/>
          </w:r>
          <w:r>
            <w:fldChar w:fldCharType="begin"/>
          </w:r>
          <w:r>
            <w:instrText xml:space="preserve"> PAGEREF _Toc10691 \h </w:instrText>
          </w:r>
          <w:r>
            <w:fldChar w:fldCharType="separate"/>
          </w:r>
          <w:r>
            <w:t>- 50 -</w:t>
          </w:r>
          <w:r>
            <w:fldChar w:fldCharType="end"/>
          </w:r>
          <w:r>
            <w:rPr>
              <w:rFonts w:hint="eastAsia" w:ascii="宋体" w:hAnsi="宋体" w:eastAsia="宋体" w:cs="宋体"/>
              <w:bCs/>
              <w:color w:val="auto"/>
              <w:szCs w:val="36"/>
            </w:rPr>
            <w:fldChar w:fldCharType="end"/>
          </w:r>
        </w:p>
        <w:p w14:paraId="17933399">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_Toc28586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3.7.2动火作业危险、有害因素分析</w:t>
          </w:r>
          <w:r>
            <w:tab/>
          </w:r>
          <w:r>
            <w:fldChar w:fldCharType="begin"/>
          </w:r>
          <w:r>
            <w:instrText xml:space="preserve"> PAGEREF _Toc28586 \h </w:instrText>
          </w:r>
          <w:r>
            <w:fldChar w:fldCharType="separate"/>
          </w:r>
          <w:r>
            <w:t>- 51 -</w:t>
          </w:r>
          <w:r>
            <w:fldChar w:fldCharType="end"/>
          </w:r>
          <w:r>
            <w:rPr>
              <w:rFonts w:hint="eastAsia" w:ascii="宋体" w:hAnsi="宋体" w:eastAsia="宋体" w:cs="宋体"/>
              <w:bCs/>
              <w:color w:val="auto"/>
              <w:szCs w:val="36"/>
            </w:rPr>
            <w:fldChar w:fldCharType="end"/>
          </w:r>
        </w:p>
        <w:p w14:paraId="70F76FC4">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_Toc28723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3.7.3高处作业危险、有害因素分析</w:t>
          </w:r>
          <w:r>
            <w:tab/>
          </w:r>
          <w:r>
            <w:fldChar w:fldCharType="begin"/>
          </w:r>
          <w:r>
            <w:instrText xml:space="preserve"> PAGEREF _Toc28723 \h </w:instrText>
          </w:r>
          <w:r>
            <w:fldChar w:fldCharType="separate"/>
          </w:r>
          <w:r>
            <w:t>- 51 -</w:t>
          </w:r>
          <w:r>
            <w:fldChar w:fldCharType="end"/>
          </w:r>
          <w:r>
            <w:rPr>
              <w:rFonts w:hint="eastAsia" w:ascii="宋体" w:hAnsi="宋体" w:eastAsia="宋体" w:cs="宋体"/>
              <w:bCs/>
              <w:color w:val="auto"/>
              <w:szCs w:val="36"/>
            </w:rPr>
            <w:fldChar w:fldCharType="end"/>
          </w:r>
        </w:p>
        <w:p w14:paraId="689E3243">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_Toc17935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3.7.4吊装作业危险、有害因素分析</w:t>
          </w:r>
          <w:r>
            <w:tab/>
          </w:r>
          <w:r>
            <w:fldChar w:fldCharType="begin"/>
          </w:r>
          <w:r>
            <w:instrText xml:space="preserve"> PAGEREF _Toc17935 \h </w:instrText>
          </w:r>
          <w:r>
            <w:fldChar w:fldCharType="separate"/>
          </w:r>
          <w:r>
            <w:t>- 52 -</w:t>
          </w:r>
          <w:r>
            <w:fldChar w:fldCharType="end"/>
          </w:r>
          <w:r>
            <w:rPr>
              <w:rFonts w:hint="eastAsia" w:ascii="宋体" w:hAnsi="宋体" w:eastAsia="宋体" w:cs="宋体"/>
              <w:bCs/>
              <w:color w:val="auto"/>
              <w:szCs w:val="36"/>
            </w:rPr>
            <w:fldChar w:fldCharType="end"/>
          </w:r>
        </w:p>
        <w:p w14:paraId="22EFD6D5">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_Toc4999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3.8设备检维修过程危险、有害因素分析</w:t>
          </w:r>
          <w:r>
            <w:tab/>
          </w:r>
          <w:r>
            <w:fldChar w:fldCharType="begin"/>
          </w:r>
          <w:r>
            <w:instrText xml:space="preserve"> PAGEREF _Toc4999 \h </w:instrText>
          </w:r>
          <w:r>
            <w:fldChar w:fldCharType="separate"/>
          </w:r>
          <w:r>
            <w:t>- 52 -</w:t>
          </w:r>
          <w:r>
            <w:fldChar w:fldCharType="end"/>
          </w:r>
          <w:r>
            <w:rPr>
              <w:rFonts w:hint="eastAsia" w:ascii="宋体" w:hAnsi="宋体" w:eastAsia="宋体" w:cs="宋体"/>
              <w:bCs/>
              <w:color w:val="auto"/>
              <w:szCs w:val="36"/>
            </w:rPr>
            <w:fldChar w:fldCharType="end"/>
          </w:r>
        </w:p>
        <w:p w14:paraId="11CED0A0">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_Toc32171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3.9安全管理危险性分析</w:t>
          </w:r>
          <w:r>
            <w:tab/>
          </w:r>
          <w:r>
            <w:fldChar w:fldCharType="begin"/>
          </w:r>
          <w:r>
            <w:instrText xml:space="preserve"> PAGEREF _Toc32171 \h </w:instrText>
          </w:r>
          <w:r>
            <w:fldChar w:fldCharType="separate"/>
          </w:r>
          <w:r>
            <w:t>- 53 -</w:t>
          </w:r>
          <w:r>
            <w:fldChar w:fldCharType="end"/>
          </w:r>
          <w:r>
            <w:rPr>
              <w:rFonts w:hint="eastAsia" w:ascii="宋体" w:hAnsi="宋体" w:eastAsia="宋体" w:cs="宋体"/>
              <w:bCs/>
              <w:color w:val="auto"/>
              <w:szCs w:val="36"/>
            </w:rPr>
            <w:fldChar w:fldCharType="end"/>
          </w:r>
        </w:p>
        <w:p w14:paraId="53BEDD7C">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_Toc18572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3.9.1安全管理组织体系方面危险性分析</w:t>
          </w:r>
          <w:r>
            <w:tab/>
          </w:r>
          <w:r>
            <w:fldChar w:fldCharType="begin"/>
          </w:r>
          <w:r>
            <w:instrText xml:space="preserve"> PAGEREF _Toc18572 \h </w:instrText>
          </w:r>
          <w:r>
            <w:fldChar w:fldCharType="separate"/>
          </w:r>
          <w:r>
            <w:t>- 53 -</w:t>
          </w:r>
          <w:r>
            <w:fldChar w:fldCharType="end"/>
          </w:r>
          <w:r>
            <w:rPr>
              <w:rFonts w:hint="eastAsia" w:ascii="宋体" w:hAnsi="宋体" w:eastAsia="宋体" w:cs="宋体"/>
              <w:bCs/>
              <w:color w:val="auto"/>
              <w:szCs w:val="36"/>
            </w:rPr>
            <w:fldChar w:fldCharType="end"/>
          </w:r>
        </w:p>
        <w:p w14:paraId="22082772">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_Toc2351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3.9.2安全管理制度方面危险性分析</w:t>
          </w:r>
          <w:r>
            <w:tab/>
          </w:r>
          <w:r>
            <w:fldChar w:fldCharType="begin"/>
          </w:r>
          <w:r>
            <w:instrText xml:space="preserve"> PAGEREF _Toc2351 \h </w:instrText>
          </w:r>
          <w:r>
            <w:fldChar w:fldCharType="separate"/>
          </w:r>
          <w:r>
            <w:t>- 54 -</w:t>
          </w:r>
          <w:r>
            <w:fldChar w:fldCharType="end"/>
          </w:r>
          <w:r>
            <w:rPr>
              <w:rFonts w:hint="eastAsia" w:ascii="宋体" w:hAnsi="宋体" w:eastAsia="宋体" w:cs="宋体"/>
              <w:bCs/>
              <w:color w:val="auto"/>
              <w:szCs w:val="36"/>
            </w:rPr>
            <w:fldChar w:fldCharType="end"/>
          </w:r>
        </w:p>
        <w:p w14:paraId="50EDDE02">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_Toc27617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3.9.3事故应急方面危险性分析</w:t>
          </w:r>
          <w:r>
            <w:tab/>
          </w:r>
          <w:r>
            <w:fldChar w:fldCharType="begin"/>
          </w:r>
          <w:r>
            <w:instrText xml:space="preserve"> PAGEREF _Toc27617 \h </w:instrText>
          </w:r>
          <w:r>
            <w:fldChar w:fldCharType="separate"/>
          </w:r>
          <w:r>
            <w:t>- 55 -</w:t>
          </w:r>
          <w:r>
            <w:fldChar w:fldCharType="end"/>
          </w:r>
          <w:r>
            <w:rPr>
              <w:rFonts w:hint="eastAsia" w:ascii="宋体" w:hAnsi="宋体" w:eastAsia="宋体" w:cs="宋体"/>
              <w:bCs/>
              <w:color w:val="auto"/>
              <w:szCs w:val="36"/>
            </w:rPr>
            <w:fldChar w:fldCharType="end"/>
          </w:r>
        </w:p>
        <w:p w14:paraId="410D213A">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_Toc31917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3.10重大危险源辨识</w:t>
          </w:r>
          <w:r>
            <w:tab/>
          </w:r>
          <w:r>
            <w:fldChar w:fldCharType="begin"/>
          </w:r>
          <w:r>
            <w:instrText xml:space="preserve"> PAGEREF _Toc31917 \h </w:instrText>
          </w:r>
          <w:r>
            <w:fldChar w:fldCharType="separate"/>
          </w:r>
          <w:r>
            <w:t>- 55 -</w:t>
          </w:r>
          <w:r>
            <w:fldChar w:fldCharType="end"/>
          </w:r>
          <w:r>
            <w:rPr>
              <w:rFonts w:hint="eastAsia" w:ascii="宋体" w:hAnsi="宋体" w:eastAsia="宋体" w:cs="宋体"/>
              <w:bCs/>
              <w:color w:val="auto"/>
              <w:szCs w:val="36"/>
            </w:rPr>
            <w:fldChar w:fldCharType="end"/>
          </w:r>
        </w:p>
        <w:p w14:paraId="671C88DD">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_Toc27538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3.10.1方法介绍</w:t>
          </w:r>
          <w:r>
            <w:tab/>
          </w:r>
          <w:r>
            <w:fldChar w:fldCharType="begin"/>
          </w:r>
          <w:r>
            <w:instrText xml:space="preserve"> PAGEREF _Toc27538 \h </w:instrText>
          </w:r>
          <w:r>
            <w:fldChar w:fldCharType="separate"/>
          </w:r>
          <w:r>
            <w:t>- 55 -</w:t>
          </w:r>
          <w:r>
            <w:fldChar w:fldCharType="end"/>
          </w:r>
          <w:r>
            <w:rPr>
              <w:rFonts w:hint="eastAsia" w:ascii="宋体" w:hAnsi="宋体" w:eastAsia="宋体" w:cs="宋体"/>
              <w:bCs/>
              <w:color w:val="auto"/>
              <w:szCs w:val="36"/>
            </w:rPr>
            <w:fldChar w:fldCharType="end"/>
          </w:r>
        </w:p>
        <w:p w14:paraId="38FFA0B0">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_Toc5944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3.10.2辨识过程及结果</w:t>
          </w:r>
          <w:r>
            <w:tab/>
          </w:r>
          <w:r>
            <w:fldChar w:fldCharType="begin"/>
          </w:r>
          <w:r>
            <w:instrText xml:space="preserve"> PAGEREF _Toc5944 \h </w:instrText>
          </w:r>
          <w:r>
            <w:fldChar w:fldCharType="separate"/>
          </w:r>
          <w:r>
            <w:t>- 56 -</w:t>
          </w:r>
          <w:r>
            <w:fldChar w:fldCharType="end"/>
          </w:r>
          <w:r>
            <w:rPr>
              <w:rFonts w:hint="eastAsia" w:ascii="宋体" w:hAnsi="宋体" w:eastAsia="宋体" w:cs="宋体"/>
              <w:bCs/>
              <w:color w:val="auto"/>
              <w:szCs w:val="36"/>
            </w:rPr>
            <w:fldChar w:fldCharType="end"/>
          </w:r>
        </w:p>
        <w:p w14:paraId="466FC8DB">
          <w:pPr>
            <w:pStyle w:val="17"/>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_Toc22200 </w:instrText>
          </w:r>
          <w:r>
            <w:rPr>
              <w:rFonts w:hint="eastAsia" w:ascii="宋体" w:hAnsi="宋体" w:eastAsia="宋体" w:cs="宋体"/>
              <w:bCs/>
              <w:szCs w:val="36"/>
            </w:rPr>
            <w:fldChar w:fldCharType="separate"/>
          </w:r>
          <w:r>
            <w:rPr>
              <w:rFonts w:hint="eastAsia" w:ascii="宋体" w:hAnsi="宋体" w:eastAsia="宋体" w:cs="宋体"/>
            </w:rPr>
            <w:t>第4章  评价单元划分及评价方法选择</w:t>
          </w:r>
          <w:r>
            <w:tab/>
          </w:r>
          <w:r>
            <w:fldChar w:fldCharType="begin"/>
          </w:r>
          <w:r>
            <w:instrText xml:space="preserve"> PAGEREF _Toc22200 \h </w:instrText>
          </w:r>
          <w:r>
            <w:fldChar w:fldCharType="separate"/>
          </w:r>
          <w:r>
            <w:t>- 57 -</w:t>
          </w:r>
          <w:r>
            <w:fldChar w:fldCharType="end"/>
          </w:r>
          <w:r>
            <w:rPr>
              <w:rFonts w:hint="eastAsia" w:ascii="宋体" w:hAnsi="宋体" w:eastAsia="宋体" w:cs="宋体"/>
              <w:bCs/>
              <w:color w:val="auto"/>
              <w:szCs w:val="36"/>
            </w:rPr>
            <w:fldChar w:fldCharType="end"/>
          </w:r>
        </w:p>
        <w:p w14:paraId="00F183EF">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_Toc3727 </w:instrText>
          </w:r>
          <w:r>
            <w:rPr>
              <w:rFonts w:hint="eastAsia" w:ascii="宋体" w:hAnsi="宋体" w:eastAsia="宋体" w:cs="宋体"/>
              <w:bCs/>
              <w:szCs w:val="36"/>
            </w:rPr>
            <w:fldChar w:fldCharType="separate"/>
          </w:r>
          <w:r>
            <w:rPr>
              <w:rFonts w:hint="eastAsia" w:ascii="宋体" w:hAnsi="宋体" w:eastAsia="宋体" w:cs="宋体"/>
              <w:kern w:val="0"/>
            </w:rPr>
            <w:t>4.1</w:t>
          </w:r>
          <w:r>
            <w:rPr>
              <w:rFonts w:hint="eastAsia" w:ascii="宋体" w:hAnsi="宋体" w:eastAsia="宋体" w:cs="宋体"/>
              <w:kern w:val="0"/>
              <w:lang w:val="en-US" w:eastAsia="zh-CN"/>
            </w:rPr>
            <w:t xml:space="preserve"> </w:t>
          </w:r>
          <w:r>
            <w:rPr>
              <w:rFonts w:hint="eastAsia" w:ascii="宋体" w:hAnsi="宋体" w:eastAsia="宋体" w:cs="宋体"/>
              <w:kern w:val="0"/>
            </w:rPr>
            <w:t>安全评价单元划分</w:t>
          </w:r>
          <w:r>
            <w:tab/>
          </w:r>
          <w:r>
            <w:fldChar w:fldCharType="begin"/>
          </w:r>
          <w:r>
            <w:instrText xml:space="preserve"> PAGEREF _Toc3727 \h </w:instrText>
          </w:r>
          <w:r>
            <w:fldChar w:fldCharType="separate"/>
          </w:r>
          <w:r>
            <w:t>- 57 -</w:t>
          </w:r>
          <w:r>
            <w:fldChar w:fldCharType="end"/>
          </w:r>
          <w:r>
            <w:rPr>
              <w:rFonts w:hint="eastAsia" w:ascii="宋体" w:hAnsi="宋体" w:eastAsia="宋体" w:cs="宋体"/>
              <w:bCs/>
              <w:color w:val="auto"/>
              <w:szCs w:val="36"/>
            </w:rPr>
            <w:fldChar w:fldCharType="end"/>
          </w:r>
        </w:p>
        <w:p w14:paraId="35E182B3">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_Toc2810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4.1.1 评价单元划分原则</w:t>
          </w:r>
          <w:r>
            <w:tab/>
          </w:r>
          <w:r>
            <w:fldChar w:fldCharType="begin"/>
          </w:r>
          <w:r>
            <w:instrText xml:space="preserve"> PAGEREF _Toc2810 \h </w:instrText>
          </w:r>
          <w:r>
            <w:fldChar w:fldCharType="separate"/>
          </w:r>
          <w:r>
            <w:t>- 57 -</w:t>
          </w:r>
          <w:r>
            <w:fldChar w:fldCharType="end"/>
          </w:r>
          <w:r>
            <w:rPr>
              <w:rFonts w:hint="eastAsia" w:ascii="宋体" w:hAnsi="宋体" w:eastAsia="宋体" w:cs="宋体"/>
              <w:bCs/>
              <w:color w:val="auto"/>
              <w:szCs w:val="36"/>
            </w:rPr>
            <w:fldChar w:fldCharType="end"/>
          </w:r>
        </w:p>
        <w:p w14:paraId="0E38C483">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_Toc21782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4.1.2评价单元划分方法</w:t>
          </w:r>
          <w:r>
            <w:tab/>
          </w:r>
          <w:r>
            <w:fldChar w:fldCharType="begin"/>
          </w:r>
          <w:r>
            <w:instrText xml:space="preserve"> PAGEREF _Toc21782 \h </w:instrText>
          </w:r>
          <w:r>
            <w:fldChar w:fldCharType="separate"/>
          </w:r>
          <w:r>
            <w:t>- 57 -</w:t>
          </w:r>
          <w:r>
            <w:fldChar w:fldCharType="end"/>
          </w:r>
          <w:r>
            <w:rPr>
              <w:rFonts w:hint="eastAsia" w:ascii="宋体" w:hAnsi="宋体" w:eastAsia="宋体" w:cs="宋体"/>
              <w:bCs/>
              <w:color w:val="auto"/>
              <w:szCs w:val="36"/>
            </w:rPr>
            <w:fldChar w:fldCharType="end"/>
          </w:r>
        </w:p>
        <w:p w14:paraId="69C30162">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_Toc30492 </w:instrText>
          </w:r>
          <w:r>
            <w:rPr>
              <w:rFonts w:hint="eastAsia" w:ascii="宋体" w:hAnsi="宋体" w:eastAsia="宋体" w:cs="宋体"/>
              <w:bCs/>
              <w:szCs w:val="36"/>
            </w:rPr>
            <w:fldChar w:fldCharType="separate"/>
          </w:r>
          <w:r>
            <w:rPr>
              <w:rFonts w:hint="eastAsia" w:ascii="宋体" w:hAnsi="宋体" w:eastAsia="宋体" w:cs="宋体"/>
              <w:kern w:val="0"/>
            </w:rPr>
            <w:t>4.2</w:t>
          </w:r>
          <w:r>
            <w:rPr>
              <w:rFonts w:hint="eastAsia" w:ascii="宋体" w:hAnsi="宋体" w:eastAsia="宋体" w:cs="宋体"/>
              <w:kern w:val="0"/>
              <w:lang w:val="en-US" w:eastAsia="zh-CN"/>
            </w:rPr>
            <w:t xml:space="preserve"> </w:t>
          </w:r>
          <w:r>
            <w:rPr>
              <w:rFonts w:hint="eastAsia" w:ascii="宋体" w:hAnsi="宋体" w:eastAsia="宋体" w:cs="宋体"/>
              <w:kern w:val="0"/>
            </w:rPr>
            <w:t>评价单元划分结果</w:t>
          </w:r>
          <w:r>
            <w:tab/>
          </w:r>
          <w:r>
            <w:fldChar w:fldCharType="begin"/>
          </w:r>
          <w:r>
            <w:instrText xml:space="preserve"> PAGEREF _Toc30492 \h </w:instrText>
          </w:r>
          <w:r>
            <w:fldChar w:fldCharType="separate"/>
          </w:r>
          <w:r>
            <w:t>- 58 -</w:t>
          </w:r>
          <w:r>
            <w:fldChar w:fldCharType="end"/>
          </w:r>
          <w:r>
            <w:rPr>
              <w:rFonts w:hint="eastAsia" w:ascii="宋体" w:hAnsi="宋体" w:eastAsia="宋体" w:cs="宋体"/>
              <w:bCs/>
              <w:color w:val="auto"/>
              <w:szCs w:val="36"/>
            </w:rPr>
            <w:fldChar w:fldCharType="end"/>
          </w:r>
        </w:p>
        <w:p w14:paraId="68CE43B9">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_Toc5292 </w:instrText>
          </w:r>
          <w:r>
            <w:rPr>
              <w:rFonts w:hint="eastAsia" w:ascii="宋体" w:hAnsi="宋体" w:eastAsia="宋体" w:cs="宋体"/>
              <w:bCs/>
              <w:szCs w:val="36"/>
            </w:rPr>
            <w:fldChar w:fldCharType="separate"/>
          </w:r>
          <w:r>
            <w:rPr>
              <w:rFonts w:hint="eastAsia" w:ascii="宋体" w:hAnsi="宋体" w:eastAsia="宋体" w:cs="宋体"/>
              <w:kern w:val="0"/>
            </w:rPr>
            <w:t>4.3</w:t>
          </w:r>
          <w:r>
            <w:rPr>
              <w:rFonts w:hint="eastAsia" w:ascii="宋体" w:hAnsi="宋体" w:eastAsia="宋体" w:cs="宋体"/>
              <w:kern w:val="0"/>
              <w:lang w:val="en-US" w:eastAsia="zh-CN"/>
            </w:rPr>
            <w:t xml:space="preserve"> </w:t>
          </w:r>
          <w:r>
            <w:rPr>
              <w:rFonts w:hint="eastAsia" w:ascii="宋体" w:hAnsi="宋体" w:eastAsia="宋体" w:cs="宋体"/>
              <w:kern w:val="0"/>
            </w:rPr>
            <w:t>评价方法的确定</w:t>
          </w:r>
          <w:r>
            <w:tab/>
          </w:r>
          <w:r>
            <w:fldChar w:fldCharType="begin"/>
          </w:r>
          <w:r>
            <w:instrText xml:space="preserve"> PAGEREF _Toc5292 \h </w:instrText>
          </w:r>
          <w:r>
            <w:fldChar w:fldCharType="separate"/>
          </w:r>
          <w:r>
            <w:t>- 58 -</w:t>
          </w:r>
          <w:r>
            <w:fldChar w:fldCharType="end"/>
          </w:r>
          <w:r>
            <w:rPr>
              <w:rFonts w:hint="eastAsia" w:ascii="宋体" w:hAnsi="宋体" w:eastAsia="宋体" w:cs="宋体"/>
              <w:bCs/>
              <w:color w:val="auto"/>
              <w:szCs w:val="36"/>
            </w:rPr>
            <w:fldChar w:fldCharType="end"/>
          </w:r>
        </w:p>
        <w:p w14:paraId="791BAFBD">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_Toc25346 </w:instrText>
          </w:r>
          <w:r>
            <w:rPr>
              <w:rFonts w:hint="eastAsia" w:ascii="宋体" w:hAnsi="宋体" w:eastAsia="宋体" w:cs="宋体"/>
              <w:bCs/>
              <w:szCs w:val="36"/>
            </w:rPr>
            <w:fldChar w:fldCharType="separate"/>
          </w:r>
          <w:r>
            <w:rPr>
              <w:rFonts w:hint="eastAsia" w:ascii="宋体" w:hAnsi="宋体" w:eastAsia="宋体" w:cs="宋体"/>
              <w:kern w:val="0"/>
            </w:rPr>
            <w:t>4.4</w:t>
          </w:r>
          <w:r>
            <w:rPr>
              <w:rFonts w:hint="eastAsia" w:ascii="宋体" w:hAnsi="宋体" w:eastAsia="宋体" w:cs="宋体"/>
              <w:kern w:val="0"/>
              <w:lang w:val="en-US" w:eastAsia="zh-CN"/>
            </w:rPr>
            <w:t xml:space="preserve"> </w:t>
          </w:r>
          <w:r>
            <w:rPr>
              <w:rFonts w:hint="eastAsia" w:ascii="宋体" w:hAnsi="宋体" w:eastAsia="宋体" w:cs="宋体"/>
              <w:kern w:val="0"/>
            </w:rPr>
            <w:t>评价方法介绍</w:t>
          </w:r>
          <w:r>
            <w:tab/>
          </w:r>
          <w:r>
            <w:fldChar w:fldCharType="begin"/>
          </w:r>
          <w:r>
            <w:instrText xml:space="preserve"> PAGEREF _Toc25346 \h </w:instrText>
          </w:r>
          <w:r>
            <w:fldChar w:fldCharType="separate"/>
          </w:r>
          <w:r>
            <w:t>- 59 -</w:t>
          </w:r>
          <w:r>
            <w:fldChar w:fldCharType="end"/>
          </w:r>
          <w:r>
            <w:rPr>
              <w:rFonts w:hint="eastAsia" w:ascii="宋体" w:hAnsi="宋体" w:eastAsia="宋体" w:cs="宋体"/>
              <w:bCs/>
              <w:color w:val="auto"/>
              <w:szCs w:val="36"/>
            </w:rPr>
            <w:fldChar w:fldCharType="end"/>
          </w:r>
        </w:p>
        <w:p w14:paraId="250686D7">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_Toc11553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4.4.1安全检查表法（SCA）</w:t>
          </w:r>
          <w:r>
            <w:tab/>
          </w:r>
          <w:r>
            <w:fldChar w:fldCharType="begin"/>
          </w:r>
          <w:r>
            <w:instrText xml:space="preserve"> PAGEREF _Toc11553 \h </w:instrText>
          </w:r>
          <w:r>
            <w:fldChar w:fldCharType="separate"/>
          </w:r>
          <w:r>
            <w:t>- 59 -</w:t>
          </w:r>
          <w:r>
            <w:fldChar w:fldCharType="end"/>
          </w:r>
          <w:r>
            <w:rPr>
              <w:rFonts w:hint="eastAsia" w:ascii="宋体" w:hAnsi="宋体" w:eastAsia="宋体" w:cs="宋体"/>
              <w:bCs/>
              <w:color w:val="auto"/>
              <w:szCs w:val="36"/>
            </w:rPr>
            <w:fldChar w:fldCharType="end"/>
          </w:r>
        </w:p>
        <w:p w14:paraId="1DB55C02">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_Toc28880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4.4.2作业条件危险性评价法（LEC）</w:t>
          </w:r>
          <w:r>
            <w:tab/>
          </w:r>
          <w:r>
            <w:fldChar w:fldCharType="begin"/>
          </w:r>
          <w:r>
            <w:instrText xml:space="preserve"> PAGEREF _Toc28880 \h </w:instrText>
          </w:r>
          <w:r>
            <w:fldChar w:fldCharType="separate"/>
          </w:r>
          <w:r>
            <w:t>- 59 -</w:t>
          </w:r>
          <w:r>
            <w:fldChar w:fldCharType="end"/>
          </w:r>
          <w:r>
            <w:rPr>
              <w:rFonts w:hint="eastAsia" w:ascii="宋体" w:hAnsi="宋体" w:eastAsia="宋体" w:cs="宋体"/>
              <w:bCs/>
              <w:color w:val="auto"/>
              <w:szCs w:val="36"/>
            </w:rPr>
            <w:fldChar w:fldCharType="end"/>
          </w:r>
        </w:p>
        <w:p w14:paraId="7D8AE73D">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_Toc15186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4.5</w:t>
          </w:r>
          <w:r>
            <w:rPr>
              <w:rFonts w:hint="eastAsia" w:ascii="宋体" w:hAnsi="宋体" w:eastAsia="宋体" w:cs="宋体"/>
              <w:kern w:val="0"/>
            </w:rPr>
            <w:t>评价方法选择理由</w:t>
          </w:r>
          <w:r>
            <w:tab/>
          </w:r>
          <w:r>
            <w:fldChar w:fldCharType="begin"/>
          </w:r>
          <w:r>
            <w:instrText xml:space="preserve"> PAGEREF _Toc15186 \h </w:instrText>
          </w:r>
          <w:r>
            <w:fldChar w:fldCharType="separate"/>
          </w:r>
          <w:r>
            <w:t>- 61 -</w:t>
          </w:r>
          <w:r>
            <w:fldChar w:fldCharType="end"/>
          </w:r>
          <w:r>
            <w:rPr>
              <w:rFonts w:hint="eastAsia" w:ascii="宋体" w:hAnsi="宋体" w:eastAsia="宋体" w:cs="宋体"/>
              <w:bCs/>
              <w:color w:val="auto"/>
              <w:szCs w:val="36"/>
            </w:rPr>
            <w:fldChar w:fldCharType="end"/>
          </w:r>
        </w:p>
        <w:p w14:paraId="4459BEF3">
          <w:pPr>
            <w:pStyle w:val="17"/>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_Toc26640 </w:instrText>
          </w:r>
          <w:r>
            <w:rPr>
              <w:rFonts w:hint="eastAsia" w:ascii="宋体" w:hAnsi="宋体" w:eastAsia="宋体" w:cs="宋体"/>
              <w:bCs/>
              <w:szCs w:val="36"/>
            </w:rPr>
            <w:fldChar w:fldCharType="separate"/>
          </w:r>
          <w:r>
            <w:rPr>
              <w:rFonts w:hint="eastAsia" w:ascii="宋体" w:hAnsi="宋体" w:eastAsia="宋体" w:cs="宋体"/>
            </w:rPr>
            <w:t>第5章  定性、定量评价</w:t>
          </w:r>
          <w:r>
            <w:tab/>
          </w:r>
          <w:r>
            <w:fldChar w:fldCharType="begin"/>
          </w:r>
          <w:r>
            <w:instrText xml:space="preserve"> PAGEREF _Toc26640 \h </w:instrText>
          </w:r>
          <w:r>
            <w:fldChar w:fldCharType="separate"/>
          </w:r>
          <w:r>
            <w:t>- 62 -</w:t>
          </w:r>
          <w:r>
            <w:fldChar w:fldCharType="end"/>
          </w:r>
          <w:r>
            <w:rPr>
              <w:rFonts w:hint="eastAsia" w:ascii="宋体" w:hAnsi="宋体" w:eastAsia="宋体" w:cs="宋体"/>
              <w:bCs/>
              <w:color w:val="auto"/>
              <w:szCs w:val="36"/>
            </w:rPr>
            <w:fldChar w:fldCharType="end"/>
          </w:r>
        </w:p>
        <w:p w14:paraId="5E0D3947">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_Toc5689 </w:instrText>
          </w:r>
          <w:r>
            <w:rPr>
              <w:rFonts w:hint="eastAsia" w:ascii="宋体" w:hAnsi="宋体" w:eastAsia="宋体" w:cs="宋体"/>
              <w:bCs/>
              <w:szCs w:val="36"/>
            </w:rPr>
            <w:fldChar w:fldCharType="separate"/>
          </w:r>
          <w:r>
            <w:rPr>
              <w:rFonts w:hint="eastAsia" w:ascii="宋体" w:hAnsi="宋体" w:eastAsia="宋体" w:cs="宋体"/>
              <w:kern w:val="0"/>
            </w:rPr>
            <w:t>5.1</w:t>
          </w:r>
          <w:r>
            <w:rPr>
              <w:rFonts w:hint="eastAsia" w:ascii="宋体" w:hAnsi="宋体" w:eastAsia="宋体" w:cs="宋体"/>
              <w:kern w:val="0"/>
              <w:lang w:val="en-US" w:eastAsia="zh-CN"/>
            </w:rPr>
            <w:t xml:space="preserve"> </w:t>
          </w:r>
          <w:r>
            <w:rPr>
              <w:rFonts w:hint="eastAsia" w:ascii="宋体" w:hAnsi="宋体" w:eastAsia="宋体" w:cs="宋体"/>
              <w:kern w:val="0"/>
            </w:rPr>
            <w:t>厂址及总平面布置评价单元</w:t>
          </w:r>
          <w:r>
            <w:tab/>
          </w:r>
          <w:r>
            <w:fldChar w:fldCharType="begin"/>
          </w:r>
          <w:r>
            <w:instrText xml:space="preserve"> PAGEREF _Toc5689 \h </w:instrText>
          </w:r>
          <w:r>
            <w:fldChar w:fldCharType="separate"/>
          </w:r>
          <w:r>
            <w:t>- 62 -</w:t>
          </w:r>
          <w:r>
            <w:fldChar w:fldCharType="end"/>
          </w:r>
          <w:r>
            <w:rPr>
              <w:rFonts w:hint="eastAsia" w:ascii="宋体" w:hAnsi="宋体" w:eastAsia="宋体" w:cs="宋体"/>
              <w:bCs/>
              <w:color w:val="auto"/>
              <w:szCs w:val="36"/>
            </w:rPr>
            <w:fldChar w:fldCharType="end"/>
          </w:r>
        </w:p>
        <w:p w14:paraId="4C19EDFD">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_Toc8965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5.1.1厂址及总平面布置安全检查表</w:t>
          </w:r>
          <w:r>
            <w:tab/>
          </w:r>
          <w:r>
            <w:fldChar w:fldCharType="begin"/>
          </w:r>
          <w:r>
            <w:instrText xml:space="preserve"> PAGEREF _Toc8965 \h </w:instrText>
          </w:r>
          <w:r>
            <w:fldChar w:fldCharType="separate"/>
          </w:r>
          <w:r>
            <w:t>- 62 -</w:t>
          </w:r>
          <w:r>
            <w:fldChar w:fldCharType="end"/>
          </w:r>
          <w:r>
            <w:rPr>
              <w:rFonts w:hint="eastAsia" w:ascii="宋体" w:hAnsi="宋体" w:eastAsia="宋体" w:cs="宋体"/>
              <w:bCs/>
              <w:color w:val="auto"/>
              <w:szCs w:val="36"/>
            </w:rPr>
            <w:fldChar w:fldCharType="end"/>
          </w:r>
        </w:p>
        <w:p w14:paraId="516067AE">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_Toc22902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5.1.2 评价小结</w:t>
          </w:r>
          <w:r>
            <w:tab/>
          </w:r>
          <w:r>
            <w:fldChar w:fldCharType="begin"/>
          </w:r>
          <w:r>
            <w:instrText xml:space="preserve"> PAGEREF _Toc22902 \h </w:instrText>
          </w:r>
          <w:r>
            <w:fldChar w:fldCharType="separate"/>
          </w:r>
          <w:r>
            <w:t>- 68 -</w:t>
          </w:r>
          <w:r>
            <w:fldChar w:fldCharType="end"/>
          </w:r>
          <w:r>
            <w:rPr>
              <w:rFonts w:hint="eastAsia" w:ascii="宋体" w:hAnsi="宋体" w:eastAsia="宋体" w:cs="宋体"/>
              <w:bCs/>
              <w:color w:val="auto"/>
              <w:szCs w:val="36"/>
            </w:rPr>
            <w:fldChar w:fldCharType="end"/>
          </w:r>
        </w:p>
        <w:p w14:paraId="29AA06B5">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_Toc30613 </w:instrText>
          </w:r>
          <w:r>
            <w:rPr>
              <w:rFonts w:hint="eastAsia" w:ascii="宋体" w:hAnsi="宋体" w:eastAsia="宋体" w:cs="宋体"/>
              <w:bCs/>
              <w:szCs w:val="36"/>
            </w:rPr>
            <w:fldChar w:fldCharType="separate"/>
          </w:r>
          <w:r>
            <w:rPr>
              <w:rFonts w:hint="eastAsia" w:ascii="宋体" w:hAnsi="宋体" w:eastAsia="宋体" w:cs="宋体"/>
              <w:kern w:val="0"/>
            </w:rPr>
            <w:t>5.2</w:t>
          </w:r>
          <w:r>
            <w:rPr>
              <w:rFonts w:hint="eastAsia" w:ascii="宋体" w:hAnsi="宋体" w:eastAsia="宋体" w:cs="宋体"/>
              <w:kern w:val="0"/>
              <w:lang w:val="en-US" w:eastAsia="zh-CN"/>
            </w:rPr>
            <w:t xml:space="preserve"> 生产</w:t>
          </w:r>
          <w:r>
            <w:rPr>
              <w:rFonts w:hint="eastAsia" w:ascii="宋体" w:hAnsi="宋体" w:eastAsia="宋体" w:cs="宋体"/>
              <w:kern w:val="0"/>
            </w:rPr>
            <w:t>工艺</w:t>
          </w:r>
          <w:r>
            <w:rPr>
              <w:rFonts w:hint="eastAsia" w:ascii="宋体" w:hAnsi="宋体" w:eastAsia="宋体" w:cs="宋体"/>
              <w:kern w:val="0"/>
              <w:lang w:val="en-US" w:eastAsia="zh-CN"/>
            </w:rPr>
            <w:t>及设备设施</w:t>
          </w:r>
          <w:r>
            <w:rPr>
              <w:rFonts w:hint="eastAsia" w:ascii="宋体" w:hAnsi="宋体" w:eastAsia="宋体" w:cs="宋体"/>
              <w:kern w:val="0"/>
            </w:rPr>
            <w:t>评价单元</w:t>
          </w:r>
          <w:r>
            <w:tab/>
          </w:r>
          <w:r>
            <w:fldChar w:fldCharType="begin"/>
          </w:r>
          <w:r>
            <w:instrText xml:space="preserve"> PAGEREF _Toc30613 \h </w:instrText>
          </w:r>
          <w:r>
            <w:fldChar w:fldCharType="separate"/>
          </w:r>
          <w:r>
            <w:t>- 69 -</w:t>
          </w:r>
          <w:r>
            <w:fldChar w:fldCharType="end"/>
          </w:r>
          <w:r>
            <w:rPr>
              <w:rFonts w:hint="eastAsia" w:ascii="宋体" w:hAnsi="宋体" w:eastAsia="宋体" w:cs="宋体"/>
              <w:bCs/>
              <w:color w:val="auto"/>
              <w:szCs w:val="36"/>
            </w:rPr>
            <w:fldChar w:fldCharType="end"/>
          </w:r>
        </w:p>
        <w:p w14:paraId="46D40C3E">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_Toc4373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5.2.1 安全检查表</w:t>
          </w:r>
          <w:r>
            <w:tab/>
          </w:r>
          <w:r>
            <w:fldChar w:fldCharType="begin"/>
          </w:r>
          <w:r>
            <w:instrText xml:space="preserve"> PAGEREF _Toc4373 \h </w:instrText>
          </w:r>
          <w:r>
            <w:fldChar w:fldCharType="separate"/>
          </w:r>
          <w:r>
            <w:t>- 69 -</w:t>
          </w:r>
          <w:r>
            <w:fldChar w:fldCharType="end"/>
          </w:r>
          <w:r>
            <w:rPr>
              <w:rFonts w:hint="eastAsia" w:ascii="宋体" w:hAnsi="宋体" w:eastAsia="宋体" w:cs="宋体"/>
              <w:bCs/>
              <w:color w:val="auto"/>
              <w:szCs w:val="36"/>
            </w:rPr>
            <w:fldChar w:fldCharType="end"/>
          </w:r>
        </w:p>
        <w:p w14:paraId="52E6ED1D">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5.2.2作业条件危险性分析</w:t>
          </w:r>
          <w:r>
            <w:tab/>
          </w:r>
          <w:r>
            <w:fldChar w:fldCharType="begin"/>
          </w:r>
          <w:r>
            <w:instrText xml:space="preserve"> PAGEREF _Toc105 \h </w:instrText>
          </w:r>
          <w:r>
            <w:fldChar w:fldCharType="separate"/>
          </w:r>
          <w:r>
            <w:t>- 74 -</w:t>
          </w:r>
          <w:r>
            <w:fldChar w:fldCharType="end"/>
          </w:r>
          <w:r>
            <w:rPr>
              <w:rFonts w:hint="eastAsia" w:ascii="宋体" w:hAnsi="宋体" w:eastAsia="宋体" w:cs="宋体"/>
              <w:bCs/>
              <w:color w:val="auto"/>
              <w:szCs w:val="36"/>
            </w:rPr>
            <w:fldChar w:fldCharType="end"/>
          </w:r>
        </w:p>
        <w:p w14:paraId="21A7A5D6">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_Toc30885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5.2.3单元小结</w:t>
          </w:r>
          <w:r>
            <w:tab/>
          </w:r>
          <w:r>
            <w:fldChar w:fldCharType="begin"/>
          </w:r>
          <w:r>
            <w:instrText xml:space="preserve"> PAGEREF _Toc30885 \h </w:instrText>
          </w:r>
          <w:r>
            <w:fldChar w:fldCharType="separate"/>
          </w:r>
          <w:r>
            <w:t>- 75 -</w:t>
          </w:r>
          <w:r>
            <w:fldChar w:fldCharType="end"/>
          </w:r>
          <w:r>
            <w:rPr>
              <w:rFonts w:hint="eastAsia" w:ascii="宋体" w:hAnsi="宋体" w:eastAsia="宋体" w:cs="宋体"/>
              <w:bCs/>
              <w:color w:val="auto"/>
              <w:szCs w:val="36"/>
            </w:rPr>
            <w:fldChar w:fldCharType="end"/>
          </w:r>
        </w:p>
        <w:p w14:paraId="6CF62D09">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_Toc4152 </w:instrText>
          </w:r>
          <w:r>
            <w:rPr>
              <w:rFonts w:hint="eastAsia" w:ascii="宋体" w:hAnsi="宋体" w:eastAsia="宋体" w:cs="宋体"/>
              <w:bCs/>
              <w:szCs w:val="36"/>
            </w:rPr>
            <w:fldChar w:fldCharType="separate"/>
          </w:r>
          <w:r>
            <w:rPr>
              <w:rFonts w:hint="eastAsia" w:ascii="宋体" w:hAnsi="宋体" w:eastAsia="宋体" w:cs="宋体"/>
              <w:kern w:val="0"/>
            </w:rPr>
            <w:t>5.3安全防护设施评价单元</w:t>
          </w:r>
          <w:r>
            <w:tab/>
          </w:r>
          <w:r>
            <w:fldChar w:fldCharType="begin"/>
          </w:r>
          <w:r>
            <w:instrText xml:space="preserve"> PAGEREF _Toc4152 \h </w:instrText>
          </w:r>
          <w:r>
            <w:fldChar w:fldCharType="separate"/>
          </w:r>
          <w:r>
            <w:t>- 75 -</w:t>
          </w:r>
          <w:r>
            <w:fldChar w:fldCharType="end"/>
          </w:r>
          <w:r>
            <w:rPr>
              <w:rFonts w:hint="eastAsia" w:ascii="宋体" w:hAnsi="宋体" w:eastAsia="宋体" w:cs="宋体"/>
              <w:bCs/>
              <w:color w:val="auto"/>
              <w:szCs w:val="36"/>
            </w:rPr>
            <w:fldChar w:fldCharType="end"/>
          </w:r>
        </w:p>
        <w:p w14:paraId="23AA70AD">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_Toc4056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5.3.1常规防护设施和措施安全检查表法</w:t>
          </w:r>
          <w:r>
            <w:tab/>
          </w:r>
          <w:r>
            <w:fldChar w:fldCharType="begin"/>
          </w:r>
          <w:r>
            <w:instrText xml:space="preserve"> PAGEREF _Toc4056 \h </w:instrText>
          </w:r>
          <w:r>
            <w:fldChar w:fldCharType="separate"/>
          </w:r>
          <w:r>
            <w:t>- 75 -</w:t>
          </w:r>
          <w:r>
            <w:fldChar w:fldCharType="end"/>
          </w:r>
          <w:r>
            <w:rPr>
              <w:rFonts w:hint="eastAsia" w:ascii="宋体" w:hAnsi="宋体" w:eastAsia="宋体" w:cs="宋体"/>
              <w:bCs/>
              <w:color w:val="auto"/>
              <w:szCs w:val="36"/>
            </w:rPr>
            <w:fldChar w:fldCharType="end"/>
          </w:r>
        </w:p>
        <w:p w14:paraId="5BA24E11">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_Toc10336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5.3.2防雷、防静电安全评价子单元安全检查表</w:t>
          </w:r>
          <w:r>
            <w:tab/>
          </w:r>
          <w:r>
            <w:fldChar w:fldCharType="begin"/>
          </w:r>
          <w:r>
            <w:instrText xml:space="preserve"> PAGEREF _Toc10336 \h </w:instrText>
          </w:r>
          <w:r>
            <w:fldChar w:fldCharType="separate"/>
          </w:r>
          <w:r>
            <w:t>- 79 -</w:t>
          </w:r>
          <w:r>
            <w:fldChar w:fldCharType="end"/>
          </w:r>
          <w:r>
            <w:rPr>
              <w:rFonts w:hint="eastAsia" w:ascii="宋体" w:hAnsi="宋体" w:eastAsia="宋体" w:cs="宋体"/>
              <w:bCs/>
              <w:color w:val="auto"/>
              <w:szCs w:val="36"/>
            </w:rPr>
            <w:fldChar w:fldCharType="end"/>
          </w:r>
        </w:p>
        <w:p w14:paraId="652C3DA7">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_Toc6462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5.3.3单元评价小结</w:t>
          </w:r>
          <w:r>
            <w:tab/>
          </w:r>
          <w:r>
            <w:fldChar w:fldCharType="begin"/>
          </w:r>
          <w:r>
            <w:instrText xml:space="preserve"> PAGEREF _Toc6462 \h </w:instrText>
          </w:r>
          <w:r>
            <w:fldChar w:fldCharType="separate"/>
          </w:r>
          <w:r>
            <w:t>- 80 -</w:t>
          </w:r>
          <w:r>
            <w:fldChar w:fldCharType="end"/>
          </w:r>
          <w:r>
            <w:rPr>
              <w:rFonts w:hint="eastAsia" w:ascii="宋体" w:hAnsi="宋体" w:eastAsia="宋体" w:cs="宋体"/>
              <w:bCs/>
              <w:color w:val="auto"/>
              <w:szCs w:val="36"/>
            </w:rPr>
            <w:fldChar w:fldCharType="end"/>
          </w:r>
        </w:p>
        <w:p w14:paraId="5CD23E10">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_Toc21809 </w:instrText>
          </w:r>
          <w:r>
            <w:rPr>
              <w:rFonts w:hint="eastAsia" w:ascii="宋体" w:hAnsi="宋体" w:eastAsia="宋体" w:cs="宋体"/>
              <w:bCs/>
              <w:szCs w:val="36"/>
            </w:rPr>
            <w:fldChar w:fldCharType="separate"/>
          </w:r>
          <w:r>
            <w:rPr>
              <w:rFonts w:hint="eastAsia" w:ascii="宋体" w:hAnsi="宋体" w:eastAsia="宋体" w:cs="宋体"/>
              <w:kern w:val="0"/>
            </w:rPr>
            <w:t>5.</w:t>
          </w:r>
          <w:r>
            <w:rPr>
              <w:rFonts w:hint="eastAsia" w:ascii="宋体" w:hAnsi="宋体" w:eastAsia="宋体" w:cs="宋体"/>
              <w:kern w:val="0"/>
              <w:lang w:val="en-US" w:eastAsia="zh-CN"/>
            </w:rPr>
            <w:t>4</w:t>
          </w:r>
          <w:r>
            <w:rPr>
              <w:rFonts w:hint="eastAsia" w:ascii="宋体" w:hAnsi="宋体" w:eastAsia="宋体" w:cs="宋体"/>
              <w:kern w:val="0"/>
            </w:rPr>
            <w:t>公用工程及辅助设施评价单元</w:t>
          </w:r>
          <w:r>
            <w:tab/>
          </w:r>
          <w:r>
            <w:fldChar w:fldCharType="begin"/>
          </w:r>
          <w:r>
            <w:instrText xml:space="preserve"> PAGEREF _Toc21809 \h </w:instrText>
          </w:r>
          <w:r>
            <w:fldChar w:fldCharType="separate"/>
          </w:r>
          <w:r>
            <w:t>- 80 -</w:t>
          </w:r>
          <w:r>
            <w:fldChar w:fldCharType="end"/>
          </w:r>
          <w:r>
            <w:rPr>
              <w:rFonts w:hint="eastAsia" w:ascii="宋体" w:hAnsi="宋体" w:eastAsia="宋体" w:cs="宋体"/>
              <w:bCs/>
              <w:color w:val="auto"/>
              <w:szCs w:val="36"/>
            </w:rPr>
            <w:fldChar w:fldCharType="end"/>
          </w:r>
        </w:p>
        <w:p w14:paraId="13FDE3FF">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_Toc31717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5.4.1 供配电系统安全检查表</w:t>
          </w:r>
          <w:r>
            <w:tab/>
          </w:r>
          <w:r>
            <w:fldChar w:fldCharType="begin"/>
          </w:r>
          <w:r>
            <w:instrText xml:space="preserve"> PAGEREF _Toc31717 \h </w:instrText>
          </w:r>
          <w:r>
            <w:fldChar w:fldCharType="separate"/>
          </w:r>
          <w:r>
            <w:t>- 80 -</w:t>
          </w:r>
          <w:r>
            <w:fldChar w:fldCharType="end"/>
          </w:r>
          <w:r>
            <w:rPr>
              <w:rFonts w:hint="eastAsia" w:ascii="宋体" w:hAnsi="宋体" w:eastAsia="宋体" w:cs="宋体"/>
              <w:bCs/>
              <w:color w:val="auto"/>
              <w:szCs w:val="36"/>
            </w:rPr>
            <w:fldChar w:fldCharType="end"/>
          </w:r>
        </w:p>
        <w:p w14:paraId="6D701FEF">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_Toc9617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5.4.2 给排水系统安全检查表</w:t>
          </w:r>
          <w:r>
            <w:tab/>
          </w:r>
          <w:r>
            <w:fldChar w:fldCharType="begin"/>
          </w:r>
          <w:r>
            <w:instrText xml:space="preserve"> PAGEREF _Toc9617 \h </w:instrText>
          </w:r>
          <w:r>
            <w:fldChar w:fldCharType="separate"/>
          </w:r>
          <w:r>
            <w:t>- 81 -</w:t>
          </w:r>
          <w:r>
            <w:fldChar w:fldCharType="end"/>
          </w:r>
          <w:r>
            <w:rPr>
              <w:rFonts w:hint="eastAsia" w:ascii="宋体" w:hAnsi="宋体" w:eastAsia="宋体" w:cs="宋体"/>
              <w:bCs/>
              <w:color w:val="auto"/>
              <w:szCs w:val="36"/>
            </w:rPr>
            <w:fldChar w:fldCharType="end"/>
          </w:r>
        </w:p>
        <w:p w14:paraId="37CF2DC5">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_Toc1759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5.4.3 消防系统安全检查表</w:t>
          </w:r>
          <w:r>
            <w:tab/>
          </w:r>
          <w:r>
            <w:fldChar w:fldCharType="begin"/>
          </w:r>
          <w:r>
            <w:instrText xml:space="preserve"> PAGEREF _Toc1759 \h </w:instrText>
          </w:r>
          <w:r>
            <w:fldChar w:fldCharType="separate"/>
          </w:r>
          <w:r>
            <w:t>- 82 -</w:t>
          </w:r>
          <w:r>
            <w:fldChar w:fldCharType="end"/>
          </w:r>
          <w:r>
            <w:rPr>
              <w:rFonts w:hint="eastAsia" w:ascii="宋体" w:hAnsi="宋体" w:eastAsia="宋体" w:cs="宋体"/>
              <w:bCs/>
              <w:color w:val="auto"/>
              <w:szCs w:val="36"/>
            </w:rPr>
            <w:fldChar w:fldCharType="end"/>
          </w:r>
        </w:p>
        <w:p w14:paraId="070DE8A6">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_Toc24818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5.4.4 单元小结</w:t>
          </w:r>
          <w:r>
            <w:tab/>
          </w:r>
          <w:r>
            <w:fldChar w:fldCharType="begin"/>
          </w:r>
          <w:r>
            <w:instrText xml:space="preserve"> PAGEREF _Toc24818 \h </w:instrText>
          </w:r>
          <w:r>
            <w:fldChar w:fldCharType="separate"/>
          </w:r>
          <w:r>
            <w:t>- 84 -</w:t>
          </w:r>
          <w:r>
            <w:fldChar w:fldCharType="end"/>
          </w:r>
          <w:r>
            <w:rPr>
              <w:rFonts w:hint="eastAsia" w:ascii="宋体" w:hAnsi="宋体" w:eastAsia="宋体" w:cs="宋体"/>
              <w:bCs/>
              <w:color w:val="auto"/>
              <w:szCs w:val="36"/>
            </w:rPr>
            <w:fldChar w:fldCharType="end"/>
          </w:r>
        </w:p>
        <w:p w14:paraId="06E4E57F">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_Toc19957 </w:instrText>
          </w:r>
          <w:r>
            <w:rPr>
              <w:rFonts w:hint="eastAsia" w:ascii="宋体" w:hAnsi="宋体" w:eastAsia="宋体" w:cs="宋体"/>
              <w:bCs/>
              <w:szCs w:val="36"/>
            </w:rPr>
            <w:fldChar w:fldCharType="separate"/>
          </w:r>
          <w:r>
            <w:rPr>
              <w:rFonts w:hint="eastAsia" w:ascii="宋体" w:hAnsi="宋体" w:eastAsia="宋体" w:cs="宋体"/>
              <w:kern w:val="0"/>
            </w:rPr>
            <w:t>5.5</w:t>
          </w:r>
          <w:r>
            <w:rPr>
              <w:rFonts w:hint="eastAsia" w:ascii="宋体" w:hAnsi="宋体" w:eastAsia="宋体" w:cs="宋体"/>
              <w:kern w:val="0"/>
              <w:lang w:val="en-US" w:eastAsia="zh-CN"/>
            </w:rPr>
            <w:t xml:space="preserve"> </w:t>
          </w:r>
          <w:r>
            <w:rPr>
              <w:rFonts w:hint="eastAsia" w:ascii="宋体" w:hAnsi="宋体" w:eastAsia="宋体" w:cs="宋体"/>
              <w:kern w:val="0"/>
            </w:rPr>
            <w:t>安全生产管理评价单元</w:t>
          </w:r>
          <w:r>
            <w:tab/>
          </w:r>
          <w:r>
            <w:fldChar w:fldCharType="begin"/>
          </w:r>
          <w:r>
            <w:instrText xml:space="preserve"> PAGEREF _Toc19957 \h </w:instrText>
          </w:r>
          <w:r>
            <w:fldChar w:fldCharType="separate"/>
          </w:r>
          <w:r>
            <w:t>- 84 -</w:t>
          </w:r>
          <w:r>
            <w:fldChar w:fldCharType="end"/>
          </w:r>
          <w:r>
            <w:rPr>
              <w:rFonts w:hint="eastAsia" w:ascii="宋体" w:hAnsi="宋体" w:eastAsia="宋体" w:cs="宋体"/>
              <w:bCs/>
              <w:color w:val="auto"/>
              <w:szCs w:val="36"/>
            </w:rPr>
            <w:fldChar w:fldCharType="end"/>
          </w:r>
        </w:p>
        <w:p w14:paraId="5C468688">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_Toc20765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5.5.1安全管理检查表</w:t>
          </w:r>
          <w:r>
            <w:tab/>
          </w:r>
          <w:r>
            <w:fldChar w:fldCharType="begin"/>
          </w:r>
          <w:r>
            <w:instrText xml:space="preserve"> PAGEREF _Toc20765 \h </w:instrText>
          </w:r>
          <w:r>
            <w:fldChar w:fldCharType="separate"/>
          </w:r>
          <w:r>
            <w:t>- 84 -</w:t>
          </w:r>
          <w:r>
            <w:fldChar w:fldCharType="end"/>
          </w:r>
          <w:r>
            <w:rPr>
              <w:rFonts w:hint="eastAsia" w:ascii="宋体" w:hAnsi="宋体" w:eastAsia="宋体" w:cs="宋体"/>
              <w:bCs/>
              <w:color w:val="auto"/>
              <w:szCs w:val="36"/>
            </w:rPr>
            <w:fldChar w:fldCharType="end"/>
          </w:r>
        </w:p>
        <w:p w14:paraId="67165A5E">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_Toc11021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5.5.2 应急救援预案</w:t>
          </w:r>
          <w:r>
            <w:tab/>
          </w:r>
          <w:r>
            <w:fldChar w:fldCharType="begin"/>
          </w:r>
          <w:r>
            <w:instrText xml:space="preserve"> PAGEREF _Toc11021 \h </w:instrText>
          </w:r>
          <w:r>
            <w:fldChar w:fldCharType="separate"/>
          </w:r>
          <w:r>
            <w:t>- 90 -</w:t>
          </w:r>
          <w:r>
            <w:fldChar w:fldCharType="end"/>
          </w:r>
          <w:r>
            <w:rPr>
              <w:rFonts w:hint="eastAsia" w:ascii="宋体" w:hAnsi="宋体" w:eastAsia="宋体" w:cs="宋体"/>
              <w:bCs/>
              <w:color w:val="auto"/>
              <w:szCs w:val="36"/>
            </w:rPr>
            <w:fldChar w:fldCharType="end"/>
          </w:r>
        </w:p>
        <w:p w14:paraId="05DE3E78">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_Toc27751 </w:instrText>
          </w:r>
          <w:r>
            <w:rPr>
              <w:rFonts w:hint="eastAsia" w:ascii="宋体" w:hAnsi="宋体" w:eastAsia="宋体" w:cs="宋体"/>
              <w:bCs/>
              <w:szCs w:val="36"/>
            </w:rPr>
            <w:fldChar w:fldCharType="separate"/>
          </w:r>
          <w:r>
            <w:rPr>
              <w:rFonts w:hint="eastAsia" w:ascii="宋体" w:hAnsi="宋体" w:eastAsia="宋体" w:cs="宋体"/>
              <w:snapToGrid w:val="0"/>
              <w:kern w:val="0"/>
              <w:szCs w:val="28"/>
              <w:lang w:val="en-US" w:eastAsia="zh-CN"/>
            </w:rPr>
            <w:t>5.5.3 单元小结</w:t>
          </w:r>
          <w:r>
            <w:tab/>
          </w:r>
          <w:r>
            <w:fldChar w:fldCharType="begin"/>
          </w:r>
          <w:r>
            <w:instrText xml:space="preserve"> PAGEREF _Toc27751 \h </w:instrText>
          </w:r>
          <w:r>
            <w:fldChar w:fldCharType="separate"/>
          </w:r>
          <w:r>
            <w:t>- 91 -</w:t>
          </w:r>
          <w:r>
            <w:fldChar w:fldCharType="end"/>
          </w:r>
          <w:r>
            <w:rPr>
              <w:rFonts w:hint="eastAsia" w:ascii="宋体" w:hAnsi="宋体" w:eastAsia="宋体" w:cs="宋体"/>
              <w:bCs/>
              <w:color w:val="auto"/>
              <w:szCs w:val="36"/>
            </w:rPr>
            <w:fldChar w:fldCharType="end"/>
          </w:r>
        </w:p>
        <w:p w14:paraId="1D9BDE65">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_Toc15947 </w:instrText>
          </w:r>
          <w:r>
            <w:rPr>
              <w:rFonts w:hint="eastAsia" w:ascii="宋体" w:hAnsi="宋体" w:eastAsia="宋体" w:cs="宋体"/>
              <w:bCs/>
              <w:szCs w:val="36"/>
            </w:rPr>
            <w:fldChar w:fldCharType="separate"/>
          </w:r>
          <w:r>
            <w:rPr>
              <w:rFonts w:hint="eastAsia" w:ascii="宋体" w:hAnsi="宋体" w:eastAsia="宋体" w:cs="宋体"/>
              <w:kern w:val="0"/>
            </w:rPr>
            <w:t>5.6 重大事故隐患</w:t>
          </w:r>
          <w:r>
            <w:rPr>
              <w:rFonts w:hint="eastAsia" w:ascii="宋体" w:hAnsi="宋体" w:eastAsia="宋体" w:cs="宋体"/>
              <w:kern w:val="0"/>
              <w:lang w:val="en-US" w:eastAsia="zh-CN"/>
            </w:rPr>
            <w:t>评价</w:t>
          </w:r>
          <w:r>
            <w:rPr>
              <w:rFonts w:hint="eastAsia" w:ascii="宋体" w:hAnsi="宋体" w:eastAsia="宋体" w:cs="宋体"/>
              <w:kern w:val="0"/>
            </w:rPr>
            <w:t>单元</w:t>
          </w:r>
          <w:r>
            <w:tab/>
          </w:r>
          <w:r>
            <w:fldChar w:fldCharType="begin"/>
          </w:r>
          <w:r>
            <w:instrText xml:space="preserve"> PAGEREF _Toc15947 \h </w:instrText>
          </w:r>
          <w:r>
            <w:fldChar w:fldCharType="separate"/>
          </w:r>
          <w:r>
            <w:t>- 91 -</w:t>
          </w:r>
          <w:r>
            <w:fldChar w:fldCharType="end"/>
          </w:r>
          <w:r>
            <w:rPr>
              <w:rFonts w:hint="eastAsia" w:ascii="宋体" w:hAnsi="宋体" w:eastAsia="宋体" w:cs="宋体"/>
              <w:bCs/>
              <w:color w:val="auto"/>
              <w:szCs w:val="36"/>
            </w:rPr>
            <w:fldChar w:fldCharType="end"/>
          </w:r>
        </w:p>
        <w:p w14:paraId="277FD834">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_Toc15480 </w:instrText>
          </w:r>
          <w:r>
            <w:rPr>
              <w:rFonts w:hint="eastAsia" w:ascii="宋体" w:hAnsi="宋体" w:eastAsia="宋体" w:cs="宋体"/>
              <w:bCs/>
              <w:szCs w:val="36"/>
            </w:rPr>
            <w:fldChar w:fldCharType="separate"/>
          </w:r>
          <w:r>
            <w:rPr>
              <w:rFonts w:hint="eastAsia" w:ascii="宋体" w:hAnsi="宋体" w:eastAsia="宋体" w:cs="宋体"/>
              <w:kern w:val="0"/>
              <w:lang w:val="en-US" w:eastAsia="zh-CN"/>
            </w:rPr>
            <w:t>5.7评价小结</w:t>
          </w:r>
          <w:r>
            <w:tab/>
          </w:r>
          <w:r>
            <w:fldChar w:fldCharType="begin"/>
          </w:r>
          <w:r>
            <w:instrText xml:space="preserve"> PAGEREF _Toc15480 \h </w:instrText>
          </w:r>
          <w:r>
            <w:fldChar w:fldCharType="separate"/>
          </w:r>
          <w:r>
            <w:t>- 93 -</w:t>
          </w:r>
          <w:r>
            <w:fldChar w:fldCharType="end"/>
          </w:r>
          <w:r>
            <w:rPr>
              <w:rFonts w:hint="eastAsia" w:ascii="宋体" w:hAnsi="宋体" w:eastAsia="宋体" w:cs="宋体"/>
              <w:bCs/>
              <w:color w:val="auto"/>
              <w:szCs w:val="36"/>
            </w:rPr>
            <w:fldChar w:fldCharType="end"/>
          </w:r>
        </w:p>
        <w:p w14:paraId="5A7832F1">
          <w:pPr>
            <w:pStyle w:val="17"/>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_Toc17367 </w:instrText>
          </w:r>
          <w:r>
            <w:rPr>
              <w:rFonts w:hint="eastAsia" w:ascii="宋体" w:hAnsi="宋体" w:eastAsia="宋体" w:cs="宋体"/>
              <w:bCs/>
              <w:szCs w:val="36"/>
            </w:rPr>
            <w:fldChar w:fldCharType="separate"/>
          </w:r>
          <w:r>
            <w:rPr>
              <w:rFonts w:hint="eastAsia" w:ascii="宋体" w:hAnsi="宋体" w:eastAsia="宋体" w:cs="宋体"/>
              <w:bCs/>
              <w:szCs w:val="36"/>
              <w:lang w:val="en-US" w:eastAsia="zh-CN"/>
            </w:rPr>
            <w:t>第6章安全对策措施建议</w:t>
          </w:r>
          <w:r>
            <w:tab/>
          </w:r>
          <w:r>
            <w:fldChar w:fldCharType="begin"/>
          </w:r>
          <w:r>
            <w:instrText xml:space="preserve"> PAGEREF _Toc17367 \h </w:instrText>
          </w:r>
          <w:r>
            <w:fldChar w:fldCharType="separate"/>
          </w:r>
          <w:r>
            <w:t>- 94 -</w:t>
          </w:r>
          <w:r>
            <w:fldChar w:fldCharType="end"/>
          </w:r>
          <w:r>
            <w:rPr>
              <w:rFonts w:hint="eastAsia" w:ascii="宋体" w:hAnsi="宋体" w:eastAsia="宋体" w:cs="宋体"/>
              <w:bCs/>
              <w:color w:val="auto"/>
              <w:szCs w:val="36"/>
            </w:rPr>
            <w:fldChar w:fldCharType="end"/>
          </w:r>
        </w:p>
        <w:p w14:paraId="518CBA41">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_Toc21376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6.1存在的问题及整改情况说明</w:t>
          </w:r>
          <w:r>
            <w:tab/>
          </w:r>
          <w:r>
            <w:fldChar w:fldCharType="begin"/>
          </w:r>
          <w:r>
            <w:instrText xml:space="preserve"> PAGEREF _Toc21376 \h </w:instrText>
          </w:r>
          <w:r>
            <w:fldChar w:fldCharType="separate"/>
          </w:r>
          <w:r>
            <w:t>- 94 -</w:t>
          </w:r>
          <w:r>
            <w:fldChar w:fldCharType="end"/>
          </w:r>
          <w:r>
            <w:rPr>
              <w:rFonts w:hint="eastAsia" w:ascii="宋体" w:hAnsi="宋体" w:eastAsia="宋体" w:cs="宋体"/>
              <w:bCs/>
              <w:color w:val="auto"/>
              <w:szCs w:val="36"/>
            </w:rPr>
            <w:fldChar w:fldCharType="end"/>
          </w:r>
        </w:p>
        <w:p w14:paraId="164DCDF6">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_Toc16269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6.1.1存在的主要问题</w:t>
          </w:r>
          <w:r>
            <w:tab/>
          </w:r>
          <w:r>
            <w:fldChar w:fldCharType="begin"/>
          </w:r>
          <w:r>
            <w:instrText xml:space="preserve"> PAGEREF _Toc16269 \h </w:instrText>
          </w:r>
          <w:r>
            <w:fldChar w:fldCharType="separate"/>
          </w:r>
          <w:r>
            <w:t>- 94 -</w:t>
          </w:r>
          <w:r>
            <w:fldChar w:fldCharType="end"/>
          </w:r>
          <w:r>
            <w:rPr>
              <w:rFonts w:hint="eastAsia" w:ascii="宋体" w:hAnsi="宋体" w:eastAsia="宋体" w:cs="宋体"/>
              <w:bCs/>
              <w:color w:val="auto"/>
              <w:szCs w:val="36"/>
            </w:rPr>
            <w:fldChar w:fldCharType="end"/>
          </w:r>
        </w:p>
        <w:p w14:paraId="12BFF1F3">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_Toc29751 </w:instrText>
          </w:r>
          <w:r>
            <w:rPr>
              <w:rFonts w:hint="eastAsia" w:ascii="宋体" w:hAnsi="宋体" w:eastAsia="宋体" w:cs="宋体"/>
              <w:bCs/>
              <w:szCs w:val="36"/>
            </w:rPr>
            <w:fldChar w:fldCharType="separate"/>
          </w:r>
          <w:r>
            <w:rPr>
              <w:rFonts w:hint="eastAsia" w:ascii="宋体" w:hAnsi="宋体" w:eastAsia="宋体" w:cs="宋体"/>
              <w:bCs/>
              <w:szCs w:val="24"/>
              <w:lang w:val="en-US" w:eastAsia="zh-CN"/>
            </w:rPr>
            <w:t>6.1.2整改建议</w:t>
          </w:r>
          <w:r>
            <w:tab/>
          </w:r>
          <w:r>
            <w:fldChar w:fldCharType="begin"/>
          </w:r>
          <w:r>
            <w:instrText xml:space="preserve"> PAGEREF _Toc29751 \h </w:instrText>
          </w:r>
          <w:r>
            <w:fldChar w:fldCharType="separate"/>
          </w:r>
          <w:r>
            <w:t>- 94 -</w:t>
          </w:r>
          <w:r>
            <w:fldChar w:fldCharType="end"/>
          </w:r>
          <w:r>
            <w:rPr>
              <w:rFonts w:hint="eastAsia" w:ascii="宋体" w:hAnsi="宋体" w:eastAsia="宋体" w:cs="宋体"/>
              <w:bCs/>
              <w:color w:val="auto"/>
              <w:szCs w:val="36"/>
            </w:rPr>
            <w:fldChar w:fldCharType="end"/>
          </w:r>
        </w:p>
        <w:p w14:paraId="3AC85898">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_Toc29453 </w:instrText>
          </w:r>
          <w:r>
            <w:rPr>
              <w:rFonts w:hint="eastAsia" w:ascii="宋体" w:hAnsi="宋体" w:eastAsia="宋体" w:cs="宋体"/>
              <w:bCs/>
              <w:szCs w:val="36"/>
            </w:rPr>
            <w:fldChar w:fldCharType="separate"/>
          </w:r>
          <w:r>
            <w:rPr>
              <w:rFonts w:hint="eastAsia" w:ascii="宋体" w:hAnsi="宋体" w:eastAsia="宋体" w:cs="宋体"/>
              <w:bCs/>
              <w:szCs w:val="24"/>
              <w:lang w:val="en-US" w:eastAsia="zh-CN"/>
            </w:rPr>
            <w:t>6.1.3整改完成情况</w:t>
          </w:r>
          <w:r>
            <w:tab/>
          </w:r>
          <w:r>
            <w:fldChar w:fldCharType="begin"/>
          </w:r>
          <w:r>
            <w:instrText xml:space="preserve"> PAGEREF _Toc29453 \h </w:instrText>
          </w:r>
          <w:r>
            <w:fldChar w:fldCharType="separate"/>
          </w:r>
          <w:r>
            <w:t>- 94 -</w:t>
          </w:r>
          <w:r>
            <w:fldChar w:fldCharType="end"/>
          </w:r>
          <w:r>
            <w:rPr>
              <w:rFonts w:hint="eastAsia" w:ascii="宋体" w:hAnsi="宋体" w:eastAsia="宋体" w:cs="宋体"/>
              <w:bCs/>
              <w:color w:val="auto"/>
              <w:szCs w:val="36"/>
            </w:rPr>
            <w:fldChar w:fldCharType="end"/>
          </w:r>
        </w:p>
        <w:p w14:paraId="4F44A0A3">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_Toc24718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6.2安全防范措施建议</w:t>
          </w:r>
          <w:r>
            <w:tab/>
          </w:r>
          <w:r>
            <w:fldChar w:fldCharType="begin"/>
          </w:r>
          <w:r>
            <w:instrText xml:space="preserve"> PAGEREF _Toc24718 \h </w:instrText>
          </w:r>
          <w:r>
            <w:fldChar w:fldCharType="separate"/>
          </w:r>
          <w:r>
            <w:t>- 94 -</w:t>
          </w:r>
          <w:r>
            <w:fldChar w:fldCharType="end"/>
          </w:r>
          <w:r>
            <w:rPr>
              <w:rFonts w:hint="eastAsia" w:ascii="宋体" w:hAnsi="宋体" w:eastAsia="宋体" w:cs="宋体"/>
              <w:bCs/>
              <w:color w:val="auto"/>
              <w:szCs w:val="36"/>
            </w:rPr>
            <w:fldChar w:fldCharType="end"/>
          </w:r>
        </w:p>
        <w:p w14:paraId="2F5D6084">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_Toc26238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6.2.1厂址及总平面布置方面安全防范措施建议</w:t>
          </w:r>
          <w:r>
            <w:tab/>
          </w:r>
          <w:r>
            <w:fldChar w:fldCharType="begin"/>
          </w:r>
          <w:r>
            <w:instrText xml:space="preserve"> PAGEREF _Toc26238 \h </w:instrText>
          </w:r>
          <w:r>
            <w:fldChar w:fldCharType="separate"/>
          </w:r>
          <w:r>
            <w:t>- 94 -</w:t>
          </w:r>
          <w:r>
            <w:fldChar w:fldCharType="end"/>
          </w:r>
          <w:r>
            <w:rPr>
              <w:rFonts w:hint="eastAsia" w:ascii="宋体" w:hAnsi="宋体" w:eastAsia="宋体" w:cs="宋体"/>
              <w:bCs/>
              <w:color w:val="auto"/>
              <w:szCs w:val="36"/>
            </w:rPr>
            <w:fldChar w:fldCharType="end"/>
          </w:r>
        </w:p>
        <w:p w14:paraId="221EE159">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_Toc31367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6.2.2生产设备安全防范措施建议</w:t>
          </w:r>
          <w:r>
            <w:tab/>
          </w:r>
          <w:r>
            <w:fldChar w:fldCharType="begin"/>
          </w:r>
          <w:r>
            <w:instrText xml:space="preserve"> PAGEREF _Toc31367 \h </w:instrText>
          </w:r>
          <w:r>
            <w:fldChar w:fldCharType="separate"/>
          </w:r>
          <w:r>
            <w:t>- 94 -</w:t>
          </w:r>
          <w:r>
            <w:fldChar w:fldCharType="end"/>
          </w:r>
          <w:r>
            <w:rPr>
              <w:rFonts w:hint="eastAsia" w:ascii="宋体" w:hAnsi="宋体" w:eastAsia="宋体" w:cs="宋体"/>
              <w:bCs/>
              <w:color w:val="auto"/>
              <w:szCs w:val="36"/>
            </w:rPr>
            <w:fldChar w:fldCharType="end"/>
          </w:r>
        </w:p>
        <w:p w14:paraId="006E973F">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_Toc22865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6.2.3公共辅助设施安全防范措施建议</w:t>
          </w:r>
          <w:r>
            <w:tab/>
          </w:r>
          <w:r>
            <w:fldChar w:fldCharType="begin"/>
          </w:r>
          <w:r>
            <w:instrText xml:space="preserve"> PAGEREF _Toc22865 \h </w:instrText>
          </w:r>
          <w:r>
            <w:fldChar w:fldCharType="separate"/>
          </w:r>
          <w:r>
            <w:t>- 95 -</w:t>
          </w:r>
          <w:r>
            <w:fldChar w:fldCharType="end"/>
          </w:r>
          <w:r>
            <w:rPr>
              <w:rFonts w:hint="eastAsia" w:ascii="宋体" w:hAnsi="宋体" w:eastAsia="宋体" w:cs="宋体"/>
              <w:bCs/>
              <w:color w:val="auto"/>
              <w:szCs w:val="36"/>
            </w:rPr>
            <w:fldChar w:fldCharType="end"/>
          </w:r>
        </w:p>
        <w:p w14:paraId="77FD11E5">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_Toc1776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w:t>
          </w:r>
          <w:r>
            <w:rPr>
              <w:rFonts w:hint="eastAsia" w:hAnsi="宋体" w:cs="宋体"/>
              <w:bCs/>
              <w:kern w:val="0"/>
              <w:szCs w:val="28"/>
              <w:lang w:val="en-US" w:eastAsia="zh-CN" w:bidi="ar"/>
            </w:rPr>
            <w:t>4</w:t>
          </w:r>
          <w:r>
            <w:rPr>
              <w:rFonts w:hint="eastAsia" w:ascii="宋体" w:hAnsi="宋体" w:eastAsia="宋体" w:cs="宋体"/>
              <w:bCs/>
              <w:kern w:val="0"/>
              <w:szCs w:val="28"/>
              <w:lang w:val="en-US" w:eastAsia="zh-CN" w:bidi="ar"/>
            </w:rPr>
            <w:t>安全管理安全防范措施建议</w:t>
          </w:r>
          <w:r>
            <w:tab/>
          </w:r>
          <w:r>
            <w:fldChar w:fldCharType="begin"/>
          </w:r>
          <w:r>
            <w:instrText xml:space="preserve"> PAGEREF _Toc1776 \h </w:instrText>
          </w:r>
          <w:r>
            <w:fldChar w:fldCharType="separate"/>
          </w:r>
          <w:r>
            <w:t>- 96 -</w:t>
          </w:r>
          <w:r>
            <w:fldChar w:fldCharType="end"/>
          </w:r>
          <w:r>
            <w:rPr>
              <w:rFonts w:hint="eastAsia" w:ascii="宋体" w:hAnsi="宋体" w:eastAsia="宋体" w:cs="宋体"/>
              <w:bCs/>
              <w:color w:val="auto"/>
              <w:szCs w:val="36"/>
            </w:rPr>
            <w:fldChar w:fldCharType="end"/>
          </w:r>
        </w:p>
        <w:p w14:paraId="316B65D4">
          <w:pPr>
            <w:pStyle w:val="17"/>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_Toc4113 </w:instrText>
          </w:r>
          <w:r>
            <w:rPr>
              <w:rFonts w:hint="eastAsia" w:ascii="宋体" w:hAnsi="宋体" w:eastAsia="宋体" w:cs="宋体"/>
              <w:bCs/>
              <w:szCs w:val="36"/>
            </w:rPr>
            <w:fldChar w:fldCharType="separate"/>
          </w:r>
          <w:r>
            <w:rPr>
              <w:rFonts w:hint="eastAsia" w:ascii="宋体" w:hAnsi="宋体" w:eastAsia="宋体" w:cs="宋体"/>
              <w:bCs/>
              <w:kern w:val="0"/>
              <w:szCs w:val="36"/>
              <w:lang w:val="en-US" w:eastAsia="zh-CN" w:bidi="ar"/>
            </w:rPr>
            <w:t>第7章安全评价结论</w:t>
          </w:r>
          <w:r>
            <w:tab/>
          </w:r>
          <w:r>
            <w:fldChar w:fldCharType="begin"/>
          </w:r>
          <w:r>
            <w:instrText xml:space="preserve"> PAGEREF _Toc4113 \h </w:instrText>
          </w:r>
          <w:r>
            <w:fldChar w:fldCharType="separate"/>
          </w:r>
          <w:r>
            <w:t>- 98 -</w:t>
          </w:r>
          <w:r>
            <w:fldChar w:fldCharType="end"/>
          </w:r>
          <w:r>
            <w:rPr>
              <w:rFonts w:hint="eastAsia" w:ascii="宋体" w:hAnsi="宋体" w:eastAsia="宋体" w:cs="宋体"/>
              <w:bCs/>
              <w:color w:val="auto"/>
              <w:szCs w:val="36"/>
            </w:rPr>
            <w:fldChar w:fldCharType="end"/>
          </w:r>
        </w:p>
        <w:p w14:paraId="333A3AAF">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_Toc12002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7.1综合评述</w:t>
          </w:r>
          <w:r>
            <w:tab/>
          </w:r>
          <w:r>
            <w:fldChar w:fldCharType="begin"/>
          </w:r>
          <w:r>
            <w:instrText xml:space="preserve"> PAGEREF _Toc12002 \h </w:instrText>
          </w:r>
          <w:r>
            <w:fldChar w:fldCharType="separate"/>
          </w:r>
          <w:r>
            <w:t>- 98 -</w:t>
          </w:r>
          <w:r>
            <w:fldChar w:fldCharType="end"/>
          </w:r>
          <w:r>
            <w:rPr>
              <w:rFonts w:hint="eastAsia" w:ascii="宋体" w:hAnsi="宋体" w:eastAsia="宋体" w:cs="宋体"/>
              <w:bCs/>
              <w:color w:val="auto"/>
              <w:szCs w:val="36"/>
            </w:rPr>
            <w:fldChar w:fldCharType="end"/>
          </w:r>
        </w:p>
        <w:p w14:paraId="360C837D">
          <w:pPr>
            <w:pStyle w:val="20"/>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_Toc4928 </w:instrText>
          </w:r>
          <w:r>
            <w:rPr>
              <w:rFonts w:hint="eastAsia" w:ascii="宋体" w:hAnsi="宋体" w:eastAsia="宋体" w:cs="宋体"/>
              <w:bCs/>
              <w:szCs w:val="36"/>
            </w:rPr>
            <w:fldChar w:fldCharType="separate"/>
          </w:r>
          <w:r>
            <w:rPr>
              <w:rFonts w:hint="eastAsia" w:ascii="宋体" w:hAnsi="宋体" w:eastAsia="宋体" w:cs="宋体"/>
              <w:bCs/>
              <w:spacing w:val="2"/>
              <w:szCs w:val="28"/>
              <w:lang w:val="en-US" w:eastAsia="zh-CN"/>
            </w:rPr>
            <w:t>7</w:t>
          </w:r>
          <w:r>
            <w:rPr>
              <w:rFonts w:ascii="宋体" w:hAnsi="宋体" w:eastAsia="宋体" w:cs="宋体"/>
              <w:bCs/>
              <w:spacing w:val="2"/>
              <w:szCs w:val="28"/>
            </w:rPr>
            <w:t>.2总体评价结论</w:t>
          </w:r>
          <w:r>
            <w:tab/>
          </w:r>
          <w:r>
            <w:fldChar w:fldCharType="begin"/>
          </w:r>
          <w:r>
            <w:instrText xml:space="preserve"> PAGEREF _Toc4928 \h </w:instrText>
          </w:r>
          <w:r>
            <w:fldChar w:fldCharType="separate"/>
          </w:r>
          <w:r>
            <w:t>- 99 -</w:t>
          </w:r>
          <w:r>
            <w:fldChar w:fldCharType="end"/>
          </w:r>
          <w:r>
            <w:rPr>
              <w:rFonts w:hint="eastAsia" w:ascii="宋体" w:hAnsi="宋体" w:eastAsia="宋体" w:cs="宋体"/>
              <w:bCs/>
              <w:color w:val="auto"/>
              <w:szCs w:val="36"/>
            </w:rPr>
            <w:fldChar w:fldCharType="end"/>
          </w:r>
        </w:p>
        <w:p w14:paraId="71673A30">
          <w:pPr>
            <w:pStyle w:val="17"/>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_Toc5475 </w:instrText>
          </w:r>
          <w:r>
            <w:rPr>
              <w:rFonts w:hint="eastAsia" w:ascii="宋体" w:hAnsi="宋体" w:eastAsia="宋体" w:cs="宋体"/>
              <w:bCs/>
              <w:szCs w:val="36"/>
            </w:rPr>
            <w:fldChar w:fldCharType="separate"/>
          </w:r>
          <w:r>
            <w:rPr>
              <w:rFonts w:hint="eastAsia" w:ascii="宋体" w:hAnsi="宋体" w:eastAsia="宋体" w:cs="宋体"/>
              <w:bCs/>
              <w:kern w:val="2"/>
              <w:szCs w:val="36"/>
              <w:lang w:val="en-US" w:eastAsia="zh-CN" w:bidi="ar-SA"/>
            </w:rPr>
            <w:t>第8章与建设单位交换意见情况说明</w:t>
          </w:r>
          <w:r>
            <w:tab/>
          </w:r>
          <w:r>
            <w:fldChar w:fldCharType="begin"/>
          </w:r>
          <w:r>
            <w:instrText xml:space="preserve"> PAGEREF _Toc5475 \h </w:instrText>
          </w:r>
          <w:r>
            <w:fldChar w:fldCharType="separate"/>
          </w:r>
          <w:r>
            <w:t>- 101 -</w:t>
          </w:r>
          <w:r>
            <w:fldChar w:fldCharType="end"/>
          </w:r>
          <w:r>
            <w:rPr>
              <w:rFonts w:hint="eastAsia" w:ascii="宋体" w:hAnsi="宋体" w:eastAsia="宋体" w:cs="宋体"/>
              <w:bCs/>
              <w:color w:val="auto"/>
              <w:szCs w:val="36"/>
            </w:rPr>
            <w:fldChar w:fldCharType="end"/>
          </w:r>
        </w:p>
        <w:p w14:paraId="4CCCBC27">
          <w:pPr>
            <w:bidi w:val="0"/>
            <w:jc w:val="center"/>
            <w:rPr>
              <w:rFonts w:hint="eastAsia" w:ascii="宋体" w:hAnsi="宋体" w:eastAsia="宋体" w:cs="宋体"/>
              <w:bCs/>
              <w:color w:val="auto"/>
              <w:sz w:val="24"/>
              <w:szCs w:val="36"/>
              <w:lang w:val="en-US" w:eastAsia="zh-CN" w:bidi="ar-SA"/>
            </w:rPr>
          </w:pPr>
          <w:r>
            <w:rPr>
              <w:rFonts w:hint="eastAsia" w:ascii="宋体" w:hAnsi="宋体" w:eastAsia="宋体" w:cs="宋体"/>
              <w:bCs/>
              <w:color w:val="auto"/>
              <w:szCs w:val="36"/>
            </w:rPr>
            <w:fldChar w:fldCharType="end"/>
          </w:r>
        </w:p>
      </w:sdtContent>
    </w:sdt>
    <w:p w14:paraId="774E31BC">
      <w:pPr>
        <w:bidi w:val="0"/>
        <w:jc w:val="center"/>
        <w:rPr>
          <w:rFonts w:hint="eastAsia" w:ascii="宋体" w:hAnsi="宋体" w:eastAsia="宋体" w:cs="宋体"/>
          <w:bCs/>
          <w:color w:val="auto"/>
          <w:sz w:val="24"/>
          <w:szCs w:val="36"/>
          <w:lang w:val="en-US" w:eastAsia="zh-CN" w:bidi="ar-SA"/>
        </w:rPr>
        <w:sectPr>
          <w:pgSz w:w="11906" w:h="16838"/>
          <w:pgMar w:top="1417" w:right="1134" w:bottom="1134" w:left="1587" w:header="851" w:footer="992" w:gutter="0"/>
          <w:cols w:space="0" w:num="1"/>
          <w:rtlGutter w:val="0"/>
          <w:docGrid w:type="lines" w:linePitch="312" w:charSpace="0"/>
        </w:sectPr>
      </w:pPr>
    </w:p>
    <w:p w14:paraId="0A115927">
      <w:pPr>
        <w:pageBreakBefore w:val="0"/>
        <w:widowControl w:val="0"/>
        <w:kinsoku/>
        <w:wordWrap/>
        <w:overflowPunct/>
        <w:topLinePunct w:val="0"/>
        <w:autoSpaceDE/>
        <w:autoSpaceDN/>
        <w:bidi w:val="0"/>
        <w:spacing w:line="600" w:lineRule="exact"/>
        <w:jc w:val="center"/>
        <w:textAlignment w:val="auto"/>
        <w:outlineLvl w:val="0"/>
        <w:rPr>
          <w:rFonts w:hint="eastAsia" w:ascii="宋体" w:hAnsi="宋体" w:eastAsia="宋体" w:cs="宋体"/>
          <w:b/>
          <w:bCs/>
          <w:color w:val="auto"/>
          <w:sz w:val="36"/>
          <w:szCs w:val="36"/>
        </w:rPr>
      </w:pPr>
      <w:bookmarkStart w:id="1" w:name="_Toc7902"/>
      <w:r>
        <w:rPr>
          <w:rFonts w:hint="eastAsia" w:ascii="宋体" w:hAnsi="宋体" w:eastAsia="宋体" w:cs="宋体"/>
          <w:b/>
          <w:bCs/>
          <w:color w:val="auto"/>
          <w:sz w:val="36"/>
          <w:szCs w:val="36"/>
        </w:rPr>
        <w:t>第1章编制说明</w:t>
      </w:r>
      <w:bookmarkEnd w:id="0"/>
      <w:bookmarkEnd w:id="1"/>
    </w:p>
    <w:p w14:paraId="215B8AE5">
      <w:pPr>
        <w:pStyle w:val="3"/>
        <w:keepNext/>
        <w:keepLines/>
        <w:pageBreakBefore w:val="0"/>
        <w:widowControl w:val="0"/>
        <w:kinsoku/>
        <w:wordWrap/>
        <w:overflowPunct/>
        <w:topLinePunct w:val="0"/>
        <w:autoSpaceDE/>
        <w:autoSpaceDN/>
        <w:bidi w:val="0"/>
        <w:adjustRightInd/>
        <w:snapToGrid w:val="0"/>
        <w:spacing w:before="0" w:after="0" w:line="500" w:lineRule="exact"/>
        <w:textAlignment w:val="auto"/>
        <w:rPr>
          <w:rFonts w:hint="eastAsia" w:ascii="宋体" w:hAnsi="宋体" w:eastAsia="宋体" w:cs="宋体"/>
          <w:color w:val="auto"/>
          <w:kern w:val="0"/>
          <w:sz w:val="30"/>
          <w:szCs w:val="30"/>
        </w:rPr>
      </w:pPr>
      <w:bookmarkStart w:id="2" w:name="_Toc20457"/>
      <w:bookmarkStart w:id="3" w:name="_Toc17743"/>
      <w:bookmarkStart w:id="4" w:name="_Toc15715"/>
      <w:bookmarkStart w:id="5" w:name="_Toc6525"/>
      <w:bookmarkStart w:id="6" w:name="_Toc313453419"/>
      <w:bookmarkStart w:id="7" w:name="_Toc335926124"/>
      <w:r>
        <w:rPr>
          <w:rFonts w:hint="eastAsia" w:ascii="宋体" w:hAnsi="宋体" w:eastAsia="宋体" w:cs="宋体"/>
          <w:color w:val="auto"/>
          <w:kern w:val="0"/>
          <w:sz w:val="30"/>
          <w:szCs w:val="30"/>
        </w:rPr>
        <w:t>1.1安全评价的目的</w:t>
      </w:r>
      <w:bookmarkEnd w:id="2"/>
      <w:bookmarkEnd w:id="3"/>
      <w:bookmarkEnd w:id="4"/>
      <w:bookmarkEnd w:id="5"/>
      <w:bookmarkEnd w:id="6"/>
      <w:bookmarkEnd w:id="7"/>
    </w:p>
    <w:p w14:paraId="7C60FCE5">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napToGrid w:val="0"/>
          <w:color w:val="auto"/>
          <w:sz w:val="28"/>
        </w:rPr>
      </w:pPr>
      <w:bookmarkStart w:id="8" w:name="_Toc121910185"/>
      <w:r>
        <w:rPr>
          <w:rFonts w:hint="eastAsia" w:ascii="宋体" w:hAnsi="宋体" w:eastAsia="宋体" w:cs="宋体"/>
          <w:color w:val="auto"/>
          <w:sz w:val="28"/>
        </w:rPr>
        <w:t>1．为贯彻</w:t>
      </w:r>
      <w:r>
        <w:rPr>
          <w:rFonts w:hint="eastAsia" w:ascii="宋体" w:hAnsi="宋体" w:eastAsia="宋体" w:cs="宋体"/>
          <w:color w:val="auto"/>
          <w:sz w:val="28"/>
          <w:szCs w:val="28"/>
        </w:rPr>
        <w:t>我们党和国家始终不渝的</w:t>
      </w:r>
      <w:r>
        <w:rPr>
          <w:rFonts w:hint="eastAsia" w:ascii="宋体" w:hAnsi="宋体" w:eastAsia="宋体" w:cs="宋体"/>
          <w:color w:val="auto"/>
          <w:sz w:val="28"/>
        </w:rPr>
        <w:t>“安全第一、预防为主、综合治理”</w:t>
      </w:r>
      <w:r>
        <w:rPr>
          <w:rFonts w:hint="eastAsia" w:ascii="宋体" w:hAnsi="宋体" w:eastAsia="宋体" w:cs="宋体"/>
          <w:color w:val="auto"/>
          <w:sz w:val="28"/>
          <w:szCs w:val="28"/>
        </w:rPr>
        <w:t>安全生产方针</w:t>
      </w:r>
      <w:r>
        <w:rPr>
          <w:rFonts w:hint="eastAsia" w:ascii="宋体" w:hAnsi="宋体" w:eastAsia="宋体" w:cs="宋体"/>
          <w:color w:val="auto"/>
          <w:sz w:val="28"/>
        </w:rPr>
        <w:t>，本次安全评价工作的目的是向</w:t>
      </w:r>
      <w:r>
        <w:rPr>
          <w:rFonts w:hint="eastAsia" w:hAnsi="宋体" w:cs="宋体"/>
          <w:color w:val="auto"/>
          <w:sz w:val="28"/>
          <w:lang w:val="en-US" w:eastAsia="zh-CN"/>
        </w:rPr>
        <w:t>玉溪正宇智能科技有限公司</w:t>
      </w:r>
      <w:r>
        <w:rPr>
          <w:rFonts w:hint="eastAsia" w:ascii="宋体" w:hAnsi="宋体" w:eastAsia="宋体" w:cs="宋体"/>
          <w:color w:val="auto"/>
          <w:sz w:val="28"/>
          <w:szCs w:val="28"/>
        </w:rPr>
        <w:t>提供安全现状评价报告</w:t>
      </w:r>
      <w:r>
        <w:rPr>
          <w:rFonts w:hint="eastAsia" w:ascii="宋体" w:hAnsi="宋体" w:eastAsia="宋体" w:cs="宋体"/>
          <w:snapToGrid w:val="0"/>
          <w:color w:val="auto"/>
          <w:sz w:val="28"/>
        </w:rPr>
        <w:t>；</w:t>
      </w:r>
    </w:p>
    <w:p w14:paraId="4840F167">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napToGrid w:val="0"/>
          <w:color w:val="auto"/>
          <w:sz w:val="28"/>
        </w:rPr>
      </w:pPr>
      <w:r>
        <w:rPr>
          <w:rFonts w:hint="eastAsia" w:ascii="宋体" w:hAnsi="宋体" w:eastAsia="宋体" w:cs="宋体"/>
          <w:color w:val="auto"/>
          <w:sz w:val="28"/>
        </w:rPr>
        <w:t>2</w:t>
      </w:r>
      <w:r>
        <w:rPr>
          <w:rFonts w:hint="eastAsia" w:ascii="宋体" w:hAnsi="宋体" w:eastAsia="宋体" w:cs="宋体"/>
          <w:snapToGrid w:val="0"/>
          <w:color w:val="auto"/>
          <w:sz w:val="28"/>
        </w:rPr>
        <w:t>．通过对该公司</w:t>
      </w:r>
      <w:r>
        <w:rPr>
          <w:rFonts w:hint="eastAsia" w:ascii="宋体" w:hAnsi="宋体" w:eastAsia="宋体" w:cs="宋体"/>
          <w:snapToGrid w:val="0"/>
          <w:color w:val="auto"/>
          <w:sz w:val="28"/>
          <w:lang w:val="en-US" w:eastAsia="zh-CN"/>
        </w:rPr>
        <w:t>机床制造</w:t>
      </w:r>
      <w:r>
        <w:rPr>
          <w:rFonts w:hint="eastAsia" w:ascii="宋体" w:hAnsi="宋体" w:eastAsia="宋体" w:cs="宋体"/>
          <w:snapToGrid w:val="0"/>
          <w:color w:val="auto"/>
          <w:sz w:val="28"/>
        </w:rPr>
        <w:t>过程中的危险、有害因素辨识，</w:t>
      </w:r>
      <w:r>
        <w:rPr>
          <w:rFonts w:hint="eastAsia" w:ascii="宋体" w:hAnsi="宋体" w:eastAsia="宋体" w:cs="宋体"/>
          <w:color w:val="auto"/>
          <w:sz w:val="28"/>
          <w:szCs w:val="28"/>
        </w:rPr>
        <w:t>分析出可能存在的主要危险、有害因素及其产生危险、危害后果的主要条件；</w:t>
      </w:r>
      <w:r>
        <w:rPr>
          <w:rFonts w:hint="eastAsia" w:ascii="宋体" w:hAnsi="宋体" w:eastAsia="宋体" w:cs="宋体"/>
          <w:snapToGrid w:val="0"/>
          <w:color w:val="auto"/>
          <w:sz w:val="28"/>
        </w:rPr>
        <w:t>预测发生事故或造成职业危害的可能性及其严重程度，并提出科学、合理、可行的安全对策措施建议；</w:t>
      </w:r>
    </w:p>
    <w:p w14:paraId="1BB9B4B0">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napToGrid w:val="0"/>
          <w:color w:val="auto"/>
          <w:sz w:val="28"/>
        </w:rPr>
      </w:pPr>
      <w:r>
        <w:rPr>
          <w:rFonts w:hint="eastAsia" w:ascii="宋体" w:hAnsi="宋体" w:eastAsia="宋体" w:cs="宋体"/>
          <w:snapToGrid w:val="0"/>
          <w:color w:val="auto"/>
          <w:sz w:val="28"/>
          <w:szCs w:val="30"/>
        </w:rPr>
        <w:t>3．</w:t>
      </w:r>
      <w:r>
        <w:rPr>
          <w:rFonts w:hint="eastAsia" w:ascii="宋体" w:hAnsi="宋体" w:eastAsia="宋体" w:cs="宋体"/>
          <w:snapToGrid w:val="0"/>
          <w:color w:val="auto"/>
          <w:sz w:val="28"/>
        </w:rPr>
        <w:t>通过安全评价，该企业可进一步全面了解和掌握企业安全生产条件和安全管理状况，并通过完善安全措施，提高企业本质安全程度，预防事故发生，保障人员的生命安全及企业的财产安全；</w:t>
      </w:r>
    </w:p>
    <w:p w14:paraId="41EE0E8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color w:val="auto"/>
          <w:sz w:val="28"/>
        </w:rPr>
      </w:pPr>
      <w:r>
        <w:rPr>
          <w:rFonts w:hint="eastAsia" w:ascii="宋体" w:hAnsi="宋体" w:eastAsia="宋体" w:cs="宋体"/>
          <w:snapToGrid w:val="0"/>
          <w:color w:val="auto"/>
          <w:sz w:val="28"/>
          <w:szCs w:val="30"/>
        </w:rPr>
        <w:t>4</w:t>
      </w:r>
      <w:r>
        <w:rPr>
          <w:rFonts w:hint="eastAsia" w:ascii="宋体" w:hAnsi="宋体" w:eastAsia="宋体" w:cs="宋体"/>
          <w:color w:val="auto"/>
          <w:sz w:val="28"/>
        </w:rPr>
        <w:t>．为该企业生产运行以及日常管理提供依据，</w:t>
      </w:r>
      <w:r>
        <w:rPr>
          <w:rFonts w:hint="eastAsia" w:ascii="宋体" w:hAnsi="宋体" w:eastAsia="宋体" w:cs="宋体"/>
          <w:snapToGrid w:val="0"/>
          <w:color w:val="auto"/>
          <w:sz w:val="28"/>
          <w:szCs w:val="28"/>
        </w:rPr>
        <w:t>为实现企业安全技术、安全管理的标准化和科学化创造条件，</w:t>
      </w:r>
      <w:r>
        <w:rPr>
          <w:rFonts w:hint="eastAsia" w:ascii="宋体" w:hAnsi="宋体" w:eastAsia="宋体" w:cs="宋体"/>
          <w:color w:val="auto"/>
          <w:sz w:val="28"/>
        </w:rPr>
        <w:t>并为各级安全生产监督管理部门和行业主管部门实行安全监察、监督提供依据。</w:t>
      </w:r>
      <w:bookmarkEnd w:id="8"/>
      <w:bookmarkStart w:id="9" w:name="_Toc335926125"/>
      <w:bookmarkStart w:id="10" w:name="_Toc313453420"/>
      <w:bookmarkStart w:id="11" w:name="_Toc10910"/>
      <w:bookmarkStart w:id="12" w:name="_Toc22448"/>
      <w:bookmarkStart w:id="13" w:name="_Toc2586"/>
    </w:p>
    <w:p w14:paraId="219176FF">
      <w:pPr>
        <w:keepNext w:val="0"/>
        <w:keepLines w:val="0"/>
        <w:pageBreakBefore w:val="0"/>
        <w:widowControl w:val="0"/>
        <w:kinsoku/>
        <w:wordWrap/>
        <w:overflowPunct/>
        <w:topLinePunct w:val="0"/>
        <w:autoSpaceDE/>
        <w:autoSpaceDN/>
        <w:bidi w:val="0"/>
        <w:adjustRightInd w:val="0"/>
        <w:snapToGrid w:val="0"/>
        <w:spacing w:line="500" w:lineRule="exact"/>
        <w:textAlignment w:val="auto"/>
        <w:outlineLvl w:val="1"/>
        <w:rPr>
          <w:rFonts w:hint="eastAsia" w:ascii="宋体" w:hAnsi="宋体" w:eastAsia="宋体" w:cs="宋体"/>
          <w:b/>
          <w:bCs/>
          <w:color w:val="auto"/>
          <w:kern w:val="0"/>
          <w:sz w:val="30"/>
          <w:szCs w:val="30"/>
        </w:rPr>
      </w:pPr>
      <w:bookmarkStart w:id="14" w:name="_Toc31085"/>
      <w:r>
        <w:rPr>
          <w:rFonts w:hint="eastAsia" w:ascii="宋体" w:hAnsi="宋体" w:eastAsia="宋体" w:cs="宋体"/>
          <w:b/>
          <w:bCs/>
          <w:color w:val="auto"/>
          <w:kern w:val="0"/>
          <w:sz w:val="30"/>
          <w:szCs w:val="30"/>
        </w:rPr>
        <w:t>1.2安全评价依据</w:t>
      </w:r>
      <w:bookmarkEnd w:id="9"/>
      <w:bookmarkEnd w:id="10"/>
      <w:bookmarkEnd w:id="11"/>
      <w:bookmarkEnd w:id="12"/>
      <w:bookmarkEnd w:id="13"/>
      <w:bookmarkEnd w:id="14"/>
    </w:p>
    <w:p w14:paraId="70B09B84">
      <w:pPr>
        <w:pStyle w:val="4"/>
        <w:keepNext/>
        <w:keepLines/>
        <w:pageBreakBefore w:val="0"/>
        <w:widowControl w:val="0"/>
        <w:kinsoku/>
        <w:wordWrap/>
        <w:overflowPunct/>
        <w:topLinePunct w:val="0"/>
        <w:autoSpaceDE/>
        <w:autoSpaceDN/>
        <w:bidi w:val="0"/>
        <w:adjustRightInd/>
        <w:snapToGrid w:val="0"/>
        <w:spacing w:before="0" w:after="0" w:line="500" w:lineRule="exact"/>
        <w:ind w:leftChars="0" w:firstLine="562" w:firstLineChars="200"/>
        <w:textAlignment w:val="auto"/>
        <w:rPr>
          <w:rFonts w:hint="eastAsia" w:ascii="宋体" w:hAnsi="宋体" w:eastAsia="宋体" w:cs="宋体"/>
          <w:snapToGrid w:val="0"/>
          <w:color w:val="auto"/>
          <w:kern w:val="0"/>
          <w:sz w:val="28"/>
          <w:szCs w:val="28"/>
        </w:rPr>
      </w:pPr>
      <w:bookmarkStart w:id="15" w:name="_Toc335926126"/>
      <w:bookmarkStart w:id="16" w:name="_Toc25627"/>
      <w:bookmarkStart w:id="17" w:name="_Toc22500"/>
      <w:bookmarkStart w:id="18" w:name="_Toc313453421"/>
      <w:bookmarkStart w:id="19" w:name="_Toc20655"/>
      <w:bookmarkStart w:id="20" w:name="_Toc8798"/>
      <w:r>
        <w:rPr>
          <w:rFonts w:hint="eastAsia" w:ascii="宋体" w:hAnsi="宋体" w:eastAsia="宋体" w:cs="宋体"/>
          <w:snapToGrid w:val="0"/>
          <w:color w:val="auto"/>
          <w:kern w:val="0"/>
          <w:sz w:val="28"/>
          <w:szCs w:val="28"/>
        </w:rPr>
        <w:t>1</w:t>
      </w:r>
      <w:r>
        <w:rPr>
          <w:rFonts w:hint="eastAsia" w:ascii="宋体" w:hAnsi="宋体" w:eastAsia="宋体" w:cs="宋体"/>
          <w:color w:val="auto"/>
          <w:kern w:val="0"/>
          <w:sz w:val="28"/>
          <w:szCs w:val="28"/>
        </w:rPr>
        <w:t>.</w:t>
      </w:r>
      <w:r>
        <w:rPr>
          <w:rFonts w:hint="eastAsia" w:ascii="宋体" w:hAnsi="宋体" w:eastAsia="宋体" w:cs="宋体"/>
          <w:snapToGrid w:val="0"/>
          <w:color w:val="auto"/>
          <w:kern w:val="0"/>
          <w:sz w:val="28"/>
          <w:szCs w:val="28"/>
        </w:rPr>
        <w:t>2</w:t>
      </w:r>
      <w:r>
        <w:rPr>
          <w:rFonts w:hint="eastAsia" w:ascii="宋体" w:hAnsi="宋体" w:eastAsia="宋体" w:cs="宋体"/>
          <w:color w:val="auto"/>
          <w:kern w:val="0"/>
          <w:sz w:val="28"/>
          <w:szCs w:val="28"/>
        </w:rPr>
        <w:t>.</w:t>
      </w:r>
      <w:r>
        <w:rPr>
          <w:rFonts w:hint="eastAsia" w:ascii="宋体" w:hAnsi="宋体" w:eastAsia="宋体" w:cs="宋体"/>
          <w:snapToGrid w:val="0"/>
          <w:color w:val="auto"/>
          <w:kern w:val="0"/>
          <w:sz w:val="28"/>
          <w:szCs w:val="28"/>
        </w:rPr>
        <w:t>1法律法规</w:t>
      </w:r>
      <w:bookmarkEnd w:id="15"/>
      <w:bookmarkEnd w:id="16"/>
      <w:bookmarkEnd w:id="17"/>
      <w:bookmarkEnd w:id="18"/>
      <w:bookmarkEnd w:id="19"/>
      <w:bookmarkEnd w:id="20"/>
    </w:p>
    <w:p w14:paraId="3AAF5B28">
      <w:pPr>
        <w:keepNext w:val="0"/>
        <w:keepLines w:val="0"/>
        <w:pageBreakBefore w:val="0"/>
        <w:widowControl w:val="0"/>
        <w:kinsoku w:val="0"/>
        <w:wordWrap/>
        <w:overflowPunct w:val="0"/>
        <w:topLinePunct w:val="0"/>
        <w:autoSpaceDE/>
        <w:autoSpaceDN/>
        <w:bidi w:val="0"/>
        <w:adjustRightInd/>
        <w:snapToGrid/>
        <w:spacing w:line="500" w:lineRule="exact"/>
        <w:ind w:left="0" w:firstLine="560" w:firstLineChars="200"/>
        <w:textAlignment w:val="auto"/>
        <w:rPr>
          <w:rFonts w:hint="eastAsia" w:ascii="宋体" w:hAnsi="宋体" w:eastAsia="宋体" w:cs="宋体"/>
          <w:snapToGrid w:val="0"/>
          <w:color w:val="auto"/>
          <w:sz w:val="28"/>
          <w:szCs w:val="30"/>
          <w:highlight w:val="none"/>
        </w:rPr>
      </w:pPr>
      <w:r>
        <w:rPr>
          <w:rFonts w:hint="eastAsia" w:ascii="宋体" w:hAnsi="宋体" w:eastAsia="宋体" w:cs="宋体"/>
          <w:snapToGrid w:val="0"/>
          <w:color w:val="auto"/>
          <w:sz w:val="28"/>
          <w:szCs w:val="30"/>
          <w:highlight w:val="none"/>
        </w:rPr>
        <w:t>1</w:t>
      </w:r>
      <w:r>
        <w:rPr>
          <w:rFonts w:hint="eastAsia" w:ascii="宋体" w:hAnsi="宋体" w:eastAsia="宋体" w:cs="宋体"/>
          <w:snapToGrid w:val="0"/>
          <w:color w:val="auto"/>
          <w:sz w:val="28"/>
          <w:szCs w:val="30"/>
          <w:highlight w:val="none"/>
          <w:lang w:val="en-US" w:eastAsia="zh-CN"/>
        </w:rPr>
        <w:t>、</w:t>
      </w:r>
      <w:r>
        <w:rPr>
          <w:rFonts w:hint="eastAsia" w:ascii="宋体" w:hAnsi="宋体" w:eastAsia="宋体" w:cs="宋体"/>
          <w:snapToGrid w:val="0"/>
          <w:color w:val="auto"/>
          <w:sz w:val="28"/>
          <w:szCs w:val="30"/>
          <w:highlight w:val="none"/>
        </w:rPr>
        <w:t>《中华人民共和国安全生产法》（中华人</w:t>
      </w:r>
      <w:r>
        <w:rPr>
          <w:rFonts w:hint="eastAsia" w:ascii="宋体" w:hAnsi="宋体" w:eastAsia="宋体" w:cs="宋体"/>
          <w:snapToGrid w:val="0"/>
          <w:color w:val="auto"/>
          <w:sz w:val="28"/>
          <w:szCs w:val="30"/>
          <w:highlight w:val="none"/>
          <w:lang w:eastAsia="zh-CN"/>
        </w:rPr>
        <w:t>民</w:t>
      </w:r>
      <w:r>
        <w:rPr>
          <w:rFonts w:hint="eastAsia" w:ascii="宋体" w:hAnsi="宋体" w:eastAsia="宋体" w:cs="宋体"/>
          <w:snapToGrid w:val="0"/>
          <w:color w:val="auto"/>
          <w:sz w:val="28"/>
          <w:szCs w:val="30"/>
          <w:highlight w:val="none"/>
        </w:rPr>
        <w:t>共和国主席令第88号，全国人民代表大会常务委员会关于修改&lt;中华人民共和国安全生产法〉的决定，已由中华人民共和国第十三届全国人民代表大会常务委员会第二十九次会议于2021年6月10日通过，现予公布，自2021年9月1日起施行）；</w:t>
      </w:r>
    </w:p>
    <w:p w14:paraId="1F13892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snapToGrid w:val="0"/>
          <w:color w:val="auto"/>
          <w:sz w:val="28"/>
          <w:szCs w:val="30"/>
          <w:highlight w:val="none"/>
        </w:rPr>
      </w:pPr>
      <w:r>
        <w:rPr>
          <w:rFonts w:hint="eastAsia" w:ascii="宋体" w:hAnsi="宋体" w:eastAsia="宋体" w:cs="宋体"/>
          <w:snapToGrid w:val="0"/>
          <w:color w:val="auto"/>
          <w:sz w:val="28"/>
          <w:szCs w:val="30"/>
          <w:highlight w:val="none"/>
        </w:rPr>
        <w:t>2、</w:t>
      </w:r>
      <w:r>
        <w:rPr>
          <w:rFonts w:hint="eastAsia" w:ascii="宋体" w:hAnsi="宋体" w:eastAsia="宋体" w:cs="宋体"/>
          <w:color w:val="auto"/>
          <w:sz w:val="28"/>
          <w:szCs w:val="28"/>
          <w:highlight w:val="none"/>
        </w:rPr>
        <w:t>《中华人民共和国劳动法》（中华人民共和国主席令第</w:t>
      </w:r>
      <w:r>
        <w:rPr>
          <w:rFonts w:hint="eastAsia" w:ascii="宋体" w:hAnsi="宋体" w:eastAsia="宋体" w:cs="宋体"/>
          <w:color w:val="auto"/>
          <w:sz w:val="28"/>
          <w:szCs w:val="28"/>
          <w:highlight w:val="none"/>
          <w:lang w:val="en-US" w:eastAsia="zh-CN"/>
        </w:rPr>
        <w:t>23</w:t>
      </w:r>
      <w:r>
        <w:rPr>
          <w:rFonts w:hint="eastAsia" w:ascii="宋体" w:hAnsi="宋体" w:eastAsia="宋体" w:cs="宋体"/>
          <w:color w:val="auto"/>
          <w:sz w:val="28"/>
          <w:szCs w:val="28"/>
          <w:highlight w:val="none"/>
        </w:rPr>
        <w:t>号，根据2018年12月29日第十三届全国人民代表大会常务委员会第七次会议《关于修改〈中华人民共和国劳动法〉等七部法律的决定》第二次修正</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2018</w:t>
      </w:r>
      <w:r>
        <w:rPr>
          <w:rFonts w:hint="eastAsia" w:ascii="宋体" w:hAnsi="宋体" w:eastAsia="宋体" w:cs="宋体"/>
          <w:color w:val="auto"/>
          <w:sz w:val="28"/>
          <w:szCs w:val="28"/>
          <w:highlight w:val="none"/>
          <w:lang w:val="en-US" w:eastAsia="zh-CN"/>
        </w:rPr>
        <w:t>年</w:t>
      </w:r>
      <w:r>
        <w:rPr>
          <w:rFonts w:hint="eastAsia" w:ascii="宋体" w:hAnsi="宋体" w:eastAsia="宋体" w:cs="宋体"/>
          <w:color w:val="auto"/>
          <w:sz w:val="28"/>
          <w:szCs w:val="28"/>
          <w:highlight w:val="none"/>
        </w:rPr>
        <w:t>12</w:t>
      </w:r>
      <w:r>
        <w:rPr>
          <w:rFonts w:hint="eastAsia" w:ascii="宋体" w:hAnsi="宋体" w:eastAsia="宋体" w:cs="宋体"/>
          <w:color w:val="auto"/>
          <w:sz w:val="28"/>
          <w:szCs w:val="28"/>
          <w:highlight w:val="none"/>
          <w:lang w:val="en-US" w:eastAsia="zh-CN"/>
        </w:rPr>
        <w:t>月</w:t>
      </w:r>
      <w:r>
        <w:rPr>
          <w:rFonts w:hint="eastAsia" w:ascii="宋体" w:hAnsi="宋体" w:eastAsia="宋体" w:cs="宋体"/>
          <w:color w:val="auto"/>
          <w:sz w:val="28"/>
          <w:szCs w:val="28"/>
          <w:highlight w:val="none"/>
        </w:rPr>
        <w:t>29</w:t>
      </w:r>
      <w:r>
        <w:rPr>
          <w:rFonts w:hint="eastAsia" w:ascii="宋体" w:hAnsi="宋体" w:eastAsia="宋体" w:cs="宋体"/>
          <w:color w:val="auto"/>
          <w:sz w:val="28"/>
          <w:szCs w:val="28"/>
          <w:highlight w:val="none"/>
          <w:lang w:val="en-US" w:eastAsia="zh-CN"/>
        </w:rPr>
        <w:t>日施行</w:t>
      </w:r>
      <w:r>
        <w:rPr>
          <w:rFonts w:hint="eastAsia" w:ascii="宋体" w:hAnsi="宋体" w:eastAsia="宋体" w:cs="宋体"/>
          <w:color w:val="auto"/>
          <w:sz w:val="28"/>
          <w:szCs w:val="28"/>
          <w:highlight w:val="none"/>
        </w:rPr>
        <w:t>）</w:t>
      </w:r>
      <w:r>
        <w:rPr>
          <w:rFonts w:hint="eastAsia" w:ascii="宋体" w:hAnsi="宋体" w:eastAsia="宋体" w:cs="宋体"/>
          <w:snapToGrid w:val="0"/>
          <w:color w:val="auto"/>
          <w:sz w:val="28"/>
          <w:szCs w:val="30"/>
          <w:highlight w:val="none"/>
        </w:rPr>
        <w:t>；</w:t>
      </w:r>
    </w:p>
    <w:p w14:paraId="594B0CA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3</w:t>
      </w:r>
      <w:r>
        <w:rPr>
          <w:rFonts w:hint="eastAsia" w:ascii="宋体" w:hAnsi="宋体" w:eastAsia="宋体" w:cs="宋体"/>
          <w:snapToGrid w:val="0"/>
          <w:color w:val="auto"/>
          <w:sz w:val="28"/>
          <w:szCs w:val="30"/>
        </w:rPr>
        <w:t>、</w:t>
      </w:r>
      <w:r>
        <w:rPr>
          <w:rFonts w:hint="eastAsia" w:ascii="宋体" w:hAnsi="宋体" w:eastAsia="宋体" w:cs="宋体"/>
          <w:color w:val="auto"/>
          <w:sz w:val="28"/>
          <w:szCs w:val="28"/>
        </w:rPr>
        <w:t>《中华人民共和国消防法》（中华人民共和国主席令第八十一号</w:t>
      </w:r>
      <w:r>
        <w:rPr>
          <w:rFonts w:hint="eastAsia" w:hAnsi="宋体" w:cs="宋体"/>
          <w:color w:val="auto"/>
          <w:sz w:val="28"/>
          <w:szCs w:val="28"/>
          <w:lang w:val="en-US" w:eastAsia="zh-CN"/>
        </w:rPr>
        <w:t xml:space="preserve"> 《全国人民代表大会常务委员会关于修改〈中华人民共和国道路交通安全法〉等八部法律的决定》已由中华人民共和国第十三届全国人民代表大会常务委员会第二十八次会议于 2021 年 4 月 29 日通过，现予公布，自公布之日起施行。</w:t>
      </w:r>
      <w:r>
        <w:rPr>
          <w:rFonts w:hint="eastAsia" w:ascii="宋体" w:hAnsi="宋体" w:eastAsia="宋体" w:cs="宋体"/>
          <w:color w:val="auto"/>
          <w:sz w:val="28"/>
          <w:szCs w:val="28"/>
        </w:rPr>
        <w:t>）</w:t>
      </w:r>
      <w:r>
        <w:rPr>
          <w:rFonts w:hint="eastAsia" w:ascii="宋体" w:hAnsi="宋体" w:eastAsia="宋体" w:cs="宋体"/>
          <w:snapToGrid w:val="0"/>
          <w:color w:val="auto"/>
          <w:sz w:val="28"/>
          <w:szCs w:val="30"/>
        </w:rPr>
        <w:t>；</w:t>
      </w:r>
    </w:p>
    <w:p w14:paraId="34ACB4F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4</w:t>
      </w:r>
      <w:r>
        <w:rPr>
          <w:rFonts w:hint="eastAsia" w:ascii="宋体" w:hAnsi="宋体" w:eastAsia="宋体" w:cs="宋体"/>
          <w:snapToGrid w:val="0"/>
          <w:color w:val="auto"/>
          <w:sz w:val="28"/>
          <w:szCs w:val="30"/>
        </w:rPr>
        <w:t>、</w:t>
      </w:r>
      <w:r>
        <w:rPr>
          <w:rFonts w:hint="eastAsia" w:ascii="宋体" w:hAnsi="宋体" w:eastAsia="宋体" w:cs="宋体"/>
          <w:color w:val="auto"/>
          <w:sz w:val="28"/>
          <w:szCs w:val="28"/>
        </w:rPr>
        <w:t>《中华人民共和国职业病防治法》（中华人民共和国主席令第24号，2018年12月29日第三次修正）</w:t>
      </w:r>
      <w:r>
        <w:rPr>
          <w:rFonts w:hint="eastAsia" w:ascii="宋体" w:hAnsi="宋体" w:eastAsia="宋体" w:cs="宋体"/>
          <w:snapToGrid w:val="0"/>
          <w:color w:val="auto"/>
          <w:sz w:val="28"/>
          <w:szCs w:val="30"/>
        </w:rPr>
        <w:t>；</w:t>
      </w:r>
    </w:p>
    <w:p w14:paraId="63DEB81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5</w:t>
      </w:r>
      <w:r>
        <w:rPr>
          <w:rFonts w:hint="eastAsia" w:ascii="宋体" w:hAnsi="宋体" w:eastAsia="宋体" w:cs="宋体"/>
          <w:snapToGrid w:val="0"/>
          <w:color w:val="auto"/>
          <w:sz w:val="28"/>
          <w:szCs w:val="30"/>
        </w:rPr>
        <w:t>、《中华人民共和国大气污染防治法》（中华人民共和国主席令第31号）；</w:t>
      </w:r>
    </w:p>
    <w:p w14:paraId="7E1C9BD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snapToGrid w:val="0"/>
          <w:color w:val="auto"/>
          <w:sz w:val="28"/>
          <w:szCs w:val="30"/>
          <w:lang w:val="en-US" w:eastAsia="zh-CN"/>
        </w:rPr>
        <w:t>6</w:t>
      </w:r>
      <w:r>
        <w:rPr>
          <w:rFonts w:hint="eastAsia" w:ascii="宋体" w:hAnsi="宋体" w:eastAsia="宋体" w:cs="宋体"/>
          <w:snapToGrid w:val="0"/>
          <w:color w:val="auto"/>
          <w:sz w:val="28"/>
          <w:szCs w:val="30"/>
        </w:rPr>
        <w:t>、</w:t>
      </w:r>
      <w:r>
        <w:rPr>
          <w:rFonts w:hint="eastAsia" w:ascii="宋体" w:hAnsi="宋体" w:eastAsia="宋体" w:cs="宋体"/>
          <w:color w:val="auto"/>
          <w:sz w:val="28"/>
          <w:szCs w:val="28"/>
        </w:rPr>
        <w:t>《中华人民共和国环境保护法》（中华人民共和国主席令第9号，自2015年1月1日起施行）；</w:t>
      </w:r>
    </w:p>
    <w:p w14:paraId="35C8EB75">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shd w:val="clear" w:color="auto" w:fill="auto"/>
          <w14:textFill>
            <w14:solidFill>
              <w14:schemeClr w14:val="tx1"/>
            </w14:solidFill>
          </w14:textFill>
        </w:rPr>
      </w:pPr>
      <w:r>
        <w:rPr>
          <w:rFonts w:hint="eastAsia" w:ascii="宋体" w:hAnsi="宋体" w:eastAsia="宋体" w:cs="宋体"/>
          <w:snapToGrid w:val="0"/>
          <w:color w:val="000000" w:themeColor="text1"/>
          <w:sz w:val="28"/>
          <w:szCs w:val="30"/>
          <w:shd w:val="clear" w:color="auto" w:fill="auto"/>
          <w:lang w:val="en-US" w:eastAsia="zh-CN"/>
          <w14:textFill>
            <w14:solidFill>
              <w14:schemeClr w14:val="tx1"/>
            </w14:solidFill>
          </w14:textFill>
        </w:rPr>
        <w:t>7</w:t>
      </w:r>
      <w:r>
        <w:rPr>
          <w:rFonts w:hint="eastAsia" w:ascii="宋体" w:hAnsi="宋体" w:eastAsia="宋体" w:cs="宋体"/>
          <w:snapToGrid w:val="0"/>
          <w:color w:val="000000" w:themeColor="text1"/>
          <w:sz w:val="28"/>
          <w:szCs w:val="30"/>
          <w:shd w:val="clear" w:color="auto" w:fill="auto"/>
          <w14:textFill>
            <w14:solidFill>
              <w14:schemeClr w14:val="tx1"/>
            </w14:solidFill>
          </w14:textFill>
        </w:rPr>
        <w:t>、</w:t>
      </w:r>
      <w:r>
        <w:rPr>
          <w:rFonts w:hint="eastAsia" w:ascii="宋体" w:hAnsi="宋体" w:eastAsia="宋体" w:cs="宋体"/>
          <w:i w:val="0"/>
          <w:iCs w:val="0"/>
          <w:caps w:val="0"/>
          <w:color w:val="000000" w:themeColor="text1"/>
          <w:spacing w:val="0"/>
          <w:sz w:val="28"/>
          <w:szCs w:val="28"/>
          <w:shd w:val="clear" w:color="auto" w:fill="auto"/>
          <w14:textFill>
            <w14:solidFill>
              <w14:schemeClr w14:val="tx1"/>
            </w14:solidFill>
          </w14:textFill>
        </w:rPr>
        <w:t>《</w:t>
      </w:r>
      <w:r>
        <w:rPr>
          <w:rFonts w:hint="eastAsia" w:ascii="宋体" w:hAnsi="宋体" w:eastAsia="宋体" w:cs="宋体"/>
          <w:color w:val="000000" w:themeColor="text1"/>
          <w:sz w:val="28"/>
          <w:szCs w:val="28"/>
          <w:shd w:val="clear" w:color="auto" w:fill="auto"/>
          <w14:textFill>
            <w14:solidFill>
              <w14:schemeClr w14:val="tx1"/>
            </w14:solidFill>
          </w14:textFill>
        </w:rPr>
        <w:t>中华人民共和国能源法》（中华人民共和国主席令第</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37</w:t>
      </w:r>
      <w:r>
        <w:rPr>
          <w:rFonts w:hint="eastAsia" w:ascii="宋体" w:hAnsi="宋体" w:eastAsia="宋体" w:cs="宋体"/>
          <w:color w:val="000000" w:themeColor="text1"/>
          <w:sz w:val="28"/>
          <w:szCs w:val="28"/>
          <w:shd w:val="clear" w:color="auto" w:fill="auto"/>
          <w14:textFill>
            <w14:solidFill>
              <w14:schemeClr w14:val="tx1"/>
            </w14:solidFill>
          </w14:textFill>
        </w:rPr>
        <w:t>号</w:t>
      </w:r>
      <w:r>
        <w:rPr>
          <w:rFonts w:hint="eastAsia" w:ascii="宋体" w:hAnsi="宋体" w:eastAsia="宋体" w:cs="宋体"/>
          <w:color w:val="000000" w:themeColor="text1"/>
          <w:sz w:val="28"/>
          <w:szCs w:val="28"/>
          <w:shd w:val="clear" w:color="auto" w:fill="auto"/>
          <w:lang w:eastAsia="zh-CN"/>
          <w14:textFill>
            <w14:solidFill>
              <w14:schemeClr w14:val="tx1"/>
            </w14:solidFill>
          </w14:textFill>
        </w:rPr>
        <w:t>，</w:t>
      </w:r>
      <w:r>
        <w:rPr>
          <w:rFonts w:hint="eastAsia" w:ascii="宋体" w:hAnsi="宋体" w:eastAsia="宋体" w:cs="宋体"/>
          <w:color w:val="000000" w:themeColor="text1"/>
          <w:sz w:val="28"/>
          <w:szCs w:val="28"/>
          <w:shd w:val="clear" w:color="auto" w:fill="auto"/>
          <w14:textFill>
            <w14:solidFill>
              <w14:schemeClr w14:val="tx1"/>
            </w14:solidFill>
          </w14:textFill>
        </w:rPr>
        <w:t>自2025年1月1日起施行）。</w:t>
      </w:r>
    </w:p>
    <w:p w14:paraId="2DF620E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shd w:val="clear" w:color="auto" w:fill="auto"/>
          <w14:textFill>
            <w14:solidFill>
              <w14:schemeClr w14:val="tx1"/>
            </w14:solidFill>
          </w14:textFill>
        </w:rPr>
      </w:pPr>
      <w:r>
        <w:rPr>
          <w:rFonts w:hint="eastAsia" w:hAnsi="宋体" w:cs="宋体"/>
          <w:color w:val="000000" w:themeColor="text1"/>
          <w:sz w:val="28"/>
          <w:szCs w:val="28"/>
          <w:shd w:val="clear" w:color="auto" w:fill="auto"/>
          <w:lang w:val="en-US" w:eastAsia="zh-CN"/>
          <w14:textFill>
            <w14:solidFill>
              <w14:schemeClr w14:val="tx1"/>
            </w14:solidFill>
          </w14:textFill>
        </w:rPr>
        <w:t>8、</w:t>
      </w:r>
      <w:r>
        <w:rPr>
          <w:rFonts w:hint="eastAsia" w:ascii="宋体" w:hAnsi="宋体" w:eastAsia="宋体" w:cs="宋体"/>
          <w:color w:val="000000" w:themeColor="text1"/>
          <w:sz w:val="28"/>
          <w:szCs w:val="28"/>
          <w:shd w:val="clear" w:color="auto" w:fill="auto"/>
          <w14:textFill>
            <w14:solidFill>
              <w14:schemeClr w14:val="tx1"/>
            </w14:solidFill>
          </w14:textFill>
        </w:rPr>
        <w:t>《中华人民共和国突发事件应对法》（中华人民共和国主席令第</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25</w:t>
      </w:r>
      <w:r>
        <w:rPr>
          <w:rFonts w:hint="eastAsia" w:ascii="宋体" w:hAnsi="宋体" w:eastAsia="宋体" w:cs="宋体"/>
          <w:color w:val="000000" w:themeColor="text1"/>
          <w:sz w:val="28"/>
          <w:szCs w:val="28"/>
          <w:shd w:val="clear" w:color="auto" w:fill="auto"/>
          <w14:textFill>
            <w14:solidFill>
              <w14:schemeClr w14:val="tx1"/>
            </w14:solidFill>
          </w14:textFill>
        </w:rPr>
        <w:t>号</w:t>
      </w:r>
      <w:r>
        <w:rPr>
          <w:rFonts w:hint="eastAsia" w:ascii="宋体" w:hAnsi="宋体" w:eastAsia="宋体" w:cs="宋体"/>
          <w:color w:val="000000" w:themeColor="text1"/>
          <w:sz w:val="28"/>
          <w:szCs w:val="28"/>
          <w:shd w:val="clear" w:color="auto" w:fill="auto"/>
          <w:lang w:eastAsia="zh-CN"/>
          <w14:textFill>
            <w14:solidFill>
              <w14:schemeClr w14:val="tx1"/>
            </w14:solidFill>
          </w14:textFill>
        </w:rPr>
        <w:t>，</w:t>
      </w:r>
      <w:r>
        <w:rPr>
          <w:rFonts w:hint="eastAsia" w:ascii="宋体" w:hAnsi="宋体" w:eastAsia="宋体" w:cs="宋体"/>
          <w:color w:val="000000" w:themeColor="text1"/>
          <w:sz w:val="28"/>
          <w:szCs w:val="28"/>
          <w:shd w:val="clear" w:color="auto" w:fill="auto"/>
          <w14:textFill>
            <w14:solidFill>
              <w14:schemeClr w14:val="tx1"/>
            </w14:solidFill>
          </w14:textFill>
        </w:rPr>
        <w:t>自202</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4</w:t>
      </w:r>
      <w:r>
        <w:rPr>
          <w:rFonts w:hint="eastAsia" w:ascii="宋体" w:hAnsi="宋体" w:eastAsia="宋体" w:cs="宋体"/>
          <w:color w:val="000000" w:themeColor="text1"/>
          <w:sz w:val="28"/>
          <w:szCs w:val="28"/>
          <w:shd w:val="clear" w:color="auto" w:fill="auto"/>
          <w14:textFill>
            <w14:solidFill>
              <w14:schemeClr w14:val="tx1"/>
            </w14:solidFill>
          </w14:textFill>
        </w:rPr>
        <w:t>年</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11</w:t>
      </w:r>
      <w:r>
        <w:rPr>
          <w:rFonts w:hint="eastAsia" w:ascii="宋体" w:hAnsi="宋体" w:eastAsia="宋体" w:cs="宋体"/>
          <w:color w:val="000000" w:themeColor="text1"/>
          <w:sz w:val="28"/>
          <w:szCs w:val="28"/>
          <w:shd w:val="clear" w:color="auto" w:fill="auto"/>
          <w14:textFill>
            <w14:solidFill>
              <w14:schemeClr w14:val="tx1"/>
            </w14:solidFill>
          </w14:textFill>
        </w:rPr>
        <w:t>月1日起施行）。</w:t>
      </w:r>
    </w:p>
    <w:p w14:paraId="6638BC9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hAnsi="宋体" w:cs="宋体"/>
          <w:color w:val="000000" w:themeColor="text1"/>
          <w:sz w:val="28"/>
          <w:szCs w:val="28"/>
          <w:shd w:val="clear" w:color="auto" w:fill="auto"/>
          <w:lang w:val="en-US" w:eastAsia="zh-CN"/>
          <w14:textFill>
            <w14:solidFill>
              <w14:schemeClr w14:val="tx1"/>
            </w14:solidFill>
          </w14:textFill>
        </w:rPr>
      </w:pPr>
      <w:r>
        <w:rPr>
          <w:rFonts w:hint="eastAsia" w:hAnsi="宋体" w:cs="宋体"/>
          <w:color w:val="000000" w:themeColor="text1"/>
          <w:sz w:val="28"/>
          <w:szCs w:val="28"/>
          <w:shd w:val="clear" w:color="auto" w:fill="auto"/>
          <w:lang w:val="en-US" w:eastAsia="zh-CN"/>
          <w14:textFill>
            <w14:solidFill>
              <w14:schemeClr w14:val="tx1"/>
            </w14:solidFill>
          </w14:textFill>
        </w:rPr>
        <w:t>9、《中华人民共和国特种设备安全法》（中华人民共和国主席令第四号，</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自</w:t>
      </w:r>
      <w:r>
        <w:rPr>
          <w:rFonts w:hint="eastAsia" w:ascii="宋体" w:hAnsi="宋体" w:eastAsia="宋体" w:cs="宋体"/>
          <w:color w:val="000000" w:themeColor="text1"/>
          <w:sz w:val="28"/>
          <w:szCs w:val="28"/>
          <w:shd w:val="clear" w:color="auto" w:fill="auto"/>
          <w14:textFill>
            <w14:solidFill>
              <w14:schemeClr w14:val="tx1"/>
            </w14:solidFill>
          </w14:textFill>
        </w:rPr>
        <w:t>20</w:t>
      </w:r>
      <w:r>
        <w:rPr>
          <w:rFonts w:hint="eastAsia" w:hAnsi="宋体" w:cs="宋体"/>
          <w:color w:val="000000" w:themeColor="text1"/>
          <w:sz w:val="28"/>
          <w:szCs w:val="28"/>
          <w:shd w:val="clear" w:color="auto" w:fill="auto"/>
          <w:lang w:val="en-US" w:eastAsia="zh-CN"/>
          <w14:textFill>
            <w14:solidFill>
              <w14:schemeClr w14:val="tx1"/>
            </w14:solidFill>
          </w14:textFill>
        </w:rPr>
        <w:t>1</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4</w:t>
      </w:r>
      <w:r>
        <w:rPr>
          <w:rFonts w:hint="eastAsia" w:ascii="宋体" w:hAnsi="宋体" w:eastAsia="宋体" w:cs="宋体"/>
          <w:color w:val="000000" w:themeColor="text1"/>
          <w:sz w:val="28"/>
          <w:szCs w:val="28"/>
          <w:shd w:val="clear" w:color="auto" w:fill="auto"/>
          <w14:textFill>
            <w14:solidFill>
              <w14:schemeClr w14:val="tx1"/>
            </w14:solidFill>
          </w14:textFill>
        </w:rPr>
        <w:t>年</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1</w:t>
      </w:r>
      <w:r>
        <w:rPr>
          <w:rFonts w:hint="eastAsia" w:ascii="宋体" w:hAnsi="宋体" w:eastAsia="宋体" w:cs="宋体"/>
          <w:color w:val="000000" w:themeColor="text1"/>
          <w:sz w:val="28"/>
          <w:szCs w:val="28"/>
          <w:shd w:val="clear" w:color="auto" w:fill="auto"/>
          <w14:textFill>
            <w14:solidFill>
              <w14:schemeClr w14:val="tx1"/>
            </w14:solidFill>
          </w14:textFill>
        </w:rPr>
        <w:t>月1日起</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起施行</w:t>
      </w:r>
      <w:r>
        <w:rPr>
          <w:rFonts w:hint="eastAsia" w:hAnsi="宋体" w:cs="宋体"/>
          <w:color w:val="000000" w:themeColor="text1"/>
          <w:sz w:val="28"/>
          <w:szCs w:val="28"/>
          <w:shd w:val="clear" w:color="auto" w:fill="auto"/>
          <w:lang w:val="en-US" w:eastAsia="zh-CN"/>
          <w14:textFill>
            <w14:solidFill>
              <w14:schemeClr w14:val="tx1"/>
            </w14:solidFill>
          </w14:textFill>
        </w:rPr>
        <w:t>）</w:t>
      </w:r>
    </w:p>
    <w:p w14:paraId="1726F05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hAnsi="宋体" w:eastAsia="宋体" w:cs="宋体"/>
          <w:color w:val="000000" w:themeColor="text1"/>
          <w:sz w:val="28"/>
          <w:szCs w:val="28"/>
          <w:shd w:val="clear" w:color="auto" w:fill="auto"/>
          <w:lang w:val="en-US" w:eastAsia="zh-CN"/>
          <w14:textFill>
            <w14:solidFill>
              <w14:schemeClr w14:val="tx1"/>
            </w14:solidFill>
          </w14:textFill>
        </w:rPr>
      </w:pPr>
      <w:r>
        <w:rPr>
          <w:rFonts w:hint="eastAsia" w:hAnsi="宋体" w:cs="宋体"/>
          <w:color w:val="000000" w:themeColor="text1"/>
          <w:sz w:val="28"/>
          <w:szCs w:val="28"/>
          <w:shd w:val="clear" w:color="auto" w:fill="auto"/>
          <w:lang w:val="en-US" w:eastAsia="zh-CN"/>
          <w14:textFill>
            <w14:solidFill>
              <w14:schemeClr w14:val="tx1"/>
            </w14:solidFill>
          </w14:textFill>
        </w:rPr>
        <w:t>10、</w:t>
      </w:r>
      <w:r>
        <w:rPr>
          <w:rFonts w:ascii="Times New Roman"/>
          <w:sz w:val="28"/>
          <w:szCs w:val="28"/>
        </w:rPr>
        <w:t>《中华人民共和国防震减灾法》</w:t>
      </w:r>
      <w:r>
        <w:rPr>
          <w:rFonts w:hint="eastAsia" w:ascii="Times New Roman"/>
          <w:sz w:val="28"/>
          <w:szCs w:val="28"/>
        </w:rPr>
        <w:t>（中华人民共和国主席令第七号</w:t>
      </w:r>
      <w:r>
        <w:rPr>
          <w:rFonts w:hint="eastAsia" w:ascii="Times New Roman"/>
          <w:sz w:val="28"/>
          <w:szCs w:val="28"/>
          <w:lang w:eastAsia="zh-CN"/>
        </w:rPr>
        <w:t>，自</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2009年５月１日起</w:t>
      </w:r>
      <w:r>
        <w:rPr>
          <w:rFonts w:hint="eastAsia" w:ascii="Times New Roman"/>
          <w:sz w:val="28"/>
          <w:szCs w:val="28"/>
          <w:lang w:eastAsia="zh-CN"/>
        </w:rPr>
        <w:t>施行</w:t>
      </w:r>
      <w:r>
        <w:rPr>
          <w:rFonts w:hint="eastAsia" w:ascii="Times New Roman"/>
          <w:sz w:val="28"/>
          <w:szCs w:val="28"/>
        </w:rPr>
        <w:t>）</w:t>
      </w:r>
      <w:r>
        <w:rPr>
          <w:rFonts w:hint="eastAsia" w:ascii="Times New Roman"/>
          <w:sz w:val="28"/>
          <w:szCs w:val="28"/>
          <w:lang w:eastAsia="zh-CN"/>
        </w:rPr>
        <w:t>。</w:t>
      </w:r>
    </w:p>
    <w:p w14:paraId="1C0F31D1">
      <w:pPr>
        <w:pStyle w:val="4"/>
        <w:pageBreakBefore w:val="0"/>
        <w:widowControl w:val="0"/>
        <w:wordWrap/>
        <w:topLinePunct w:val="0"/>
        <w:autoSpaceDE/>
        <w:autoSpaceDN/>
        <w:bidi w:val="0"/>
        <w:snapToGrid w:val="0"/>
        <w:spacing w:before="20" w:after="20" w:line="500" w:lineRule="exact"/>
        <w:ind w:leftChars="0"/>
        <w:textAlignment w:val="auto"/>
        <w:rPr>
          <w:rFonts w:hint="eastAsia" w:hAnsi="宋体"/>
          <w:snapToGrid w:val="0"/>
          <w:color w:val="auto"/>
          <w:kern w:val="0"/>
          <w:sz w:val="28"/>
          <w:szCs w:val="28"/>
        </w:rPr>
      </w:pPr>
      <w:bookmarkStart w:id="21" w:name="_Toc313453422"/>
      <w:bookmarkStart w:id="22" w:name="_Toc13385"/>
      <w:bookmarkStart w:id="23" w:name="_Toc335926127"/>
      <w:bookmarkStart w:id="24" w:name="_Toc26315"/>
      <w:bookmarkStart w:id="25" w:name="_Toc24707"/>
      <w:bookmarkStart w:id="26" w:name="_Toc29257"/>
      <w:r>
        <w:rPr>
          <w:rFonts w:hint="eastAsia" w:hAnsi="宋体"/>
          <w:snapToGrid w:val="0"/>
          <w:color w:val="auto"/>
          <w:kern w:val="0"/>
          <w:sz w:val="28"/>
          <w:szCs w:val="28"/>
        </w:rPr>
        <w:t>1.2.2</w:t>
      </w:r>
      <w:bookmarkEnd w:id="21"/>
      <w:r>
        <w:rPr>
          <w:rFonts w:hint="eastAsia" w:hAnsi="宋体"/>
          <w:snapToGrid w:val="0"/>
          <w:color w:val="auto"/>
          <w:kern w:val="0"/>
          <w:sz w:val="28"/>
          <w:szCs w:val="28"/>
        </w:rPr>
        <w:t>行政法规</w:t>
      </w:r>
      <w:bookmarkEnd w:id="22"/>
      <w:bookmarkEnd w:id="23"/>
      <w:bookmarkEnd w:id="24"/>
      <w:bookmarkEnd w:id="25"/>
      <w:bookmarkEnd w:id="26"/>
    </w:p>
    <w:p w14:paraId="0B80207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Ansi="宋体"/>
          <w:snapToGrid w:val="0"/>
          <w:color w:val="auto"/>
          <w:sz w:val="28"/>
          <w:szCs w:val="30"/>
        </w:rPr>
      </w:pPr>
      <w:r>
        <w:rPr>
          <w:rFonts w:hint="eastAsia" w:hAnsi="宋体"/>
          <w:snapToGrid w:val="0"/>
          <w:color w:val="auto"/>
          <w:sz w:val="28"/>
          <w:szCs w:val="30"/>
        </w:rPr>
        <w:t>1、《国务院关于进一步加强企业安全生产工作的通知》（国发〔2010〕23号）；</w:t>
      </w:r>
    </w:p>
    <w:p w14:paraId="0A826B9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2、</w:t>
      </w:r>
      <w:r>
        <w:rPr>
          <w:rFonts w:hAnsi="宋体"/>
          <w:snapToGrid w:val="0"/>
          <w:color w:val="auto"/>
          <w:sz w:val="28"/>
          <w:szCs w:val="30"/>
        </w:rPr>
        <w:t>《中华人民共和国尘肺病防治条例》</w:t>
      </w:r>
      <w:r>
        <w:rPr>
          <w:rFonts w:hint="eastAsia" w:hAnsi="宋体"/>
          <w:snapToGrid w:val="0"/>
          <w:color w:val="auto"/>
          <w:sz w:val="28"/>
          <w:szCs w:val="30"/>
        </w:rPr>
        <w:t>（</w:t>
      </w:r>
      <w:r>
        <w:rPr>
          <w:rFonts w:hAnsi="宋体"/>
          <w:snapToGrid w:val="0"/>
          <w:color w:val="auto"/>
          <w:sz w:val="28"/>
          <w:szCs w:val="30"/>
        </w:rPr>
        <w:t>国务院1987年12月3日颁布实施</w:t>
      </w:r>
      <w:r>
        <w:rPr>
          <w:rFonts w:hint="eastAsia" w:hAnsi="宋体"/>
          <w:snapToGrid w:val="0"/>
          <w:color w:val="auto"/>
          <w:sz w:val="28"/>
          <w:szCs w:val="30"/>
        </w:rPr>
        <w:t>）；</w:t>
      </w:r>
    </w:p>
    <w:p w14:paraId="607251F6">
      <w:pPr>
        <w:keepNext w:val="0"/>
        <w:keepLines w:val="0"/>
        <w:pageBreakBefore w:val="0"/>
        <w:widowControl w:val="0"/>
        <w:kinsoku w:val="0"/>
        <w:wordWrap/>
        <w:overflowPunct w:val="0"/>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3、《国务院关于修改〈工伤保险条例〉的决定》（中华人民共和国国务院令第</w:t>
      </w:r>
      <w:r>
        <w:rPr>
          <w:rFonts w:hAnsi="宋体"/>
          <w:snapToGrid w:val="0"/>
          <w:color w:val="auto"/>
          <w:sz w:val="28"/>
          <w:szCs w:val="30"/>
        </w:rPr>
        <w:t>586</w:t>
      </w:r>
      <w:r>
        <w:rPr>
          <w:rFonts w:hint="eastAsia" w:hAnsi="宋体"/>
          <w:snapToGrid w:val="0"/>
          <w:color w:val="auto"/>
          <w:sz w:val="28"/>
          <w:szCs w:val="30"/>
        </w:rPr>
        <w:t>号）；</w:t>
      </w:r>
    </w:p>
    <w:p w14:paraId="20796E55">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4、《危险化学品安全管理条例》（中华人民共和国国务院令第591号，2011年12月1日施行，根据国务院令第645号修订）；</w:t>
      </w:r>
    </w:p>
    <w:p w14:paraId="0B72357C">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5、《国务院关于修改〈特种设备安全监察条例〉的决定》（中华人民共和国国务院令第549号）；</w:t>
      </w:r>
    </w:p>
    <w:p w14:paraId="6BECCA4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Ansi="宋体"/>
          <w:snapToGrid w:val="0"/>
          <w:color w:val="auto"/>
          <w:sz w:val="28"/>
          <w:szCs w:val="30"/>
        </w:rPr>
      </w:pPr>
      <w:r>
        <w:rPr>
          <w:rFonts w:hint="eastAsia" w:hAnsi="宋体"/>
          <w:snapToGrid w:val="0"/>
          <w:color w:val="auto"/>
          <w:sz w:val="28"/>
          <w:szCs w:val="30"/>
        </w:rPr>
        <w:t>6、《国务院关于修改部分行政法规的决定》（中华人民共和国国务院令第645号）；</w:t>
      </w:r>
    </w:p>
    <w:p w14:paraId="30C90D1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7、《国务院关于坚持科学发展安全发展促进安全生产形势持续稳定好转的意见》（国发〔2011〕40号）；</w:t>
      </w:r>
    </w:p>
    <w:p w14:paraId="3A28E12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8、</w:t>
      </w:r>
      <w:r>
        <w:rPr>
          <w:rFonts w:hAnsi="宋体"/>
          <w:snapToGrid w:val="0"/>
          <w:color w:val="auto"/>
          <w:sz w:val="28"/>
          <w:szCs w:val="30"/>
        </w:rPr>
        <w:t>《国务院办公厅关于进一步做好防雷减灾工作的通知》</w:t>
      </w:r>
      <w:r>
        <w:rPr>
          <w:rFonts w:hint="eastAsia" w:hAnsi="宋体"/>
          <w:snapToGrid w:val="0"/>
          <w:color w:val="auto"/>
          <w:sz w:val="28"/>
          <w:szCs w:val="30"/>
        </w:rPr>
        <w:t>（</w:t>
      </w:r>
      <w:r>
        <w:rPr>
          <w:rFonts w:hAnsi="宋体"/>
          <w:snapToGrid w:val="0"/>
          <w:color w:val="auto"/>
          <w:sz w:val="28"/>
          <w:szCs w:val="30"/>
        </w:rPr>
        <w:t>国办发明电</w:t>
      </w:r>
      <w:r>
        <w:rPr>
          <w:rFonts w:hint="eastAsia" w:hAnsi="宋体"/>
          <w:snapToGrid w:val="0"/>
          <w:color w:val="auto"/>
          <w:sz w:val="28"/>
          <w:szCs w:val="30"/>
        </w:rPr>
        <w:t>〔</w:t>
      </w:r>
      <w:r>
        <w:rPr>
          <w:rFonts w:hAnsi="宋体"/>
          <w:snapToGrid w:val="0"/>
          <w:color w:val="auto"/>
          <w:sz w:val="28"/>
          <w:szCs w:val="30"/>
        </w:rPr>
        <w:t>2006</w:t>
      </w:r>
      <w:r>
        <w:rPr>
          <w:rFonts w:hint="eastAsia" w:hAnsi="宋体"/>
          <w:snapToGrid w:val="0"/>
          <w:color w:val="auto"/>
          <w:sz w:val="28"/>
          <w:szCs w:val="30"/>
        </w:rPr>
        <w:t>〕</w:t>
      </w:r>
      <w:r>
        <w:rPr>
          <w:rFonts w:hAnsi="宋体"/>
          <w:snapToGrid w:val="0"/>
          <w:color w:val="auto"/>
          <w:sz w:val="28"/>
          <w:szCs w:val="30"/>
        </w:rPr>
        <w:t>28号</w:t>
      </w:r>
      <w:r>
        <w:rPr>
          <w:rFonts w:hint="eastAsia" w:hAnsi="宋体"/>
          <w:snapToGrid w:val="0"/>
          <w:color w:val="auto"/>
          <w:sz w:val="28"/>
          <w:szCs w:val="30"/>
        </w:rPr>
        <w:t>）；</w:t>
      </w:r>
    </w:p>
    <w:p w14:paraId="09BAE360">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9、</w:t>
      </w:r>
      <w:r>
        <w:rPr>
          <w:rFonts w:hAnsi="宋体"/>
          <w:snapToGrid w:val="0"/>
          <w:color w:val="auto"/>
          <w:sz w:val="28"/>
          <w:szCs w:val="30"/>
        </w:rPr>
        <w:t>《建设工程安全生产管理条例》</w:t>
      </w:r>
      <w:r>
        <w:rPr>
          <w:rFonts w:hint="eastAsia" w:hAnsi="宋体"/>
          <w:snapToGrid w:val="0"/>
          <w:color w:val="auto"/>
          <w:sz w:val="28"/>
          <w:szCs w:val="30"/>
        </w:rPr>
        <w:t>（</w:t>
      </w:r>
      <w:r>
        <w:rPr>
          <w:rFonts w:hAnsi="宋体"/>
          <w:snapToGrid w:val="0"/>
          <w:color w:val="auto"/>
          <w:sz w:val="28"/>
          <w:szCs w:val="30"/>
        </w:rPr>
        <w:t>中华人民共和国国务院令第393号</w:t>
      </w:r>
      <w:r>
        <w:rPr>
          <w:rFonts w:hint="eastAsia" w:hAnsi="宋体"/>
          <w:snapToGrid w:val="0"/>
          <w:color w:val="auto"/>
          <w:sz w:val="28"/>
          <w:szCs w:val="30"/>
        </w:rPr>
        <w:t>）；</w:t>
      </w:r>
    </w:p>
    <w:p w14:paraId="581870A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eastAsia="宋体"/>
          <w:snapToGrid w:val="0"/>
          <w:color w:val="auto"/>
          <w:sz w:val="28"/>
          <w:szCs w:val="30"/>
          <w:lang w:eastAsia="zh-CN"/>
        </w:rPr>
      </w:pPr>
      <w:r>
        <w:rPr>
          <w:rFonts w:hint="eastAsia" w:hAnsi="宋体"/>
          <w:snapToGrid w:val="0"/>
          <w:color w:val="auto"/>
          <w:sz w:val="28"/>
          <w:szCs w:val="30"/>
        </w:rPr>
        <w:t>10、</w:t>
      </w:r>
      <w:r>
        <w:rPr>
          <w:rFonts w:hAnsi="宋体"/>
          <w:snapToGrid w:val="0"/>
          <w:color w:val="auto"/>
          <w:sz w:val="28"/>
          <w:szCs w:val="30"/>
        </w:rPr>
        <w:t>《生产安全事故报告和调查处理条例》（国务院令第493号）</w:t>
      </w:r>
      <w:r>
        <w:rPr>
          <w:rFonts w:hint="eastAsia" w:hAnsi="宋体"/>
          <w:snapToGrid w:val="0"/>
          <w:color w:val="auto"/>
          <w:sz w:val="28"/>
          <w:szCs w:val="30"/>
          <w:lang w:eastAsia="zh-CN"/>
        </w:rPr>
        <w:t>；</w:t>
      </w:r>
    </w:p>
    <w:p w14:paraId="0E757FDC">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eastAsia="宋体"/>
          <w:snapToGrid w:val="0"/>
          <w:color w:val="000000" w:themeColor="text1"/>
          <w:sz w:val="28"/>
          <w:szCs w:val="30"/>
          <w:shd w:val="clear" w:color="auto" w:fill="auto"/>
          <w:lang w:val="en-US" w:eastAsia="zh-CN"/>
          <w14:textFill>
            <w14:solidFill>
              <w14:schemeClr w14:val="tx1"/>
            </w14:solidFill>
          </w14:textFill>
        </w:rPr>
      </w:pPr>
      <w:r>
        <w:rPr>
          <w:rFonts w:hint="eastAsia" w:hAnsi="宋体"/>
          <w:snapToGrid w:val="0"/>
          <w:color w:val="000000" w:themeColor="text1"/>
          <w:sz w:val="28"/>
          <w:szCs w:val="30"/>
          <w:shd w:val="clear" w:color="auto" w:fill="auto"/>
          <w:lang w:val="en-US" w:eastAsia="zh-CN"/>
          <w14:textFill>
            <w14:solidFill>
              <w14:schemeClr w14:val="tx1"/>
            </w14:solidFill>
          </w14:textFill>
        </w:rPr>
        <w:t>11、</w:t>
      </w:r>
      <w:r>
        <w:rPr>
          <w:rFonts w:hAnsi="宋体"/>
          <w:snapToGrid w:val="0"/>
          <w:color w:val="000000" w:themeColor="text1"/>
          <w:sz w:val="28"/>
          <w:szCs w:val="30"/>
          <w:shd w:val="clear" w:color="auto" w:fill="auto"/>
          <w14:textFill>
            <w14:solidFill>
              <w14:schemeClr w14:val="tx1"/>
            </w14:solidFill>
          </w14:textFill>
        </w:rPr>
        <w:t>《生产安全事故应急条例》（中华人民共和国国务院令第708号）</w:t>
      </w:r>
      <w:r>
        <w:rPr>
          <w:rFonts w:hint="eastAsia" w:hAnsi="宋体"/>
          <w:snapToGrid w:val="0"/>
          <w:color w:val="000000" w:themeColor="text1"/>
          <w:sz w:val="28"/>
          <w:szCs w:val="30"/>
          <w:shd w:val="clear" w:color="auto" w:fill="auto"/>
          <w:lang w:eastAsia="zh-CN"/>
          <w14:textFill>
            <w14:solidFill>
              <w14:schemeClr w14:val="tx1"/>
            </w14:solidFill>
          </w14:textFill>
        </w:rPr>
        <w:t>。</w:t>
      </w:r>
    </w:p>
    <w:p w14:paraId="392BCB38">
      <w:pPr>
        <w:pStyle w:val="4"/>
        <w:pageBreakBefore w:val="0"/>
        <w:widowControl w:val="0"/>
        <w:wordWrap/>
        <w:topLinePunct w:val="0"/>
        <w:autoSpaceDE/>
        <w:autoSpaceDN/>
        <w:bidi w:val="0"/>
        <w:snapToGrid w:val="0"/>
        <w:spacing w:before="20" w:after="20" w:line="500" w:lineRule="exact"/>
        <w:ind w:leftChars="0"/>
        <w:textAlignment w:val="auto"/>
        <w:rPr>
          <w:rFonts w:hint="eastAsia"/>
        </w:rPr>
      </w:pPr>
      <w:bookmarkStart w:id="27" w:name="_Toc353"/>
      <w:bookmarkStart w:id="28" w:name="_Toc20683"/>
      <w:bookmarkStart w:id="29" w:name="_Toc15873"/>
      <w:bookmarkStart w:id="30" w:name="_Toc6278"/>
      <w:r>
        <w:rPr>
          <w:rFonts w:hint="eastAsia" w:hAnsi="宋体"/>
          <w:snapToGrid w:val="0"/>
          <w:color w:val="auto"/>
          <w:kern w:val="0"/>
          <w:sz w:val="28"/>
          <w:szCs w:val="28"/>
        </w:rPr>
        <w:t>1.2.3部门规章</w:t>
      </w:r>
      <w:bookmarkEnd w:id="27"/>
      <w:bookmarkEnd w:id="28"/>
      <w:bookmarkEnd w:id="29"/>
      <w:bookmarkEnd w:id="30"/>
    </w:p>
    <w:p w14:paraId="5A94D2E3">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《冶金企业安全生产监督管理规定》（国家安全生产监督管理总局令第26号）；</w:t>
      </w:r>
    </w:p>
    <w:p w14:paraId="4230344D">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highlight w:val="none"/>
        </w:rPr>
      </w:pPr>
      <w:r>
        <w:rPr>
          <w:rFonts w:hint="eastAsia" w:ascii="宋体" w:hAnsi="宋体" w:eastAsia="宋体" w:cs="宋体"/>
          <w:snapToGrid w:val="0"/>
          <w:color w:val="auto"/>
          <w:sz w:val="28"/>
          <w:szCs w:val="28"/>
          <w:highlight w:val="none"/>
        </w:rPr>
        <w:t>《财政部</w:t>
      </w:r>
      <w:r>
        <w:rPr>
          <w:rFonts w:hint="eastAsia" w:ascii="宋体" w:hAnsi="宋体" w:eastAsia="宋体" w:cs="宋体"/>
          <w:snapToGrid w:val="0"/>
          <w:color w:val="auto"/>
          <w:sz w:val="28"/>
          <w:szCs w:val="28"/>
          <w:highlight w:val="none"/>
          <w:lang w:val="en-US" w:eastAsia="zh-CN"/>
        </w:rPr>
        <w:t>应急部</w:t>
      </w:r>
      <w:r>
        <w:rPr>
          <w:rFonts w:hint="eastAsia" w:ascii="宋体" w:hAnsi="宋体" w:eastAsia="宋体" w:cs="宋体"/>
          <w:snapToGrid w:val="0"/>
          <w:color w:val="auto"/>
          <w:sz w:val="28"/>
          <w:szCs w:val="28"/>
          <w:highlight w:val="none"/>
        </w:rPr>
        <w:t>关于印发&lt;企业安全生产费用提取和使用管理办法&gt;的通知》（财</w:t>
      </w:r>
      <w:r>
        <w:rPr>
          <w:rFonts w:hint="eastAsia" w:ascii="宋体" w:hAnsi="宋体" w:eastAsia="宋体" w:cs="宋体"/>
          <w:snapToGrid w:val="0"/>
          <w:color w:val="auto"/>
          <w:sz w:val="28"/>
          <w:szCs w:val="28"/>
          <w:highlight w:val="none"/>
          <w:lang w:val="en-US" w:eastAsia="zh-CN"/>
        </w:rPr>
        <w:t>资</w:t>
      </w:r>
      <w:r>
        <w:rPr>
          <w:rFonts w:hint="eastAsia" w:ascii="宋体" w:hAnsi="宋体" w:eastAsia="宋体" w:cs="宋体"/>
          <w:snapToGrid w:val="0"/>
          <w:color w:val="auto"/>
          <w:sz w:val="28"/>
          <w:szCs w:val="28"/>
          <w:highlight w:val="none"/>
        </w:rPr>
        <w:t>〔20</w:t>
      </w:r>
      <w:r>
        <w:rPr>
          <w:rFonts w:hint="eastAsia" w:ascii="宋体" w:hAnsi="宋体" w:eastAsia="宋体" w:cs="宋体"/>
          <w:snapToGrid w:val="0"/>
          <w:color w:val="auto"/>
          <w:sz w:val="28"/>
          <w:szCs w:val="28"/>
          <w:highlight w:val="none"/>
          <w:lang w:val="en-US" w:eastAsia="zh-CN"/>
        </w:rPr>
        <w:t>22</w:t>
      </w:r>
      <w:r>
        <w:rPr>
          <w:rFonts w:hint="eastAsia" w:ascii="宋体" w:hAnsi="宋体" w:eastAsia="宋体" w:cs="宋体"/>
          <w:snapToGrid w:val="0"/>
          <w:color w:val="auto"/>
          <w:sz w:val="28"/>
          <w:szCs w:val="28"/>
          <w:highlight w:val="none"/>
        </w:rPr>
        <w:t>〕1</w:t>
      </w:r>
      <w:r>
        <w:rPr>
          <w:rFonts w:hint="eastAsia" w:ascii="宋体" w:hAnsi="宋体" w:eastAsia="宋体" w:cs="宋体"/>
          <w:snapToGrid w:val="0"/>
          <w:color w:val="auto"/>
          <w:sz w:val="28"/>
          <w:szCs w:val="28"/>
          <w:highlight w:val="none"/>
          <w:lang w:val="en-US" w:eastAsia="zh-CN"/>
        </w:rPr>
        <w:t>3</w:t>
      </w:r>
      <w:r>
        <w:rPr>
          <w:rFonts w:hint="eastAsia" w:ascii="宋体" w:hAnsi="宋体" w:eastAsia="宋体" w:cs="宋体"/>
          <w:snapToGrid w:val="0"/>
          <w:color w:val="auto"/>
          <w:sz w:val="28"/>
          <w:szCs w:val="28"/>
          <w:highlight w:val="none"/>
        </w:rPr>
        <w:t>6号）；</w:t>
      </w:r>
    </w:p>
    <w:p w14:paraId="0C0B153F">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highlight w:val="none"/>
        </w:rPr>
      </w:pPr>
      <w:bookmarkStart w:id="31" w:name="OLE_LINK4"/>
      <w:r>
        <w:rPr>
          <w:rFonts w:hint="eastAsia" w:ascii="宋体" w:hAnsi="宋体" w:eastAsia="宋体" w:cs="宋体"/>
          <w:snapToGrid w:val="0"/>
          <w:color w:val="auto"/>
          <w:sz w:val="28"/>
          <w:szCs w:val="28"/>
          <w:highlight w:val="none"/>
        </w:rPr>
        <w:t>《生产经营单位安全培训规定》（国家安全生产监督管理总局令第3号，根据国家安全监管总局令第63号修正；根据国家安全监管总局令第80号修正）</w:t>
      </w:r>
      <w:bookmarkEnd w:id="31"/>
      <w:r>
        <w:rPr>
          <w:rFonts w:hint="eastAsia" w:ascii="宋体" w:hAnsi="宋体" w:eastAsia="宋体" w:cs="宋体"/>
          <w:snapToGrid w:val="0"/>
          <w:color w:val="auto"/>
          <w:sz w:val="28"/>
          <w:szCs w:val="28"/>
          <w:highlight w:val="none"/>
        </w:rPr>
        <w:t>；</w:t>
      </w:r>
    </w:p>
    <w:p w14:paraId="370279C7">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hAnsi="宋体" w:cs="宋体"/>
          <w:snapToGrid w:val="0"/>
          <w:color w:val="auto"/>
          <w:sz w:val="28"/>
          <w:szCs w:val="28"/>
          <w:lang w:eastAsia="zh-CN"/>
        </w:rPr>
        <w:t>《</w:t>
      </w:r>
      <w:r>
        <w:rPr>
          <w:rFonts w:hint="eastAsia" w:ascii="宋体" w:hAnsi="宋体" w:eastAsia="宋体" w:cs="宋体"/>
          <w:snapToGrid w:val="0"/>
          <w:color w:val="auto"/>
          <w:sz w:val="28"/>
          <w:szCs w:val="28"/>
        </w:rPr>
        <w:t>生产安全事故报告和调查处理条例罚款处罚暂行规定</w:t>
      </w:r>
      <w:r>
        <w:rPr>
          <w:rFonts w:hint="eastAsia" w:hAnsi="宋体" w:cs="宋体"/>
          <w:snapToGrid w:val="0"/>
          <w:color w:val="auto"/>
          <w:sz w:val="28"/>
          <w:szCs w:val="28"/>
          <w:lang w:eastAsia="zh-CN"/>
        </w:rPr>
        <w:t>》</w:t>
      </w:r>
      <w:r>
        <w:rPr>
          <w:rFonts w:hint="eastAsia" w:ascii="宋体" w:hAnsi="宋体" w:eastAsia="宋体" w:cs="宋体"/>
          <w:snapToGrid w:val="0"/>
          <w:color w:val="auto"/>
          <w:sz w:val="28"/>
          <w:szCs w:val="28"/>
        </w:rPr>
        <w:t>（国家安全生产监督管理总局令第13号，国家安全监管总局令第42号第一次修正，国家安全监管总局令第77号第二次修正）；</w:t>
      </w:r>
    </w:p>
    <w:p w14:paraId="3ECDFB40">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《安全生产违法行为行政处罚办法》（2007年11月30日国家安全生产监督管理总局令第15号公布，自2008年1月1日起施行；根据2015年4月2日国家安全生产监督管理总局令第77号修正）；</w:t>
      </w:r>
    </w:p>
    <w:p w14:paraId="5B76F3D4">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《安全生产事故隐患排查治理暂行规定》（国家安全生产监督管理总局令第16号）；</w:t>
      </w:r>
    </w:p>
    <w:p w14:paraId="473802E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《生产安全事故应急预案管理办法》（2016年6月3日国家安全生产监督管理总局令第88号公布，自2016年7月1日起施行；根据2019年7月11日应急管理部令第2号修正）；</w:t>
      </w:r>
    </w:p>
    <w:p w14:paraId="560057F3">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《特种作业人员安全技术培训考核管理规定》（修订）（国家安全生产监督管理总局令第30号发布，根据国家安全监管总局令第63号修正，根据国家安全监管总局令第80号修正）；</w:t>
      </w:r>
    </w:p>
    <w:p w14:paraId="0E310FAF">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《安全生产培训管理办法》（国家安全生产监督管理总局令第44号，根据国家安全监管总局令第63号第一次修正</w:t>
      </w:r>
      <w:r>
        <w:rPr>
          <w:rFonts w:hint="eastAsia" w:ascii="宋体" w:hAnsi="宋体" w:eastAsia="宋体" w:cs="宋体"/>
          <w:snapToGrid w:val="0"/>
          <w:color w:val="auto"/>
          <w:sz w:val="28"/>
          <w:szCs w:val="28"/>
          <w:lang w:eastAsia="zh-CN"/>
        </w:rPr>
        <w:t>，</w:t>
      </w:r>
      <w:r>
        <w:rPr>
          <w:rFonts w:hint="eastAsia" w:ascii="宋体" w:hAnsi="宋体" w:eastAsia="宋体" w:cs="宋体"/>
          <w:snapToGrid w:val="0"/>
          <w:color w:val="auto"/>
          <w:sz w:val="28"/>
          <w:szCs w:val="28"/>
        </w:rPr>
        <w:t>根据国家安全监管总局令第80号第二次修正）；</w:t>
      </w:r>
    </w:p>
    <w:p w14:paraId="7FA6EC4D">
      <w:pPr>
        <w:pStyle w:val="9"/>
        <w:keepNext w:val="0"/>
        <w:keepLines w:val="0"/>
        <w:pageBreakBefore w:val="0"/>
        <w:widowControl w:val="0"/>
        <w:numPr>
          <w:ilvl w:val="0"/>
          <w:numId w:val="1"/>
        </w:numPr>
        <w:kinsoku/>
        <w:wordWrap/>
        <w:overflowPunct/>
        <w:topLinePunct w:val="0"/>
        <w:autoSpaceDE/>
        <w:autoSpaceDN/>
        <w:bidi w:val="0"/>
        <w:adjustRightInd/>
        <w:spacing w:line="500" w:lineRule="exact"/>
        <w:ind w:left="0" w:leftChars="0"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b w:val="0"/>
          <w:bCs w:val="0"/>
          <w:color w:val="auto"/>
          <w:sz w:val="28"/>
          <w:szCs w:val="28"/>
        </w:rPr>
        <w:t>《工作场所职业卫生管理规定》</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pacing w:val="-17"/>
          <w:sz w:val="28"/>
          <w:szCs w:val="28"/>
          <w:u w:val="none"/>
        </w:rPr>
        <w:t>国家卫生健康委员会令</w:t>
      </w:r>
      <w:r>
        <w:rPr>
          <w:rFonts w:hint="eastAsia" w:ascii="宋体" w:hAnsi="宋体" w:eastAsia="宋体" w:cs="宋体"/>
          <w:b w:val="0"/>
          <w:bCs w:val="0"/>
          <w:color w:val="auto"/>
          <w:sz w:val="28"/>
          <w:szCs w:val="28"/>
        </w:rPr>
        <w:t>第5 号</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pacing w:val="0"/>
          <w:sz w:val="28"/>
          <w:szCs w:val="28"/>
          <w:u w:val="none"/>
        </w:rPr>
        <w:t>自2021年2月1日起施行</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w:t>
      </w:r>
    </w:p>
    <w:p w14:paraId="4370EA88">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lang w:val="en-US" w:eastAsia="zh-CN"/>
        </w:rPr>
        <w:t>《工贸企业有限空间作业安全规定》（应急管理部令第13号）</w:t>
      </w:r>
      <w:r>
        <w:rPr>
          <w:rFonts w:hint="eastAsia" w:ascii="宋体" w:hAnsi="宋体" w:eastAsia="宋体" w:cs="宋体"/>
          <w:snapToGrid w:val="0"/>
          <w:color w:val="auto"/>
          <w:sz w:val="28"/>
          <w:szCs w:val="28"/>
        </w:rPr>
        <w:t>；</w:t>
      </w:r>
    </w:p>
    <w:p w14:paraId="7D3856E1">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b w:val="0"/>
          <w:bCs w:val="0"/>
          <w:color w:val="000000" w:themeColor="text1"/>
          <w:sz w:val="28"/>
          <w:szCs w:val="28"/>
          <w:shd w:val="clear" w:color="auto" w:fill="auto"/>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sz w:val="28"/>
          <w:szCs w:val="28"/>
          <w:shd w:val="clear" w:color="auto" w:fill="auto"/>
          <w14:textFill>
            <w14:solidFill>
              <w14:schemeClr w14:val="tx1"/>
            </w14:solidFill>
          </w14:textFill>
        </w:rPr>
        <w:t>《</w:t>
      </w:r>
      <w:r>
        <w:rPr>
          <w:rFonts w:hint="eastAsia" w:ascii="宋体" w:hAnsi="宋体" w:eastAsia="宋体" w:cs="宋体"/>
          <w:b w:val="0"/>
          <w:bCs w:val="0"/>
          <w:color w:val="000000" w:themeColor="text1"/>
          <w:sz w:val="28"/>
          <w:szCs w:val="28"/>
          <w:shd w:val="clear" w:color="auto" w:fill="auto"/>
          <w:lang w:val="en-US" w:eastAsia="zh-CN" w:bidi="ar-SA"/>
          <w14:textFill>
            <w14:solidFill>
              <w14:schemeClr w14:val="tx1"/>
            </w14:solidFill>
          </w14:textFill>
        </w:rPr>
        <w:t>生产安全事故罚款处罚规定》</w:t>
      </w:r>
      <w:r>
        <w:rPr>
          <w:rFonts w:hint="eastAsia" w:ascii="宋体" w:hAnsi="宋体" w:eastAsia="宋体" w:cs="宋体"/>
          <w:snapToGrid w:val="0"/>
          <w:color w:val="000000" w:themeColor="text1"/>
          <w:sz w:val="28"/>
          <w:szCs w:val="28"/>
          <w:shd w:val="clear" w:color="auto" w:fill="auto"/>
          <w:lang w:val="en-US" w:eastAsia="zh-CN"/>
          <w14:textFill>
            <w14:solidFill>
              <w14:schemeClr w14:val="tx1"/>
            </w14:solidFill>
          </w14:textFill>
        </w:rPr>
        <w:t>（应急管理部令第1</w:t>
      </w:r>
      <w:r>
        <w:rPr>
          <w:rFonts w:hint="eastAsia" w:hAnsi="宋体" w:cs="宋体"/>
          <w:snapToGrid w:val="0"/>
          <w:color w:val="000000" w:themeColor="text1"/>
          <w:sz w:val="28"/>
          <w:szCs w:val="28"/>
          <w:shd w:val="clear" w:color="auto" w:fill="auto"/>
          <w:lang w:val="en-US" w:eastAsia="zh-CN"/>
          <w14:textFill>
            <w14:solidFill>
              <w14:schemeClr w14:val="tx1"/>
            </w14:solidFill>
          </w14:textFill>
        </w:rPr>
        <w:t>4</w:t>
      </w:r>
      <w:r>
        <w:rPr>
          <w:rFonts w:hint="eastAsia" w:ascii="宋体" w:hAnsi="宋体" w:eastAsia="宋体" w:cs="宋体"/>
          <w:snapToGrid w:val="0"/>
          <w:color w:val="000000" w:themeColor="text1"/>
          <w:sz w:val="28"/>
          <w:szCs w:val="28"/>
          <w:shd w:val="clear" w:color="auto" w:fill="auto"/>
          <w:lang w:val="en-US" w:eastAsia="zh-CN"/>
          <w14:textFill>
            <w14:solidFill>
              <w14:schemeClr w14:val="tx1"/>
            </w14:solidFill>
          </w14:textFill>
        </w:rPr>
        <w:t>号）</w:t>
      </w:r>
      <w:r>
        <w:rPr>
          <w:rFonts w:hint="eastAsia" w:hAnsi="宋体" w:cs="宋体"/>
          <w:snapToGrid w:val="0"/>
          <w:color w:val="000000" w:themeColor="text1"/>
          <w:sz w:val="28"/>
          <w:szCs w:val="28"/>
          <w:shd w:val="clear" w:color="auto" w:fill="auto"/>
          <w:lang w:val="en-US" w:eastAsia="zh-CN"/>
          <w14:textFill>
            <w14:solidFill>
              <w14:schemeClr w14:val="tx1"/>
            </w14:solidFill>
          </w14:textFill>
        </w:rPr>
        <w:t>；</w:t>
      </w:r>
    </w:p>
    <w:p w14:paraId="3755B10A">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《国家安全监管总局关于修改&lt;生产安全事故报告和调查处理条例&gt;罚款处罚暂行规定等四部规章的决定》（国家安全生产监督管理总局令第77号）；</w:t>
      </w:r>
    </w:p>
    <w:p w14:paraId="4AA35630">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《国家安全监管总局关于废止和修改危险化学品等领域七部规章的决定》（国家安全监管总局令第79号）；</w:t>
      </w:r>
    </w:p>
    <w:p w14:paraId="04A8B4C5">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《国家安全监管总局关于废止和修改劳动防护用品和安全培训等领域十部规章的决定》（国家安全生产监督管理总局令第80号）；</w:t>
      </w:r>
    </w:p>
    <w:p w14:paraId="0E4BCBED">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000000" w:themeColor="text1"/>
          <w:sz w:val="28"/>
          <w:szCs w:val="28"/>
          <w:shd w:val="clear" w:color="auto" w:fill="auto"/>
          <w14:textFill>
            <w14:solidFill>
              <w14:schemeClr w14:val="tx1"/>
            </w14:solidFill>
          </w14:textFill>
        </w:rPr>
      </w:pPr>
      <w:r>
        <w:rPr>
          <w:rFonts w:hint="eastAsia" w:ascii="宋体" w:hAnsi="宋体" w:eastAsia="宋体" w:cs="宋体"/>
          <w:snapToGrid w:val="0"/>
          <w:color w:val="000000" w:themeColor="text1"/>
          <w:sz w:val="28"/>
          <w:szCs w:val="28"/>
          <w:shd w:val="clear" w:color="auto" w:fill="auto"/>
          <w14:textFill>
            <w14:solidFill>
              <w14:schemeClr w14:val="tx1"/>
            </w14:solidFill>
          </w14:textFill>
        </w:rPr>
        <w:t>《危险化学品目录》（</w:t>
      </w:r>
      <w:r>
        <w:rPr>
          <w:rFonts w:hint="eastAsia" w:ascii="宋体" w:hAnsi="宋体" w:eastAsia="宋体" w:cs="宋体"/>
          <w:snapToGrid w:val="0"/>
          <w:color w:val="000000" w:themeColor="text1"/>
          <w:sz w:val="28"/>
          <w:szCs w:val="28"/>
          <w:shd w:val="clear" w:color="auto" w:fill="auto"/>
          <w:lang w:val="en-US" w:eastAsia="zh-CN"/>
          <w14:textFill>
            <w14:solidFill>
              <w14:schemeClr w14:val="tx1"/>
            </w14:solidFill>
          </w14:textFill>
        </w:rPr>
        <w:t>2022调整版</w:t>
      </w:r>
      <w:r>
        <w:rPr>
          <w:rFonts w:hint="eastAsia" w:ascii="宋体" w:hAnsi="宋体" w:eastAsia="宋体" w:cs="宋体"/>
          <w:snapToGrid w:val="0"/>
          <w:color w:val="000000" w:themeColor="text1"/>
          <w:sz w:val="28"/>
          <w:szCs w:val="28"/>
          <w:shd w:val="clear" w:color="auto" w:fill="auto"/>
          <w14:textFill>
            <w14:solidFill>
              <w14:schemeClr w14:val="tx1"/>
            </w14:solidFill>
          </w14:textFill>
        </w:rPr>
        <w:t>）；</w:t>
      </w:r>
    </w:p>
    <w:p w14:paraId="3AC0177B">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《国家安全监管总局关于公布首批重点监管的危险化学品名录的通知》（安监总管三〔2011〕95号）；</w:t>
      </w:r>
    </w:p>
    <w:p w14:paraId="5AAAB83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《国家安全监管总局关于公布第二批重点监管危险化学品名录的通知》（安监总管三〔2013〕12号）；</w:t>
      </w:r>
    </w:p>
    <w:p w14:paraId="340ED5F4">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《危险化学品使用量的数量标准（2013年版）》（国家安全生产监督管理总局中华人民共和国公安部中华人民共和国农业部2013年第9号公告）；</w:t>
      </w:r>
    </w:p>
    <w:p w14:paraId="7572E529">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《国家安全监管总局关于进一步加强工商贸企业粉尘爆炸事故防范工作的通知》（安监总管四〔2010〕38号）；</w:t>
      </w:r>
    </w:p>
    <w:p w14:paraId="0A63B0DF">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《仓库防火安全管理规则》（中华人民共和国公安部令第6号）；</w:t>
      </w:r>
    </w:p>
    <w:p w14:paraId="0DB42D89">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《易制爆危险化学品名录》（2017年版）（中华人民共和国公安部</w:t>
      </w:r>
      <w:r>
        <w:rPr>
          <w:rFonts w:hint="eastAsia" w:ascii="宋体" w:hAnsi="宋体" w:eastAsia="宋体" w:cs="宋体"/>
          <w:snapToGrid w:val="0"/>
          <w:color w:val="auto"/>
          <w:sz w:val="28"/>
          <w:szCs w:val="28"/>
          <w:lang w:eastAsia="zh-CN"/>
        </w:rPr>
        <w:t>，</w:t>
      </w:r>
      <w:r>
        <w:rPr>
          <w:rFonts w:hint="eastAsia" w:ascii="宋体" w:hAnsi="宋体" w:eastAsia="宋体" w:cs="宋体"/>
          <w:snapToGrid w:val="0"/>
          <w:color w:val="auto"/>
          <w:sz w:val="28"/>
          <w:szCs w:val="28"/>
        </w:rPr>
        <w:t>2017年5月1日实施）；</w:t>
      </w:r>
    </w:p>
    <w:p w14:paraId="2E6092CF">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《消防监督检查规定》（中华人民共和国公安部令第120号）；</w:t>
      </w:r>
    </w:p>
    <w:p w14:paraId="77C6E768">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《质检总局关于修订《特种设备目录》的公告》（国家质量监督检验检疫总局2014年第114号）；</w:t>
      </w:r>
    </w:p>
    <w:p w14:paraId="67F1CF9F">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《国家质量监督检验检疫总局关于修改&lt;特种设备作业人员监督管理办法&gt;的决定》（国家质量监督检验检疫总局第140号）；</w:t>
      </w:r>
    </w:p>
    <w:p w14:paraId="37A1D5EB">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《爆炸危险场所安全规定》（中华人民共和国劳部发〔1995〕56号）；</w:t>
      </w:r>
    </w:p>
    <w:p w14:paraId="7E2AE681">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lang w:eastAsia="zh-CN"/>
        </w:rPr>
      </w:pPr>
      <w:r>
        <w:rPr>
          <w:rFonts w:hint="eastAsia" w:ascii="宋体" w:hAnsi="宋体" w:eastAsia="宋体" w:cs="宋体"/>
          <w:snapToGrid w:val="0"/>
          <w:color w:val="auto"/>
          <w:sz w:val="28"/>
          <w:szCs w:val="28"/>
        </w:rPr>
        <w:t>《防雷减灾管理办法》（中国气象局第24号）</w:t>
      </w:r>
      <w:r>
        <w:rPr>
          <w:rFonts w:hint="eastAsia" w:ascii="宋体" w:hAnsi="宋体" w:eastAsia="宋体" w:cs="宋体"/>
          <w:color w:val="auto"/>
          <w:sz w:val="28"/>
          <w:szCs w:val="28"/>
          <w:lang w:eastAsia="zh-CN"/>
        </w:rPr>
        <w:t>：</w:t>
      </w:r>
    </w:p>
    <w:p w14:paraId="680FB879">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应急管理部办公厅关于修订《冶金有色建材机械轻工纺织烟草商贸行业安全监管分类标准（试行）》的通知</w:t>
      </w: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应急厅〔2019〕17号</w:t>
      </w:r>
      <w:r>
        <w:rPr>
          <w:rFonts w:hint="eastAsia" w:ascii="宋体" w:hAnsi="宋体" w:eastAsia="宋体" w:cs="宋体"/>
          <w:color w:val="auto"/>
          <w:spacing w:val="0"/>
          <w:position w:val="0"/>
          <w:sz w:val="28"/>
          <w:szCs w:val="28"/>
          <w:lang w:eastAsia="zh-CN"/>
        </w:rPr>
        <w:t>）；</w:t>
      </w:r>
    </w:p>
    <w:p w14:paraId="7742D7E0">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工业和信息化部关于进一步加强工业行业安全生产管理的指导意见</w:t>
      </w: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工信部安全〔2020〕83号</w:t>
      </w:r>
      <w:r>
        <w:rPr>
          <w:rFonts w:hint="eastAsia" w:ascii="宋体" w:hAnsi="宋体" w:eastAsia="宋体" w:cs="宋体"/>
          <w:color w:val="auto"/>
          <w:spacing w:val="0"/>
          <w:position w:val="0"/>
          <w:sz w:val="28"/>
          <w:szCs w:val="28"/>
          <w:lang w:eastAsia="zh-CN"/>
        </w:rPr>
        <w:t>）；</w:t>
      </w:r>
    </w:p>
    <w:p w14:paraId="0AFDB7DE">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eastAsia="宋体" w:cs="宋体"/>
          <w:color w:val="auto"/>
          <w:spacing w:val="0"/>
          <w:position w:val="0"/>
          <w:sz w:val="28"/>
          <w:szCs w:val="28"/>
          <w:lang w:eastAsia="zh-CN"/>
        </w:rPr>
      </w:pPr>
      <w:r>
        <w:rPr>
          <w:rFonts w:hint="eastAsia" w:ascii="宋体" w:hAnsi="宋体" w:eastAsia="宋体" w:cs="宋体"/>
          <w:color w:val="auto"/>
          <w:spacing w:val="0"/>
          <w:position w:val="0"/>
          <w:sz w:val="28"/>
          <w:szCs w:val="28"/>
          <w:lang w:eastAsia="zh-CN"/>
        </w:rPr>
        <w:t>《工贸行业遏制重特大事故工作意见》（安监总管四[2016]68号）；</w:t>
      </w:r>
    </w:p>
    <w:p w14:paraId="4488BE1F">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eastAsia="宋体" w:cs="宋体"/>
          <w:color w:val="auto"/>
          <w:spacing w:val="0"/>
          <w:position w:val="0"/>
          <w:sz w:val="28"/>
          <w:szCs w:val="28"/>
          <w:lang w:eastAsia="zh-CN"/>
        </w:rPr>
      </w:pPr>
      <w:r>
        <w:rPr>
          <w:rFonts w:hint="eastAsia" w:ascii="宋体" w:hAnsi="宋体" w:eastAsia="宋体" w:cs="宋体"/>
          <w:color w:val="auto"/>
          <w:spacing w:val="0"/>
          <w:position w:val="0"/>
          <w:sz w:val="28"/>
          <w:szCs w:val="28"/>
          <w:lang w:eastAsia="zh-CN"/>
        </w:rPr>
        <w:t>《国家安全监管总局关于印发开展工贸企业较大危险因素辨识管控提升防范事故能力行动计划的通知》（安监总管四[2016]31号）；</w:t>
      </w:r>
    </w:p>
    <w:p w14:paraId="68C01436">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eastAsia="zh-CN"/>
        </w:rPr>
        <w:t>《工贸</w:t>
      </w:r>
      <w:r>
        <w:rPr>
          <w:rFonts w:hint="eastAsia" w:ascii="宋体" w:hAnsi="宋体" w:eastAsia="宋体" w:cs="宋体"/>
          <w:color w:val="auto"/>
          <w:spacing w:val="0"/>
          <w:position w:val="0"/>
          <w:sz w:val="28"/>
          <w:szCs w:val="28"/>
          <w:lang w:val="en-US" w:eastAsia="zh-CN"/>
        </w:rPr>
        <w:t>企业</w:t>
      </w:r>
      <w:r>
        <w:rPr>
          <w:rFonts w:hint="eastAsia" w:ascii="宋体" w:hAnsi="宋体" w:eastAsia="宋体" w:cs="宋体"/>
          <w:color w:val="auto"/>
          <w:spacing w:val="0"/>
          <w:position w:val="0"/>
          <w:sz w:val="28"/>
          <w:szCs w:val="28"/>
          <w:lang w:eastAsia="zh-CN"/>
        </w:rPr>
        <w:t>重大事故隐患判定标准》（</w:t>
      </w:r>
      <w:r>
        <w:rPr>
          <w:rFonts w:hint="eastAsia" w:ascii="宋体" w:hAnsi="宋体" w:eastAsia="宋体" w:cs="宋体"/>
          <w:color w:val="auto"/>
          <w:spacing w:val="0"/>
          <w:position w:val="0"/>
          <w:sz w:val="28"/>
          <w:szCs w:val="28"/>
          <w:lang w:val="en-US" w:eastAsia="zh-CN"/>
        </w:rPr>
        <w:t>应急管理部令第10号，2023年5月15日起施行</w:t>
      </w:r>
      <w:r>
        <w:rPr>
          <w:rFonts w:hint="eastAsia" w:ascii="宋体" w:hAnsi="宋体" w:eastAsia="宋体" w:cs="宋体"/>
          <w:color w:val="auto"/>
          <w:spacing w:val="0"/>
          <w:position w:val="0"/>
          <w:sz w:val="28"/>
          <w:szCs w:val="28"/>
          <w:lang w:eastAsia="zh-CN"/>
        </w:rPr>
        <w:t>）；</w:t>
      </w:r>
    </w:p>
    <w:p w14:paraId="5C67017F">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val="en-US" w:eastAsia="zh-CN"/>
        </w:rPr>
        <w:t>《建设</w:t>
      </w:r>
      <w:r>
        <w:rPr>
          <w:rFonts w:hint="eastAsia" w:ascii="宋体" w:hAnsi="宋体" w:eastAsia="宋体" w:cs="宋体"/>
          <w:color w:val="auto"/>
          <w:sz w:val="28"/>
          <w:szCs w:val="28"/>
          <w:lang w:val="en-US" w:eastAsia="zh-CN"/>
        </w:rPr>
        <w:t>工程消防设计审查验收管理暂行规定》（住建部令第51号）；</w:t>
      </w:r>
    </w:p>
    <w:p w14:paraId="6FFF6C60">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sz w:val="28"/>
          <w:szCs w:val="28"/>
        </w:rPr>
      </w:pPr>
      <w:r>
        <w:rPr>
          <w:rFonts w:hint="eastAsia" w:ascii="宋体" w:hAnsi="宋体" w:eastAsia="宋体" w:cs="宋体"/>
          <w:color w:val="auto"/>
          <w:spacing w:val="0"/>
          <w:position w:val="0"/>
          <w:sz w:val="28"/>
          <w:szCs w:val="28"/>
          <w:lang w:val="en-US" w:eastAsia="zh-CN"/>
        </w:rPr>
        <w:t>《产业结构调整指导目录》（2024年本）。</w:t>
      </w:r>
    </w:p>
    <w:p w14:paraId="003CB9CF">
      <w:pPr>
        <w:pStyle w:val="4"/>
        <w:pageBreakBefore w:val="0"/>
        <w:widowControl w:val="0"/>
        <w:kinsoku/>
        <w:wordWrap/>
        <w:overflowPunct/>
        <w:topLinePunct w:val="0"/>
        <w:autoSpaceDE/>
        <w:autoSpaceDN/>
        <w:bidi w:val="0"/>
        <w:adjustRightInd/>
        <w:snapToGrid w:val="0"/>
        <w:spacing w:before="0" w:after="0" w:line="500" w:lineRule="exact"/>
        <w:ind w:left="0" w:leftChars="0"/>
        <w:textAlignment w:val="auto"/>
        <w:rPr>
          <w:rFonts w:hint="eastAsia" w:ascii="宋体" w:hAnsi="宋体" w:eastAsia="宋体" w:cs="宋体"/>
          <w:snapToGrid w:val="0"/>
          <w:color w:val="auto"/>
          <w:kern w:val="0"/>
          <w:sz w:val="28"/>
          <w:szCs w:val="28"/>
        </w:rPr>
      </w:pPr>
      <w:bookmarkStart w:id="32" w:name="_Toc32514"/>
      <w:bookmarkStart w:id="33" w:name="_Toc21054"/>
      <w:r>
        <w:rPr>
          <w:rFonts w:hint="eastAsia" w:ascii="宋体" w:hAnsi="宋体" w:eastAsia="宋体" w:cs="宋体"/>
          <w:snapToGrid w:val="0"/>
          <w:color w:val="auto"/>
          <w:kern w:val="0"/>
          <w:sz w:val="28"/>
          <w:szCs w:val="28"/>
        </w:rPr>
        <w:t>1.2.4地方有关法规文件</w:t>
      </w:r>
      <w:bookmarkEnd w:id="32"/>
      <w:bookmarkEnd w:id="33"/>
    </w:p>
    <w:p w14:paraId="059D8191">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《云南省安全生产条例》（云南省第十二届人民代表大会常务委员会公告第63号</w:t>
      </w:r>
      <w:r>
        <w:rPr>
          <w:rFonts w:hint="eastAsia" w:hAnsi="宋体" w:cs="宋体"/>
          <w:snapToGrid w:val="0"/>
          <w:color w:val="auto"/>
          <w:sz w:val="28"/>
          <w:szCs w:val="28"/>
          <w:lang w:val="en-US" w:eastAsia="zh-CN"/>
        </w:rPr>
        <w:t>,</w:t>
      </w:r>
      <w:r>
        <w:rPr>
          <w:rFonts w:hint="eastAsia" w:ascii="宋体" w:hAnsi="宋体" w:eastAsia="宋体" w:cs="宋体"/>
          <w:snapToGrid w:val="0"/>
          <w:color w:val="auto"/>
          <w:sz w:val="28"/>
          <w:szCs w:val="28"/>
        </w:rPr>
        <w:t>云南省第十二届人民代表大会常务委员会第三十八次会议于2017年11月30日修订通过，2018年1月1日起施行）；</w:t>
      </w:r>
    </w:p>
    <w:p w14:paraId="3AE50754">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《云南省消防条例》（云南省十一届人大常委会公告第31号，自2011年1月1日起施行）；</w:t>
      </w:r>
    </w:p>
    <w:p w14:paraId="6B4E49C3">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《云南省安全生产事故调查暂行规定》（云南省人民政府办公厅2005年12月30日印发）；</w:t>
      </w:r>
    </w:p>
    <w:p w14:paraId="5F8D600D">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《云南省人民政府贯彻落实国务院关于进一步加强企业安全生产工作通知的实施意见》（云政发〔2010〕157号）；</w:t>
      </w:r>
    </w:p>
    <w:p w14:paraId="04FE7179">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《云南省人民政府关于进一步加强安全生产工作的决定》（云政发〔2011〕229号）；</w:t>
      </w:r>
    </w:p>
    <w:p w14:paraId="55983F72">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lang w:eastAsia="zh-CN"/>
        </w:rPr>
        <w:t>《云南省生产安全事故应急办法》（省政府令第227号）</w:t>
      </w:r>
      <w:r>
        <w:rPr>
          <w:rFonts w:hint="eastAsia" w:ascii="宋体" w:hAnsi="宋体" w:eastAsia="宋体" w:cs="宋体"/>
          <w:snapToGrid w:val="0"/>
          <w:color w:val="auto"/>
          <w:sz w:val="28"/>
          <w:szCs w:val="28"/>
        </w:rPr>
        <w:t>；</w:t>
      </w:r>
      <w:bookmarkStart w:id="34" w:name="OLE_LINK3"/>
    </w:p>
    <w:p w14:paraId="2CAD16BB">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snapToGrid w:val="0"/>
          <w:color w:val="auto"/>
          <w:sz w:val="28"/>
          <w:szCs w:val="28"/>
          <w:lang w:eastAsia="zh-CN"/>
        </w:rPr>
      </w:pPr>
      <w:r>
        <w:rPr>
          <w:rFonts w:hint="eastAsia" w:ascii="宋体" w:hAnsi="宋体" w:eastAsia="宋体" w:cs="宋体"/>
          <w:snapToGrid w:val="0"/>
          <w:color w:val="auto"/>
          <w:sz w:val="28"/>
          <w:szCs w:val="28"/>
        </w:rPr>
        <w:t>《云南省安全生产监督管理局关于全面推进全省冶金等工贸行业企业安全生产标准化建设的实施意见》（云安监管（2013）29号）</w:t>
      </w:r>
      <w:bookmarkEnd w:id="34"/>
      <w:r>
        <w:rPr>
          <w:rFonts w:hint="eastAsia" w:ascii="宋体" w:hAnsi="宋体" w:eastAsia="宋体" w:cs="宋体"/>
          <w:snapToGrid w:val="0"/>
          <w:color w:val="auto"/>
          <w:sz w:val="28"/>
          <w:szCs w:val="28"/>
          <w:lang w:eastAsia="zh-CN"/>
        </w:rPr>
        <w:t>；</w:t>
      </w:r>
    </w:p>
    <w:p w14:paraId="3E37E22B">
      <w:pPr>
        <w:keepNext w:val="0"/>
        <w:keepLines w:val="0"/>
        <w:pageBreakBefore w:val="0"/>
        <w:widowControl w:val="0"/>
        <w:numPr>
          <w:ilvl w:val="0"/>
          <w:numId w:val="2"/>
        </w:numPr>
        <w:tabs>
          <w:tab w:val="left" w:pos="0"/>
          <w:tab w:val="left" w:pos="630"/>
          <w:tab w:val="left" w:pos="720"/>
        </w:tabs>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eastAsia="宋体" w:cs="宋体"/>
          <w:color w:val="auto"/>
          <w:spacing w:val="0"/>
          <w:position w:val="0"/>
          <w:sz w:val="28"/>
          <w:szCs w:val="28"/>
          <w:lang w:eastAsia="zh-CN"/>
        </w:rPr>
      </w:pPr>
      <w:r>
        <w:rPr>
          <w:rFonts w:hint="eastAsia" w:hAnsi="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云南省工贸安全生产治本攻坚三年行动实施方案（2024—2026年）</w:t>
      </w:r>
      <w:r>
        <w:rPr>
          <w:rFonts w:hint="eastAsia" w:hAnsi="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（云应急函〔2024〕40号）</w:t>
      </w:r>
      <w:r>
        <w:rPr>
          <w:rFonts w:hint="eastAsia" w:ascii="宋体" w:hAnsi="宋体" w:eastAsia="宋体" w:cs="宋体"/>
          <w:color w:val="auto"/>
          <w:spacing w:val="0"/>
          <w:position w:val="0"/>
          <w:sz w:val="28"/>
          <w:szCs w:val="28"/>
          <w:lang w:eastAsia="zh-CN"/>
        </w:rPr>
        <w:t>；</w:t>
      </w:r>
    </w:p>
    <w:p w14:paraId="79E1BDA0">
      <w:pPr>
        <w:keepNext w:val="0"/>
        <w:keepLines w:val="0"/>
        <w:pageBreakBefore w:val="0"/>
        <w:widowControl w:val="0"/>
        <w:numPr>
          <w:ilvl w:val="0"/>
          <w:numId w:val="2"/>
        </w:numPr>
        <w:tabs>
          <w:tab w:val="left" w:pos="0"/>
          <w:tab w:val="left" w:pos="630"/>
          <w:tab w:val="left" w:pos="720"/>
        </w:tabs>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eastAsia="宋体" w:cs="宋体"/>
          <w:color w:val="auto"/>
          <w:spacing w:val="0"/>
          <w:position w:val="0"/>
          <w:sz w:val="28"/>
          <w:szCs w:val="28"/>
          <w:lang w:val="en-US" w:eastAsia="zh-CN"/>
        </w:rPr>
      </w:pPr>
      <w:r>
        <w:rPr>
          <w:rFonts w:hint="eastAsia" w:ascii="宋体" w:hAnsi="宋体" w:eastAsia="宋体" w:cs="宋体"/>
          <w:color w:val="auto"/>
          <w:spacing w:val="0"/>
          <w:position w:val="0"/>
          <w:sz w:val="28"/>
          <w:szCs w:val="28"/>
          <w:lang w:val="en-US" w:eastAsia="zh-CN"/>
        </w:rPr>
        <w:t>《中共云南省委云南省人民政府关于推进安全生产领域改革发展的实施意见》（云政发（2017）22号）；</w:t>
      </w:r>
    </w:p>
    <w:p w14:paraId="115EA506">
      <w:pPr>
        <w:pStyle w:val="9"/>
        <w:keepNext w:val="0"/>
        <w:keepLines w:val="0"/>
        <w:pageBreakBefore w:val="0"/>
        <w:widowControl w:val="0"/>
        <w:numPr>
          <w:ilvl w:val="0"/>
          <w:numId w:val="2"/>
        </w:numPr>
        <w:kinsoku/>
        <w:wordWrap/>
        <w:overflowPunct/>
        <w:topLinePunct w:val="0"/>
        <w:autoSpaceDE/>
        <w:autoSpaceDN/>
        <w:bidi w:val="0"/>
        <w:adjustRightInd/>
        <w:spacing w:line="500" w:lineRule="exact"/>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pacing w:val="0"/>
          <w:position w:val="0"/>
          <w:sz w:val="28"/>
          <w:szCs w:val="28"/>
          <w:lang w:val="en-US" w:eastAsia="zh-CN"/>
        </w:rPr>
        <w:t>云南省安全生产监督管理局关于印发《云南省金属冶炼企业安全风险分级监管暂行管理办法（试行）的通知》（云安监管[2017]52号）；</w:t>
      </w:r>
    </w:p>
    <w:p w14:paraId="23E591D8">
      <w:pPr>
        <w:pStyle w:val="9"/>
        <w:keepNext w:val="0"/>
        <w:keepLines w:val="0"/>
        <w:pageBreakBefore w:val="0"/>
        <w:widowControl w:val="0"/>
        <w:numPr>
          <w:ilvl w:val="0"/>
          <w:numId w:val="2"/>
        </w:numPr>
        <w:kinsoku/>
        <w:wordWrap/>
        <w:overflowPunct/>
        <w:topLinePunct w:val="0"/>
        <w:autoSpaceDE/>
        <w:autoSpaceDN/>
        <w:bidi w:val="0"/>
        <w:adjustRightInd/>
        <w:spacing w:line="500" w:lineRule="exact"/>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pacing w:val="0"/>
          <w:position w:val="0"/>
          <w:sz w:val="28"/>
          <w:szCs w:val="28"/>
          <w:lang w:val="en-US" w:eastAsia="zh-CN"/>
        </w:rPr>
        <w:t>《云南省人民政府关于印发云南省生产经营单位安全生产主体责任规定的通知》（云政规〔2022〕4号）。</w:t>
      </w:r>
    </w:p>
    <w:p w14:paraId="3B695A79">
      <w:pPr>
        <w:pStyle w:val="4"/>
        <w:pageBreakBefore w:val="0"/>
        <w:widowControl w:val="0"/>
        <w:wordWrap/>
        <w:topLinePunct w:val="0"/>
        <w:autoSpaceDE/>
        <w:autoSpaceDN/>
        <w:bidi w:val="0"/>
        <w:snapToGrid w:val="0"/>
        <w:spacing w:before="20" w:after="20" w:line="500" w:lineRule="exact"/>
        <w:ind w:leftChars="0"/>
        <w:textAlignment w:val="auto"/>
        <w:rPr>
          <w:rFonts w:hint="eastAsia" w:ascii="宋体" w:hAnsi="宋体" w:eastAsia="宋体" w:cs="宋体"/>
          <w:snapToGrid w:val="0"/>
          <w:color w:val="auto"/>
          <w:kern w:val="0"/>
          <w:sz w:val="28"/>
          <w:szCs w:val="28"/>
        </w:rPr>
      </w:pPr>
      <w:bookmarkStart w:id="35" w:name="_Toc32169"/>
      <w:bookmarkStart w:id="36" w:name="_Toc31498"/>
      <w:bookmarkStart w:id="37" w:name="_Toc5259"/>
      <w:bookmarkStart w:id="38" w:name="_Toc335926129"/>
      <w:bookmarkStart w:id="39" w:name="_Toc7192"/>
      <w:r>
        <w:rPr>
          <w:rFonts w:hint="eastAsia" w:ascii="宋体" w:hAnsi="宋体" w:eastAsia="宋体" w:cs="宋体"/>
          <w:snapToGrid w:val="0"/>
          <w:color w:val="auto"/>
          <w:kern w:val="0"/>
          <w:sz w:val="28"/>
          <w:szCs w:val="28"/>
        </w:rPr>
        <w:t>1.2.5国家标准</w:t>
      </w:r>
      <w:bookmarkEnd w:id="35"/>
      <w:bookmarkEnd w:id="36"/>
      <w:bookmarkEnd w:id="37"/>
      <w:bookmarkEnd w:id="38"/>
      <w:bookmarkEnd w:id="39"/>
    </w:p>
    <w:p w14:paraId="703F6D1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1、《工业企业设计卫生标准》（GBZ1-2010）；</w:t>
      </w:r>
    </w:p>
    <w:p w14:paraId="5E428092">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2、《工业企业总平面设计规范》（GB50187-2012）；</w:t>
      </w:r>
    </w:p>
    <w:p w14:paraId="6F0CBED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hAnsi="宋体" w:cs="宋体"/>
          <w:snapToGrid w:val="0"/>
          <w:color w:val="auto"/>
          <w:sz w:val="28"/>
          <w:szCs w:val="30"/>
          <w:lang w:val="en-US" w:eastAsia="zh-CN"/>
        </w:rPr>
        <w:t>《建筑防火通用规范》（GB55037-2022）；</w:t>
      </w:r>
    </w:p>
    <w:p w14:paraId="2FC52C8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4、《生产过程安全卫生要求总则》（</w:t>
      </w:r>
      <w:r>
        <w:rPr>
          <w:rFonts w:hint="eastAsia" w:ascii="宋体" w:hAnsi="宋体" w:eastAsia="宋体" w:cs="宋体"/>
          <w:snapToGrid w:val="0"/>
          <w:color w:val="auto"/>
          <w:sz w:val="28"/>
          <w:szCs w:val="30"/>
          <w:lang w:eastAsia="zh-CN"/>
        </w:rPr>
        <w:t>GB/T12801-2008</w:t>
      </w:r>
      <w:r>
        <w:rPr>
          <w:rFonts w:hint="eastAsia" w:ascii="宋体" w:hAnsi="宋体" w:eastAsia="宋体" w:cs="宋体"/>
          <w:snapToGrid w:val="0"/>
          <w:color w:val="auto"/>
          <w:sz w:val="28"/>
          <w:szCs w:val="30"/>
        </w:rPr>
        <w:t>）；</w:t>
      </w:r>
    </w:p>
    <w:p w14:paraId="0310FD5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5、《生产设备安全卫生设计总则》（GB5083-</w:t>
      </w:r>
      <w:r>
        <w:rPr>
          <w:rFonts w:hint="eastAsia" w:hAnsi="宋体" w:cs="宋体"/>
          <w:snapToGrid w:val="0"/>
          <w:color w:val="auto"/>
          <w:sz w:val="28"/>
          <w:szCs w:val="30"/>
          <w:lang w:val="en-US" w:eastAsia="zh-CN"/>
        </w:rPr>
        <w:t>2023</w:t>
      </w:r>
      <w:r>
        <w:rPr>
          <w:rFonts w:hint="eastAsia" w:ascii="宋体" w:hAnsi="宋体" w:eastAsia="宋体" w:cs="宋体"/>
          <w:snapToGrid w:val="0"/>
          <w:color w:val="auto"/>
          <w:sz w:val="28"/>
          <w:szCs w:val="30"/>
        </w:rPr>
        <w:t>）；</w:t>
      </w:r>
    </w:p>
    <w:p w14:paraId="060BFC9C">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6、《工业企业厂内铁路、道路运输安全规程》（GB4387-2008）；</w:t>
      </w:r>
    </w:p>
    <w:p w14:paraId="7F6650C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7、《工业企业噪声控制设计规范》（GB/T50087-2013）；</w:t>
      </w:r>
    </w:p>
    <w:p w14:paraId="131113B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8、《</w:t>
      </w:r>
      <w:r>
        <w:rPr>
          <w:rFonts w:hint="eastAsia" w:ascii="宋体" w:hAnsi="宋体" w:eastAsia="宋体" w:cs="宋体"/>
          <w:snapToGrid w:val="0"/>
          <w:color w:val="auto"/>
          <w:sz w:val="28"/>
          <w:szCs w:val="30"/>
          <w:lang w:eastAsia="zh-CN"/>
        </w:rPr>
        <w:t>工业建筑防腐蚀设计标准</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GB/T50046-2018</w:t>
      </w:r>
      <w:r>
        <w:rPr>
          <w:rFonts w:hint="eastAsia" w:ascii="宋体" w:hAnsi="宋体" w:eastAsia="宋体" w:cs="宋体"/>
          <w:snapToGrid w:val="0"/>
          <w:color w:val="auto"/>
          <w:sz w:val="28"/>
          <w:szCs w:val="30"/>
        </w:rPr>
        <w:t>）；</w:t>
      </w:r>
    </w:p>
    <w:p w14:paraId="4FEC65A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9、《建筑照明设计标准》（GB50034-20</w:t>
      </w:r>
      <w:r>
        <w:rPr>
          <w:rFonts w:hint="eastAsia" w:hAnsi="宋体" w:cs="宋体"/>
          <w:snapToGrid w:val="0"/>
          <w:color w:val="auto"/>
          <w:sz w:val="28"/>
          <w:szCs w:val="30"/>
          <w:lang w:val="en-US" w:eastAsia="zh-CN"/>
        </w:rPr>
        <w:t>24</w:t>
      </w:r>
      <w:r>
        <w:rPr>
          <w:rFonts w:hint="eastAsia" w:ascii="宋体" w:hAnsi="宋体" w:eastAsia="宋体" w:cs="宋体"/>
          <w:snapToGrid w:val="0"/>
          <w:color w:val="auto"/>
          <w:sz w:val="28"/>
          <w:szCs w:val="30"/>
        </w:rPr>
        <w:t>）；</w:t>
      </w:r>
    </w:p>
    <w:p w14:paraId="38CCE1D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10、《厂矿道路设计规范》（GBJ22-1987）；</w:t>
      </w:r>
    </w:p>
    <w:p w14:paraId="74A21A7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11、《</w:t>
      </w:r>
      <w:r>
        <w:rPr>
          <w:rFonts w:hint="eastAsia" w:ascii="宋体" w:hAnsi="宋体" w:eastAsia="宋体" w:cs="宋体"/>
          <w:snapToGrid w:val="0"/>
          <w:color w:val="auto"/>
          <w:sz w:val="28"/>
          <w:szCs w:val="30"/>
          <w:lang w:eastAsia="zh-CN"/>
        </w:rPr>
        <w:t>工业管道的基本识别色、识别符号和安全标识》</w:t>
      </w:r>
      <w:r>
        <w:rPr>
          <w:rFonts w:hint="eastAsia" w:ascii="宋体" w:hAnsi="宋体" w:eastAsia="宋体" w:cs="宋体"/>
          <w:snapToGrid w:val="0"/>
          <w:color w:val="auto"/>
          <w:sz w:val="28"/>
          <w:szCs w:val="30"/>
        </w:rPr>
        <w:t>（GB7231-2003）；</w:t>
      </w:r>
    </w:p>
    <w:p w14:paraId="4961FCB5">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12、《企业职工伤亡事故分类》（</w:t>
      </w:r>
      <w:r>
        <w:rPr>
          <w:rFonts w:hint="eastAsia" w:ascii="宋体" w:hAnsi="宋体" w:eastAsia="宋体" w:cs="宋体"/>
          <w:snapToGrid w:val="0"/>
          <w:color w:val="auto"/>
          <w:sz w:val="28"/>
          <w:szCs w:val="30"/>
          <w:lang w:eastAsia="zh-CN"/>
        </w:rPr>
        <w:t>GB/T6441-1986</w:t>
      </w:r>
      <w:r>
        <w:rPr>
          <w:rFonts w:hint="eastAsia" w:ascii="宋体" w:hAnsi="宋体" w:eastAsia="宋体" w:cs="宋体"/>
          <w:snapToGrid w:val="0"/>
          <w:color w:val="auto"/>
          <w:sz w:val="28"/>
          <w:szCs w:val="30"/>
        </w:rPr>
        <w:t>）；</w:t>
      </w:r>
    </w:p>
    <w:p w14:paraId="1F9CE281">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13、《生产过程危险和有害因素分类与代码》（</w:t>
      </w:r>
      <w:r>
        <w:rPr>
          <w:rFonts w:hint="eastAsia" w:ascii="宋体" w:hAnsi="宋体" w:eastAsia="宋体" w:cs="宋体"/>
          <w:snapToGrid w:val="0"/>
          <w:color w:val="auto"/>
          <w:sz w:val="28"/>
          <w:szCs w:val="30"/>
          <w:lang w:eastAsia="zh-CN"/>
        </w:rPr>
        <w:t>GB/T13861-2022</w:t>
      </w:r>
      <w:r>
        <w:rPr>
          <w:rFonts w:hint="eastAsia" w:ascii="宋体" w:hAnsi="宋体" w:eastAsia="宋体" w:cs="宋体"/>
          <w:snapToGrid w:val="0"/>
          <w:color w:val="auto"/>
          <w:sz w:val="28"/>
          <w:szCs w:val="30"/>
        </w:rPr>
        <w:t>）；</w:t>
      </w:r>
    </w:p>
    <w:p w14:paraId="291432D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14、《建筑设计防火规范》（</w:t>
      </w:r>
      <w:r>
        <w:rPr>
          <w:rFonts w:hint="eastAsia" w:ascii="宋体" w:hAnsi="宋体" w:eastAsia="宋体" w:cs="宋体"/>
          <w:snapToGrid w:val="0"/>
          <w:color w:val="auto"/>
          <w:sz w:val="28"/>
          <w:szCs w:val="30"/>
          <w:lang w:eastAsia="zh-CN"/>
        </w:rPr>
        <w:t>GB50016-2014[2018年版]</w:t>
      </w:r>
      <w:r>
        <w:rPr>
          <w:rFonts w:hint="eastAsia" w:ascii="宋体" w:hAnsi="宋体" w:eastAsia="宋体" w:cs="宋体"/>
          <w:snapToGrid w:val="0"/>
          <w:color w:val="auto"/>
          <w:sz w:val="28"/>
          <w:szCs w:val="30"/>
        </w:rPr>
        <w:t>）；</w:t>
      </w:r>
    </w:p>
    <w:p w14:paraId="2182DB1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15、《</w:t>
      </w:r>
      <w:r>
        <w:rPr>
          <w:rFonts w:hint="eastAsia" w:ascii="宋体" w:hAnsi="宋体" w:eastAsia="宋体" w:cs="宋体"/>
          <w:snapToGrid w:val="0"/>
          <w:color w:val="auto"/>
          <w:sz w:val="28"/>
          <w:szCs w:val="30"/>
          <w:lang w:eastAsia="zh-CN"/>
        </w:rPr>
        <w:t>钢铁冶金企业设计防火标准</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GB50414-2018</w:t>
      </w:r>
      <w:r>
        <w:rPr>
          <w:rFonts w:hint="eastAsia" w:ascii="宋体" w:hAnsi="宋体" w:eastAsia="宋体" w:cs="宋体"/>
          <w:snapToGrid w:val="0"/>
          <w:color w:val="auto"/>
          <w:sz w:val="28"/>
          <w:szCs w:val="30"/>
        </w:rPr>
        <w:t>）；</w:t>
      </w:r>
    </w:p>
    <w:p w14:paraId="7229E59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16、《建筑物防雷设计规范》（GB50057-2010）；</w:t>
      </w:r>
    </w:p>
    <w:p w14:paraId="1F4C36D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17、《建筑灭火器配置设计规范》（GB50140-2005）；</w:t>
      </w:r>
    </w:p>
    <w:p w14:paraId="68C82EF0">
      <w:pPr>
        <w:pStyle w:val="9"/>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snapToGrid w:val="0"/>
          <w:color w:val="000000" w:themeColor="text1"/>
          <w:sz w:val="28"/>
          <w:szCs w:val="30"/>
          <w:shd w:val="clear" w:color="auto" w:fill="auto"/>
          <w14:textFill>
            <w14:solidFill>
              <w14:schemeClr w14:val="tx1"/>
            </w14:solidFill>
          </w14:textFill>
        </w:rPr>
      </w:pPr>
      <w:r>
        <w:rPr>
          <w:rFonts w:hint="eastAsia" w:ascii="宋体" w:hAnsi="宋体" w:eastAsia="宋体" w:cs="宋体"/>
          <w:snapToGrid w:val="0"/>
          <w:color w:val="000000" w:themeColor="text1"/>
          <w:sz w:val="28"/>
          <w:szCs w:val="30"/>
          <w:shd w:val="clear" w:color="auto" w:fill="auto"/>
          <w14:textFill>
            <w14:solidFill>
              <w14:schemeClr w14:val="tx1"/>
            </w14:solidFill>
          </w14:textFill>
        </w:rPr>
        <w:t>18、《建筑抗震设计规范》（</w:t>
      </w:r>
      <w:r>
        <w:rPr>
          <w:rFonts w:hint="eastAsia" w:ascii="宋体" w:hAnsi="宋体" w:eastAsia="宋体" w:cs="宋体"/>
          <w:snapToGrid w:val="0"/>
          <w:color w:val="000000" w:themeColor="text1"/>
          <w:sz w:val="28"/>
          <w:szCs w:val="30"/>
          <w:shd w:val="clear" w:color="auto" w:fill="auto"/>
          <w:lang w:eastAsia="zh-CN"/>
          <w14:textFill>
            <w14:solidFill>
              <w14:schemeClr w14:val="tx1"/>
            </w14:solidFill>
          </w14:textFill>
        </w:rPr>
        <w:t>GB50011-2010[20</w:t>
      </w:r>
      <w:r>
        <w:rPr>
          <w:rFonts w:hint="eastAsia" w:hAnsi="宋体" w:cs="宋体"/>
          <w:snapToGrid w:val="0"/>
          <w:color w:val="000000" w:themeColor="text1"/>
          <w:sz w:val="28"/>
          <w:szCs w:val="30"/>
          <w:shd w:val="clear" w:color="auto" w:fill="auto"/>
          <w:lang w:val="en-US" w:eastAsia="zh-CN"/>
          <w14:textFill>
            <w14:solidFill>
              <w14:schemeClr w14:val="tx1"/>
            </w14:solidFill>
          </w14:textFill>
        </w:rPr>
        <w:t>24</w:t>
      </w:r>
      <w:r>
        <w:rPr>
          <w:rFonts w:hint="eastAsia" w:ascii="宋体" w:hAnsi="宋体" w:eastAsia="宋体" w:cs="宋体"/>
          <w:snapToGrid w:val="0"/>
          <w:color w:val="000000" w:themeColor="text1"/>
          <w:sz w:val="28"/>
          <w:szCs w:val="30"/>
          <w:shd w:val="clear" w:color="auto" w:fill="auto"/>
          <w:lang w:eastAsia="zh-CN"/>
          <w14:textFill>
            <w14:solidFill>
              <w14:schemeClr w14:val="tx1"/>
            </w14:solidFill>
          </w14:textFill>
        </w:rPr>
        <w:t>年版]</w:t>
      </w:r>
      <w:r>
        <w:rPr>
          <w:rFonts w:hint="eastAsia" w:ascii="宋体" w:hAnsi="宋体" w:eastAsia="宋体" w:cs="宋体"/>
          <w:snapToGrid w:val="0"/>
          <w:color w:val="000000" w:themeColor="text1"/>
          <w:sz w:val="28"/>
          <w:szCs w:val="30"/>
          <w:shd w:val="clear" w:color="auto" w:fill="auto"/>
          <w14:textFill>
            <w14:solidFill>
              <w14:schemeClr w14:val="tx1"/>
            </w14:solidFill>
          </w14:textFill>
        </w:rPr>
        <w:t>）；</w:t>
      </w:r>
    </w:p>
    <w:p w14:paraId="7FC37FF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19、《密闭空间作业职业危害防护规范》（GBZ/T205-2007）；</w:t>
      </w:r>
    </w:p>
    <w:p w14:paraId="0771285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20、《构筑物抗震设计规范》（GB50191-2012）；</w:t>
      </w:r>
    </w:p>
    <w:p w14:paraId="504D8A5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21、《国家电气设备安全技术规范》（GB19517-2009）；</w:t>
      </w:r>
    </w:p>
    <w:p w14:paraId="70E60862">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22、《工作场所有害因素职业接触限值第2部分</w:t>
      </w:r>
      <w:r>
        <w:rPr>
          <w:rFonts w:hint="eastAsia" w:hAnsi="宋体" w:cs="宋体"/>
          <w:snapToGrid w:val="0"/>
          <w:color w:val="auto"/>
          <w:sz w:val="28"/>
          <w:szCs w:val="30"/>
          <w:lang w:eastAsia="zh-CN"/>
        </w:rPr>
        <w:t>：</w:t>
      </w:r>
      <w:r>
        <w:rPr>
          <w:rFonts w:hint="eastAsia" w:ascii="宋体" w:hAnsi="宋体" w:eastAsia="宋体" w:cs="宋体"/>
          <w:snapToGrid w:val="0"/>
          <w:color w:val="auto"/>
          <w:sz w:val="28"/>
          <w:szCs w:val="30"/>
        </w:rPr>
        <w:t>物理因素》(GBZ2.2-2007)；</w:t>
      </w:r>
    </w:p>
    <w:p w14:paraId="4D3CA24D">
      <w:pPr>
        <w:keepNext w:val="0"/>
        <w:keepLines w:val="0"/>
        <w:pageBreakBefore w:val="0"/>
        <w:widowControl w:val="0"/>
        <w:kinsoku w:val="0"/>
        <w:wordWrap/>
        <w:overflowPunct w:val="0"/>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23、《工作场所职业病危害作业分级第1部分</w:t>
      </w:r>
      <w:r>
        <w:rPr>
          <w:rFonts w:hint="eastAsia" w:ascii="宋体" w:hAnsi="宋体" w:eastAsia="宋体" w:cs="宋体"/>
          <w:snapToGrid w:val="0"/>
          <w:color w:val="auto"/>
          <w:sz w:val="28"/>
          <w:szCs w:val="30"/>
          <w:lang w:eastAsia="zh-CN"/>
        </w:rPr>
        <w:t>：</w:t>
      </w:r>
      <w:r>
        <w:rPr>
          <w:rFonts w:hint="eastAsia" w:ascii="宋体" w:hAnsi="宋体" w:eastAsia="宋体" w:cs="宋体"/>
          <w:snapToGrid w:val="0"/>
          <w:color w:val="auto"/>
          <w:sz w:val="28"/>
          <w:szCs w:val="30"/>
        </w:rPr>
        <w:t>生产性粉尘》（GBZ/T229.</w:t>
      </w:r>
      <w:r>
        <w:rPr>
          <w:rFonts w:hint="eastAsia" w:hAnsi="宋体" w:cs="宋体"/>
          <w:snapToGrid w:val="0"/>
          <w:color w:val="auto"/>
          <w:sz w:val="28"/>
          <w:szCs w:val="30"/>
          <w:lang w:val="en-US" w:eastAsia="zh-CN"/>
        </w:rPr>
        <w:t>1</w:t>
      </w:r>
      <w:r>
        <w:rPr>
          <w:rFonts w:hint="eastAsia" w:ascii="宋体" w:hAnsi="宋体" w:eastAsia="宋体" w:cs="宋体"/>
          <w:snapToGrid w:val="0"/>
          <w:color w:val="auto"/>
          <w:sz w:val="28"/>
          <w:szCs w:val="30"/>
        </w:rPr>
        <w:t>-2010）；</w:t>
      </w:r>
    </w:p>
    <w:p w14:paraId="1D8C56A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24、《工作场所职业病危害作业分级第4部分</w:t>
      </w:r>
      <w:r>
        <w:rPr>
          <w:rFonts w:hint="eastAsia" w:ascii="宋体" w:hAnsi="宋体" w:eastAsia="宋体" w:cs="宋体"/>
          <w:snapToGrid w:val="0"/>
          <w:color w:val="auto"/>
          <w:sz w:val="28"/>
          <w:szCs w:val="30"/>
          <w:lang w:eastAsia="zh-CN"/>
        </w:rPr>
        <w:t>：</w:t>
      </w:r>
      <w:r>
        <w:rPr>
          <w:rFonts w:hint="eastAsia" w:ascii="宋体" w:hAnsi="宋体" w:eastAsia="宋体" w:cs="宋体"/>
          <w:snapToGrid w:val="0"/>
          <w:color w:val="auto"/>
          <w:sz w:val="28"/>
          <w:szCs w:val="30"/>
        </w:rPr>
        <w:t>噪音》（GBZ/T229.</w:t>
      </w:r>
      <w:r>
        <w:rPr>
          <w:rFonts w:hint="eastAsia" w:hAnsi="宋体" w:cs="宋体"/>
          <w:snapToGrid w:val="0"/>
          <w:color w:val="auto"/>
          <w:sz w:val="28"/>
          <w:szCs w:val="30"/>
          <w:lang w:val="en-US" w:eastAsia="zh-CN"/>
        </w:rPr>
        <w:t>4</w:t>
      </w:r>
      <w:r>
        <w:rPr>
          <w:rFonts w:hint="eastAsia" w:ascii="宋体" w:hAnsi="宋体" w:eastAsia="宋体" w:cs="宋体"/>
          <w:snapToGrid w:val="0"/>
          <w:color w:val="auto"/>
          <w:sz w:val="28"/>
          <w:szCs w:val="30"/>
        </w:rPr>
        <w:t>-2012）；</w:t>
      </w:r>
    </w:p>
    <w:p w14:paraId="6C509BF5">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25、《</w:t>
      </w:r>
      <w:r>
        <w:rPr>
          <w:rFonts w:hint="eastAsia" w:ascii="宋体" w:hAnsi="宋体" w:eastAsia="宋体" w:cs="宋体"/>
          <w:snapToGrid w:val="0"/>
          <w:color w:val="auto"/>
          <w:sz w:val="28"/>
          <w:szCs w:val="30"/>
          <w:lang w:eastAsia="zh-CN"/>
        </w:rPr>
        <w:t>室外排水设计标准</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GB50014-2021</w:t>
      </w:r>
      <w:r>
        <w:rPr>
          <w:rFonts w:hint="eastAsia" w:ascii="宋体" w:hAnsi="宋体" w:eastAsia="宋体" w:cs="宋体"/>
          <w:snapToGrid w:val="0"/>
          <w:color w:val="auto"/>
          <w:sz w:val="28"/>
          <w:szCs w:val="30"/>
        </w:rPr>
        <w:t>）；</w:t>
      </w:r>
    </w:p>
    <w:p w14:paraId="504164F5">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26、《危险化学品重大危险源辨识》（GB18218-20</w:t>
      </w:r>
      <w:r>
        <w:rPr>
          <w:rFonts w:hint="eastAsia" w:ascii="宋体" w:hAnsi="宋体" w:eastAsia="宋体" w:cs="宋体"/>
          <w:snapToGrid w:val="0"/>
          <w:color w:val="auto"/>
          <w:sz w:val="28"/>
          <w:szCs w:val="30"/>
          <w:lang w:val="en-US" w:eastAsia="zh-CN"/>
        </w:rPr>
        <w:t>18</w:t>
      </w:r>
      <w:r>
        <w:rPr>
          <w:rFonts w:hint="eastAsia" w:ascii="宋体" w:hAnsi="宋体" w:eastAsia="宋体" w:cs="宋体"/>
          <w:snapToGrid w:val="0"/>
          <w:color w:val="auto"/>
          <w:sz w:val="28"/>
          <w:szCs w:val="30"/>
        </w:rPr>
        <w:t>）；</w:t>
      </w:r>
    </w:p>
    <w:p w14:paraId="6D8D1DE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27、《安全色》（GB2893-2008）；</w:t>
      </w:r>
    </w:p>
    <w:p w14:paraId="48D0F23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28、《安全标志及其使用导则》（GB2894-2008）；</w:t>
      </w:r>
    </w:p>
    <w:p w14:paraId="32533BA0">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29、《</w:t>
      </w:r>
      <w:r>
        <w:rPr>
          <w:rFonts w:hint="eastAsia" w:ascii="宋体" w:hAnsi="宋体" w:eastAsia="宋体" w:cs="宋体"/>
          <w:snapToGrid w:val="0"/>
          <w:color w:val="auto"/>
          <w:sz w:val="28"/>
          <w:szCs w:val="30"/>
          <w:lang w:eastAsia="zh-CN"/>
        </w:rPr>
        <w:t>消防安全标志第1部分：标志</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GB13495.1-2015</w:t>
      </w:r>
      <w:r>
        <w:rPr>
          <w:rFonts w:hint="eastAsia" w:ascii="宋体" w:hAnsi="宋体" w:eastAsia="宋体" w:cs="宋体"/>
          <w:snapToGrid w:val="0"/>
          <w:color w:val="auto"/>
          <w:sz w:val="28"/>
          <w:szCs w:val="30"/>
        </w:rPr>
        <w:t>）；</w:t>
      </w:r>
    </w:p>
    <w:p w14:paraId="5BF8D705">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30、《消防安全标志设置要求》（GB15630-1995）；</w:t>
      </w:r>
    </w:p>
    <w:p w14:paraId="43EF536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31、《用电安全导则》（</w:t>
      </w:r>
      <w:r>
        <w:rPr>
          <w:rFonts w:hint="eastAsia" w:ascii="宋体" w:hAnsi="宋体" w:eastAsia="宋体" w:cs="宋体"/>
          <w:snapToGrid w:val="0"/>
          <w:color w:val="auto"/>
          <w:sz w:val="28"/>
          <w:szCs w:val="30"/>
          <w:lang w:eastAsia="zh-CN"/>
        </w:rPr>
        <w:t>GB/T13869-2017</w:t>
      </w:r>
      <w:r>
        <w:rPr>
          <w:rFonts w:hint="eastAsia" w:ascii="宋体" w:hAnsi="宋体" w:eastAsia="宋体" w:cs="宋体"/>
          <w:snapToGrid w:val="0"/>
          <w:color w:val="auto"/>
          <w:sz w:val="28"/>
          <w:szCs w:val="30"/>
        </w:rPr>
        <w:t>）；</w:t>
      </w:r>
    </w:p>
    <w:p w14:paraId="2CFA8B0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33、《通用用电设备配电设计规范》</w:t>
      </w:r>
      <w:r>
        <w:rPr>
          <w:rFonts w:hint="eastAsia" w:ascii="宋体" w:hAnsi="宋体" w:eastAsia="宋体" w:cs="宋体"/>
          <w:snapToGrid w:val="0"/>
          <w:color w:val="auto"/>
          <w:sz w:val="28"/>
          <w:szCs w:val="30"/>
          <w:lang w:eastAsia="zh-CN"/>
        </w:rPr>
        <w:t>(</w:t>
      </w:r>
      <w:r>
        <w:rPr>
          <w:rFonts w:hint="eastAsia" w:ascii="宋体" w:hAnsi="宋体" w:eastAsia="宋体" w:cs="宋体"/>
          <w:snapToGrid w:val="0"/>
          <w:color w:val="auto"/>
          <w:sz w:val="28"/>
          <w:szCs w:val="30"/>
        </w:rPr>
        <w:t>GB50055-2011)；</w:t>
      </w:r>
    </w:p>
    <w:p w14:paraId="01A57DC0">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34、《供配电系统设计规范》（GB50052-2009）；</w:t>
      </w:r>
    </w:p>
    <w:p w14:paraId="33289E3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35、《低压配电设计规范》（GB50054-2011）；</w:t>
      </w:r>
    </w:p>
    <w:p w14:paraId="134697E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36、《防止静电事故通用导则》（GB12158-2006）；</w:t>
      </w:r>
    </w:p>
    <w:p w14:paraId="29AD0790">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hAnsi="宋体" w:cs="宋体"/>
          <w:snapToGrid w:val="0"/>
          <w:color w:val="auto"/>
          <w:sz w:val="28"/>
          <w:szCs w:val="30"/>
          <w:lang w:val="en-US" w:eastAsia="zh-CN"/>
        </w:rPr>
        <w:t>7</w:t>
      </w:r>
      <w:r>
        <w:rPr>
          <w:rFonts w:hint="eastAsia" w:ascii="宋体" w:hAnsi="宋体" w:eastAsia="宋体" w:cs="宋体"/>
          <w:snapToGrid w:val="0"/>
          <w:color w:val="auto"/>
          <w:sz w:val="28"/>
          <w:szCs w:val="30"/>
        </w:rPr>
        <w:t>、《易燃易爆性商品储存养护技术条件》（GB17914-2013）；</w:t>
      </w:r>
    </w:p>
    <w:p w14:paraId="4351849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3</w:t>
      </w:r>
      <w:r>
        <w:rPr>
          <w:rFonts w:hint="eastAsia" w:hAnsi="宋体" w:cs="宋体"/>
          <w:snapToGrid w:val="0"/>
          <w:color w:val="auto"/>
          <w:sz w:val="28"/>
          <w:szCs w:val="30"/>
          <w:lang w:val="en-US" w:eastAsia="zh-CN"/>
        </w:rPr>
        <w:t>8</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机械安全防护装置固定式和活动式防护装置的设计与制造一般要求</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GB/T8196-2018</w:t>
      </w:r>
      <w:r>
        <w:rPr>
          <w:rFonts w:hint="eastAsia" w:ascii="宋体" w:hAnsi="宋体" w:eastAsia="宋体" w:cs="宋体"/>
          <w:snapToGrid w:val="0"/>
          <w:color w:val="auto"/>
          <w:sz w:val="28"/>
          <w:szCs w:val="30"/>
        </w:rPr>
        <w:t>）；</w:t>
      </w:r>
    </w:p>
    <w:p w14:paraId="112A20A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hAnsi="宋体" w:cs="宋体"/>
          <w:snapToGrid w:val="0"/>
          <w:color w:val="auto"/>
          <w:sz w:val="28"/>
          <w:szCs w:val="30"/>
          <w:lang w:val="en-US" w:eastAsia="zh-CN"/>
        </w:rPr>
        <w:t>39</w:t>
      </w:r>
      <w:r>
        <w:rPr>
          <w:rFonts w:hint="eastAsia" w:ascii="宋体" w:hAnsi="宋体" w:eastAsia="宋体" w:cs="宋体"/>
          <w:snapToGrid w:val="0"/>
          <w:color w:val="auto"/>
          <w:sz w:val="28"/>
          <w:szCs w:val="30"/>
        </w:rPr>
        <w:t>、《固定式钢梯及平台安全要求第1部分：钢直梯》（GB4053.1-2009）；</w:t>
      </w:r>
    </w:p>
    <w:p w14:paraId="0C5C192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w:t>
      </w:r>
      <w:r>
        <w:rPr>
          <w:rFonts w:hint="eastAsia" w:hAnsi="宋体" w:cs="宋体"/>
          <w:snapToGrid w:val="0"/>
          <w:color w:val="auto"/>
          <w:sz w:val="28"/>
          <w:szCs w:val="30"/>
          <w:lang w:val="en-US" w:eastAsia="zh-CN"/>
        </w:rPr>
        <w:t>0</w:t>
      </w:r>
      <w:r>
        <w:rPr>
          <w:rFonts w:hint="eastAsia" w:ascii="宋体" w:hAnsi="宋体" w:eastAsia="宋体" w:cs="宋体"/>
          <w:snapToGrid w:val="0"/>
          <w:color w:val="auto"/>
          <w:sz w:val="28"/>
          <w:szCs w:val="30"/>
        </w:rPr>
        <w:t>、《固定式钢梯及平台安全要求第2部分：钢斜梯》（GB4053.2-2009）；</w:t>
      </w:r>
    </w:p>
    <w:p w14:paraId="51790BB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w:t>
      </w:r>
      <w:r>
        <w:rPr>
          <w:rFonts w:hint="eastAsia" w:hAnsi="宋体" w:cs="宋体"/>
          <w:snapToGrid w:val="0"/>
          <w:color w:val="auto"/>
          <w:sz w:val="28"/>
          <w:szCs w:val="30"/>
          <w:lang w:val="en-US" w:eastAsia="zh-CN"/>
        </w:rPr>
        <w:t>1</w:t>
      </w:r>
      <w:r>
        <w:rPr>
          <w:rFonts w:hint="eastAsia" w:ascii="宋体" w:hAnsi="宋体" w:eastAsia="宋体" w:cs="宋体"/>
          <w:snapToGrid w:val="0"/>
          <w:color w:val="auto"/>
          <w:sz w:val="28"/>
          <w:szCs w:val="30"/>
        </w:rPr>
        <w:t>、《固定式钢梯及平台安全要求第3部分：工业防护栏杆及钢平台》（GB4053.3-2009）；</w:t>
      </w:r>
    </w:p>
    <w:p w14:paraId="275A0190">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w:t>
      </w:r>
      <w:r>
        <w:rPr>
          <w:rFonts w:hint="eastAsia" w:hAnsi="宋体" w:cs="宋体"/>
          <w:snapToGrid w:val="0"/>
          <w:color w:val="auto"/>
          <w:sz w:val="28"/>
          <w:szCs w:val="30"/>
          <w:lang w:val="en-US" w:eastAsia="zh-CN"/>
        </w:rPr>
        <w:t>2</w:t>
      </w:r>
      <w:r>
        <w:rPr>
          <w:rFonts w:hint="eastAsia" w:ascii="宋体" w:hAnsi="宋体" w:eastAsia="宋体" w:cs="宋体"/>
          <w:snapToGrid w:val="0"/>
          <w:color w:val="auto"/>
          <w:sz w:val="28"/>
          <w:szCs w:val="30"/>
        </w:rPr>
        <w:t>、《起重机械安全规程第1部分：总则》（</w:t>
      </w:r>
      <w:r>
        <w:rPr>
          <w:rFonts w:hint="eastAsia" w:ascii="宋体" w:hAnsi="宋体" w:eastAsia="宋体" w:cs="宋体"/>
          <w:snapToGrid w:val="0"/>
          <w:color w:val="auto"/>
          <w:sz w:val="28"/>
          <w:szCs w:val="30"/>
          <w:lang w:eastAsia="zh-CN"/>
        </w:rPr>
        <w:t>GB/T6067.1-2010</w:t>
      </w:r>
      <w:r>
        <w:rPr>
          <w:rFonts w:hint="eastAsia" w:ascii="宋体" w:hAnsi="宋体" w:eastAsia="宋体" w:cs="宋体"/>
          <w:snapToGrid w:val="0"/>
          <w:color w:val="auto"/>
          <w:sz w:val="28"/>
          <w:szCs w:val="30"/>
        </w:rPr>
        <w:t>）；</w:t>
      </w:r>
    </w:p>
    <w:p w14:paraId="72E2B64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lang w:eastAsia="zh-CN"/>
        </w:rPr>
      </w:pPr>
      <w:r>
        <w:rPr>
          <w:rFonts w:hint="eastAsia" w:ascii="宋体" w:hAnsi="宋体" w:eastAsia="宋体" w:cs="宋体"/>
          <w:snapToGrid w:val="0"/>
          <w:color w:val="auto"/>
          <w:sz w:val="28"/>
          <w:szCs w:val="30"/>
          <w:lang w:val="en-US" w:eastAsia="zh-CN"/>
        </w:rPr>
        <w:t>4</w:t>
      </w:r>
      <w:r>
        <w:rPr>
          <w:rFonts w:hint="eastAsia" w:hAnsi="宋体" w:cs="宋体"/>
          <w:snapToGrid w:val="0"/>
          <w:color w:val="auto"/>
          <w:sz w:val="28"/>
          <w:szCs w:val="30"/>
          <w:lang w:val="en-US" w:eastAsia="zh-CN"/>
        </w:rPr>
        <w:t>3</w:t>
      </w:r>
      <w:r>
        <w:rPr>
          <w:rFonts w:hint="eastAsia" w:ascii="宋体" w:hAnsi="宋体" w:eastAsia="宋体" w:cs="宋体"/>
          <w:snapToGrid w:val="0"/>
          <w:color w:val="auto"/>
          <w:sz w:val="28"/>
          <w:szCs w:val="30"/>
          <w:lang w:val="en-US" w:eastAsia="zh-CN"/>
        </w:rPr>
        <w:t>、</w:t>
      </w:r>
      <w:r>
        <w:rPr>
          <w:rFonts w:hint="eastAsia" w:ascii="宋体" w:hAnsi="宋体" w:eastAsia="宋体" w:cs="宋体"/>
          <w:snapToGrid w:val="0"/>
          <w:color w:val="auto"/>
          <w:sz w:val="28"/>
          <w:szCs w:val="30"/>
        </w:rPr>
        <w:t>《生产经营单位生产安全事故应急预案编制导则》（</w:t>
      </w:r>
      <w:r>
        <w:rPr>
          <w:rFonts w:hint="eastAsia" w:ascii="宋体" w:hAnsi="宋体" w:eastAsia="宋体" w:cs="宋体"/>
          <w:snapToGrid w:val="0"/>
          <w:color w:val="auto"/>
          <w:sz w:val="28"/>
          <w:szCs w:val="30"/>
          <w:lang w:eastAsia="zh-CN"/>
        </w:rPr>
        <w:t>GB/T29639-2020</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w:t>
      </w:r>
    </w:p>
    <w:p w14:paraId="74CC9581">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lang w:eastAsia="zh-CN"/>
        </w:rPr>
      </w:pPr>
      <w:r>
        <w:rPr>
          <w:rFonts w:hint="eastAsia" w:ascii="宋体" w:hAnsi="宋体" w:eastAsia="宋体" w:cs="宋体"/>
          <w:snapToGrid w:val="0"/>
          <w:color w:val="auto"/>
          <w:sz w:val="28"/>
          <w:szCs w:val="30"/>
          <w:lang w:val="en-US" w:eastAsia="zh-CN"/>
        </w:rPr>
        <w:t>4</w:t>
      </w:r>
      <w:r>
        <w:rPr>
          <w:rFonts w:hint="eastAsia" w:hAnsi="宋体" w:cs="宋体"/>
          <w:snapToGrid w:val="0"/>
          <w:color w:val="auto"/>
          <w:sz w:val="28"/>
          <w:szCs w:val="30"/>
          <w:lang w:val="en-US" w:eastAsia="zh-CN"/>
        </w:rPr>
        <w:t>4</w:t>
      </w:r>
      <w:r>
        <w:rPr>
          <w:rFonts w:hint="eastAsia" w:ascii="宋体" w:hAnsi="宋体" w:eastAsia="宋体" w:cs="宋体"/>
          <w:snapToGrid w:val="0"/>
          <w:color w:val="auto"/>
          <w:sz w:val="28"/>
          <w:szCs w:val="30"/>
          <w:lang w:val="en-US" w:eastAsia="zh-CN"/>
        </w:rPr>
        <w:t>、</w:t>
      </w:r>
      <w:r>
        <w:rPr>
          <w:rFonts w:hint="eastAsia" w:hAnsi="宋体" w:cs="宋体"/>
          <w:snapToGrid w:val="0"/>
          <w:color w:val="auto"/>
          <w:sz w:val="28"/>
          <w:szCs w:val="30"/>
          <w:lang w:val="en-US" w:eastAsia="zh-CN"/>
        </w:rPr>
        <w:t>《机械电气安全 机械电气设备 第1部分：通用技术条件》（GB/T 5226.1-2019）</w:t>
      </w:r>
    </w:p>
    <w:p w14:paraId="380A3C8F">
      <w:pPr>
        <w:pStyle w:val="4"/>
        <w:pageBreakBefore w:val="0"/>
        <w:widowControl w:val="0"/>
        <w:wordWrap/>
        <w:topLinePunct w:val="0"/>
        <w:autoSpaceDE/>
        <w:autoSpaceDN/>
        <w:bidi w:val="0"/>
        <w:snapToGrid w:val="0"/>
        <w:spacing w:before="20" w:after="20" w:line="500" w:lineRule="exact"/>
        <w:ind w:leftChars="0"/>
        <w:textAlignment w:val="auto"/>
        <w:rPr>
          <w:rFonts w:hint="eastAsia" w:ascii="宋体" w:hAnsi="宋体" w:eastAsia="宋体" w:cs="宋体"/>
          <w:snapToGrid w:val="0"/>
          <w:color w:val="auto"/>
          <w:kern w:val="0"/>
          <w:sz w:val="28"/>
          <w:szCs w:val="28"/>
        </w:rPr>
      </w:pPr>
      <w:bookmarkStart w:id="40" w:name="_Toc7909"/>
      <w:bookmarkStart w:id="41" w:name="_Toc10936"/>
      <w:bookmarkStart w:id="42" w:name="_Toc32469"/>
      <w:bookmarkStart w:id="43" w:name="_Toc26320"/>
      <w:r>
        <w:rPr>
          <w:rFonts w:hint="eastAsia" w:ascii="宋体" w:hAnsi="宋体" w:eastAsia="宋体" w:cs="宋体"/>
          <w:snapToGrid w:val="0"/>
          <w:color w:val="auto"/>
          <w:kern w:val="0"/>
          <w:sz w:val="28"/>
          <w:szCs w:val="28"/>
        </w:rPr>
        <w:t>1.2.6行业标准</w:t>
      </w:r>
      <w:bookmarkEnd w:id="40"/>
      <w:bookmarkEnd w:id="41"/>
      <w:bookmarkEnd w:id="42"/>
      <w:bookmarkEnd w:id="43"/>
    </w:p>
    <w:p w14:paraId="022CAC51">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1、《</w:t>
      </w:r>
      <w:r>
        <w:rPr>
          <w:rFonts w:hint="eastAsia" w:hAnsi="宋体"/>
          <w:snapToGrid w:val="0"/>
          <w:color w:val="auto"/>
          <w:sz w:val="28"/>
          <w:szCs w:val="30"/>
          <w:lang w:eastAsia="zh-CN"/>
        </w:rPr>
        <w:t>固定式压力容器安全技术监察规程</w:t>
      </w:r>
      <w:r>
        <w:rPr>
          <w:rFonts w:hint="eastAsia" w:hAnsi="宋体"/>
          <w:snapToGrid w:val="0"/>
          <w:color w:val="auto"/>
          <w:sz w:val="28"/>
          <w:szCs w:val="30"/>
        </w:rPr>
        <w:t>》（</w:t>
      </w:r>
      <w:r>
        <w:rPr>
          <w:rFonts w:hint="eastAsia" w:hAnsi="宋体"/>
          <w:snapToGrid w:val="0"/>
          <w:color w:val="auto"/>
          <w:sz w:val="28"/>
          <w:szCs w:val="30"/>
          <w:lang w:eastAsia="zh-CN"/>
        </w:rPr>
        <w:t>TSG21-2016</w:t>
      </w:r>
      <w:r>
        <w:rPr>
          <w:rFonts w:hint="eastAsia" w:hAnsi="宋体"/>
          <w:snapToGrid w:val="0"/>
          <w:color w:val="auto"/>
          <w:sz w:val="28"/>
          <w:szCs w:val="30"/>
        </w:rPr>
        <w:t>）；</w:t>
      </w:r>
    </w:p>
    <w:p w14:paraId="5901783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2</w:t>
      </w:r>
      <w:r>
        <w:rPr>
          <w:rFonts w:hint="eastAsia" w:hAnsi="宋体"/>
          <w:snapToGrid w:val="0"/>
          <w:color w:val="auto"/>
          <w:sz w:val="28"/>
          <w:szCs w:val="30"/>
        </w:rPr>
        <w:t>、《压力管道安全技术监察规程—工业管道》（TSGD0001-2009）；</w:t>
      </w:r>
    </w:p>
    <w:p w14:paraId="1D4031F2">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3</w:t>
      </w:r>
      <w:r>
        <w:rPr>
          <w:rFonts w:hint="eastAsia" w:hAnsi="宋体"/>
          <w:snapToGrid w:val="0"/>
          <w:color w:val="auto"/>
          <w:sz w:val="28"/>
          <w:szCs w:val="30"/>
        </w:rPr>
        <w:t>、《安全评价通则》（AQ8001-2007）；</w:t>
      </w:r>
    </w:p>
    <w:p w14:paraId="77D17D5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4</w:t>
      </w:r>
      <w:r>
        <w:rPr>
          <w:rFonts w:hint="eastAsia" w:hAnsi="宋体"/>
          <w:snapToGrid w:val="0"/>
          <w:color w:val="auto"/>
          <w:sz w:val="28"/>
          <w:szCs w:val="30"/>
        </w:rPr>
        <w:t>、《</w:t>
      </w:r>
      <w:r>
        <w:rPr>
          <w:rFonts w:hint="eastAsia" w:hAnsi="宋体"/>
          <w:snapToGrid w:val="0"/>
          <w:color w:val="auto"/>
          <w:sz w:val="28"/>
          <w:szCs w:val="30"/>
          <w:lang w:eastAsia="zh-CN"/>
        </w:rPr>
        <w:t>生产安全事故应急演练基本规范</w:t>
      </w:r>
      <w:r>
        <w:rPr>
          <w:rFonts w:hint="eastAsia" w:hAnsi="宋体"/>
          <w:snapToGrid w:val="0"/>
          <w:color w:val="auto"/>
          <w:sz w:val="28"/>
          <w:szCs w:val="30"/>
        </w:rPr>
        <w:t>》（</w:t>
      </w:r>
      <w:r>
        <w:rPr>
          <w:rFonts w:hint="eastAsia" w:hAnsi="宋体"/>
          <w:snapToGrid w:val="0"/>
          <w:color w:val="auto"/>
          <w:sz w:val="28"/>
          <w:szCs w:val="30"/>
          <w:lang w:eastAsia="zh-CN"/>
        </w:rPr>
        <w:t>AQ/T9007-2019</w:t>
      </w:r>
      <w:r>
        <w:rPr>
          <w:rFonts w:hint="eastAsia" w:hAnsi="宋体"/>
          <w:snapToGrid w:val="0"/>
          <w:color w:val="auto"/>
          <w:sz w:val="28"/>
          <w:szCs w:val="30"/>
        </w:rPr>
        <w:t>）。</w:t>
      </w:r>
    </w:p>
    <w:p w14:paraId="5DA5EA52">
      <w:pPr>
        <w:pageBreakBefore w:val="0"/>
        <w:widowControl w:val="0"/>
        <w:wordWrap/>
        <w:topLinePunct w:val="0"/>
        <w:autoSpaceDE/>
        <w:autoSpaceDN/>
        <w:bidi w:val="0"/>
        <w:spacing w:line="500" w:lineRule="exact"/>
        <w:ind w:firstLine="560" w:firstLineChars="200"/>
        <w:jc w:val="left"/>
        <w:textAlignment w:val="auto"/>
        <w:rPr>
          <w:rFonts w:hint="eastAsia" w:hAnsi="宋体"/>
          <w:snapToGrid w:val="0"/>
          <w:sz w:val="28"/>
          <w:szCs w:val="30"/>
        </w:rPr>
      </w:pPr>
      <w:r>
        <w:rPr>
          <w:rFonts w:hint="eastAsia" w:hAnsi="宋体"/>
          <w:snapToGrid w:val="0"/>
          <w:sz w:val="28"/>
          <w:szCs w:val="30"/>
          <w:lang w:val="en-US" w:eastAsia="zh-CN"/>
        </w:rPr>
        <w:t>5、</w:t>
      </w:r>
      <w:r>
        <w:rPr>
          <w:rFonts w:hint="eastAsia" w:hAnsi="宋体"/>
          <w:snapToGrid w:val="0"/>
          <w:sz w:val="28"/>
          <w:szCs w:val="30"/>
        </w:rPr>
        <w:t>《起重机械安全技术规程》（TSG 51-2023）；</w:t>
      </w:r>
    </w:p>
    <w:p w14:paraId="1DFB0023">
      <w:pPr>
        <w:pageBreakBefore w:val="0"/>
        <w:widowControl w:val="0"/>
        <w:wordWrap/>
        <w:topLinePunct w:val="0"/>
        <w:autoSpaceDE/>
        <w:autoSpaceDN/>
        <w:bidi w:val="0"/>
        <w:spacing w:line="500" w:lineRule="exact"/>
        <w:ind w:firstLine="560" w:firstLineChars="200"/>
        <w:jc w:val="left"/>
        <w:textAlignment w:val="auto"/>
        <w:rPr>
          <w:rFonts w:hint="eastAsia" w:hAnsi="宋体"/>
          <w:snapToGrid w:val="0"/>
          <w:color w:val="auto"/>
          <w:sz w:val="28"/>
          <w:szCs w:val="30"/>
        </w:rPr>
      </w:pPr>
      <w:r>
        <w:rPr>
          <w:rFonts w:hint="eastAsia" w:hAnsi="宋体"/>
          <w:snapToGrid w:val="0"/>
          <w:sz w:val="28"/>
          <w:szCs w:val="30"/>
          <w:lang w:val="en-US" w:eastAsia="zh-CN"/>
        </w:rPr>
        <w:t>6</w:t>
      </w:r>
      <w:r>
        <w:rPr>
          <w:rFonts w:hint="eastAsia" w:hAnsi="宋体"/>
          <w:snapToGrid w:val="0"/>
          <w:sz w:val="28"/>
          <w:szCs w:val="30"/>
        </w:rPr>
        <w:t>、《特种设备使用管理规则》（TSG 08-2017）。</w:t>
      </w:r>
    </w:p>
    <w:p w14:paraId="4C72DD81">
      <w:pPr>
        <w:pStyle w:val="4"/>
        <w:pageBreakBefore w:val="0"/>
        <w:widowControl w:val="0"/>
        <w:kinsoku/>
        <w:wordWrap/>
        <w:overflowPunct/>
        <w:topLinePunct w:val="0"/>
        <w:autoSpaceDE/>
        <w:autoSpaceDN/>
        <w:bidi w:val="0"/>
        <w:adjustRightInd/>
        <w:snapToGrid w:val="0"/>
        <w:spacing w:before="0" w:after="0" w:line="500" w:lineRule="exact"/>
        <w:ind w:leftChars="0"/>
        <w:textAlignment w:val="auto"/>
        <w:rPr>
          <w:rFonts w:hint="eastAsia" w:ascii="宋体" w:hAnsi="宋体" w:eastAsia="宋体" w:cs="宋体"/>
          <w:snapToGrid w:val="0"/>
          <w:color w:val="auto"/>
          <w:kern w:val="0"/>
          <w:sz w:val="28"/>
          <w:szCs w:val="28"/>
        </w:rPr>
      </w:pPr>
      <w:bookmarkStart w:id="44" w:name="_Toc2065"/>
      <w:bookmarkStart w:id="45" w:name="_Toc3750"/>
      <w:bookmarkStart w:id="46" w:name="_Toc313453425"/>
      <w:bookmarkStart w:id="47" w:name="_Toc21773"/>
      <w:bookmarkStart w:id="48" w:name="_Toc32007"/>
      <w:bookmarkStart w:id="49" w:name="_Toc335926130"/>
      <w:r>
        <w:rPr>
          <w:rFonts w:hint="eastAsia" w:ascii="宋体" w:hAnsi="宋体" w:eastAsia="宋体" w:cs="宋体"/>
          <w:snapToGrid w:val="0"/>
          <w:color w:val="auto"/>
          <w:kern w:val="0"/>
          <w:sz w:val="28"/>
          <w:szCs w:val="28"/>
        </w:rPr>
        <w:t>1.2.7其他相关参考资料</w:t>
      </w:r>
      <w:bookmarkEnd w:id="44"/>
      <w:bookmarkEnd w:id="45"/>
      <w:bookmarkEnd w:id="46"/>
      <w:bookmarkEnd w:id="47"/>
      <w:bookmarkEnd w:id="48"/>
      <w:bookmarkEnd w:id="49"/>
    </w:p>
    <w:p w14:paraId="3D8E4C8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w:t>
      </w:r>
      <w:r>
        <w:rPr>
          <w:rFonts w:hint="eastAsia" w:hAnsi="宋体" w:cs="宋体"/>
          <w:snapToGrid w:val="0"/>
          <w:color w:val="auto"/>
          <w:sz w:val="28"/>
          <w:szCs w:val="30"/>
          <w:lang w:val="en-US" w:eastAsia="zh-CN"/>
        </w:rPr>
        <w:t>玉溪正宇智能科技有限公司</w:t>
      </w:r>
      <w:r>
        <w:rPr>
          <w:rFonts w:hint="eastAsia" w:ascii="宋体" w:hAnsi="宋体" w:eastAsia="宋体" w:cs="宋体"/>
          <w:snapToGrid w:val="0"/>
          <w:color w:val="auto"/>
          <w:sz w:val="28"/>
          <w:szCs w:val="30"/>
        </w:rPr>
        <w:t>委托</w:t>
      </w:r>
      <w:r>
        <w:rPr>
          <w:rFonts w:hint="eastAsia" w:ascii="宋体" w:hAnsi="宋体" w:eastAsia="宋体" w:cs="宋体"/>
          <w:snapToGrid w:val="0"/>
          <w:color w:val="auto"/>
          <w:sz w:val="28"/>
          <w:szCs w:val="30"/>
          <w:highlight w:val="none"/>
          <w:lang w:eastAsia="zh-CN"/>
        </w:rPr>
        <w:t>昭通市鼎安科技有限公司</w:t>
      </w:r>
      <w:r>
        <w:rPr>
          <w:rFonts w:hint="eastAsia" w:ascii="宋体" w:hAnsi="宋体" w:eastAsia="宋体" w:cs="宋体"/>
          <w:snapToGrid w:val="0"/>
          <w:color w:val="auto"/>
          <w:sz w:val="28"/>
          <w:szCs w:val="30"/>
        </w:rPr>
        <w:t>进行安全评价的《委托书》；</w:t>
      </w:r>
    </w:p>
    <w:p w14:paraId="6EF449F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2、与本项目有关技术文件、资料和图片；类似工程资料及参考文献；</w:t>
      </w:r>
    </w:p>
    <w:p w14:paraId="0694EE9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3、业主提供的相关证照及项目运行管理资料等。</w:t>
      </w:r>
    </w:p>
    <w:p w14:paraId="7E9E5DE8">
      <w:pPr>
        <w:keepNext w:val="0"/>
        <w:keepLines w:val="0"/>
        <w:pageBreakBefore w:val="0"/>
        <w:widowControl w:val="0"/>
        <w:kinsoku/>
        <w:wordWrap/>
        <w:overflowPunct/>
        <w:topLinePunct w:val="0"/>
        <w:autoSpaceDE/>
        <w:autoSpaceDN/>
        <w:bidi w:val="0"/>
        <w:adjustRightInd/>
        <w:snapToGrid/>
        <w:spacing w:line="500" w:lineRule="exact"/>
        <w:jc w:val="left"/>
        <w:textAlignment w:val="auto"/>
        <w:outlineLvl w:val="1"/>
        <w:rPr>
          <w:rFonts w:hint="eastAsia" w:ascii="宋体" w:hAnsi="宋体" w:eastAsia="宋体" w:cs="宋体"/>
          <w:sz w:val="30"/>
          <w:szCs w:val="30"/>
        </w:rPr>
      </w:pPr>
      <w:bookmarkStart w:id="50" w:name="_Toc4553"/>
      <w:r>
        <w:rPr>
          <w:rFonts w:hint="eastAsia" w:ascii="宋体" w:hAnsi="宋体" w:eastAsia="宋体" w:cs="宋体"/>
          <w:b/>
          <w:bCs/>
          <w:spacing w:val="1"/>
          <w:sz w:val="30"/>
          <w:szCs w:val="30"/>
        </w:rPr>
        <w:t>1.</w:t>
      </w:r>
      <w:r>
        <w:rPr>
          <w:rFonts w:hint="eastAsia" w:ascii="宋体" w:hAnsi="宋体" w:eastAsia="宋体" w:cs="宋体"/>
          <w:b/>
          <w:bCs/>
          <w:spacing w:val="1"/>
          <w:sz w:val="30"/>
          <w:szCs w:val="30"/>
          <w:lang w:val="en-US" w:eastAsia="zh-CN"/>
        </w:rPr>
        <w:t>3</w:t>
      </w:r>
      <w:r>
        <w:rPr>
          <w:rFonts w:hint="eastAsia" w:ascii="宋体" w:hAnsi="宋体" w:eastAsia="宋体" w:cs="宋体"/>
          <w:b/>
          <w:bCs/>
          <w:spacing w:val="1"/>
          <w:sz w:val="30"/>
          <w:szCs w:val="30"/>
        </w:rPr>
        <w:t>评价原则及范围</w:t>
      </w:r>
      <w:bookmarkEnd w:id="50"/>
    </w:p>
    <w:p w14:paraId="7EA586C1">
      <w:pPr>
        <w:keepNext w:val="0"/>
        <w:keepLines w:val="0"/>
        <w:pageBreakBefore w:val="0"/>
        <w:widowControl w:val="0"/>
        <w:kinsoku/>
        <w:wordWrap/>
        <w:overflowPunct/>
        <w:topLinePunct w:val="0"/>
        <w:autoSpaceDE/>
        <w:autoSpaceDN/>
        <w:bidi w:val="0"/>
        <w:adjustRightInd/>
        <w:snapToGrid/>
        <w:spacing w:line="500" w:lineRule="exact"/>
        <w:ind w:left="0" w:right="0"/>
        <w:textAlignment w:val="auto"/>
        <w:outlineLvl w:val="2"/>
        <w:rPr>
          <w:rFonts w:hint="eastAsia" w:ascii="宋体" w:hAnsi="宋体" w:eastAsia="宋体" w:cs="宋体"/>
          <w:sz w:val="28"/>
          <w:szCs w:val="28"/>
        </w:rPr>
      </w:pPr>
      <w:bookmarkStart w:id="51" w:name="_Toc11611"/>
      <w:r>
        <w:rPr>
          <w:rFonts w:hint="eastAsia" w:ascii="宋体" w:hAnsi="宋体" w:eastAsia="宋体" w:cs="宋体"/>
          <w:b/>
          <w:bCs/>
          <w:spacing w:val="-1"/>
          <w:sz w:val="28"/>
          <w:szCs w:val="28"/>
        </w:rPr>
        <w:t>1.</w:t>
      </w:r>
      <w:r>
        <w:rPr>
          <w:rFonts w:hint="eastAsia" w:ascii="宋体" w:hAnsi="宋体" w:eastAsia="宋体" w:cs="宋体"/>
          <w:b/>
          <w:bCs/>
          <w:spacing w:val="-1"/>
          <w:sz w:val="28"/>
          <w:szCs w:val="28"/>
          <w:lang w:val="en-US" w:eastAsia="zh-CN"/>
        </w:rPr>
        <w:t>3</w:t>
      </w:r>
      <w:r>
        <w:rPr>
          <w:rFonts w:hint="eastAsia" w:ascii="宋体" w:hAnsi="宋体" w:eastAsia="宋体" w:cs="宋体"/>
          <w:b/>
          <w:bCs/>
          <w:spacing w:val="-1"/>
          <w:sz w:val="28"/>
          <w:szCs w:val="28"/>
        </w:rPr>
        <w:t>.1评价原则</w:t>
      </w:r>
      <w:bookmarkEnd w:id="51"/>
    </w:p>
    <w:p w14:paraId="1C80DB07">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textAlignment w:val="auto"/>
        <w:rPr>
          <w:rFonts w:ascii="宋体" w:hAnsi="宋体" w:eastAsia="宋体" w:cs="宋体"/>
          <w:spacing w:val="0"/>
          <w:sz w:val="28"/>
          <w:szCs w:val="28"/>
        </w:rPr>
      </w:pPr>
      <w:r>
        <w:rPr>
          <w:rFonts w:ascii="宋体" w:hAnsi="宋体" w:eastAsia="宋体" w:cs="宋体"/>
          <w:spacing w:val="0"/>
          <w:sz w:val="28"/>
          <w:szCs w:val="28"/>
        </w:rPr>
        <w:t>昭通市鼎安科技有限公司在对该项目进行安全评价工作中，始终坚持以下原则：</w:t>
      </w:r>
    </w:p>
    <w:p w14:paraId="1E1FFAC6">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ascii="宋体" w:hAnsi="宋体" w:eastAsia="宋体" w:cs="宋体"/>
          <w:spacing w:val="0"/>
          <w:sz w:val="28"/>
          <w:szCs w:val="28"/>
        </w:rPr>
      </w:pPr>
      <w:r>
        <w:rPr>
          <w:rFonts w:ascii="宋体" w:hAnsi="宋体" w:eastAsia="宋体" w:cs="宋体"/>
          <w:spacing w:val="0"/>
          <w:sz w:val="28"/>
          <w:szCs w:val="28"/>
        </w:rPr>
        <w:t>1.严格执行国家现行有关法律、法规、标准和规范的要求，保证对该企业申请安全生产许可证应当具备的安全生产条件进行科学、公正、合法、自主的评价；</w:t>
      </w:r>
    </w:p>
    <w:p w14:paraId="2DEDA6FF">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textAlignment w:val="auto"/>
        <w:rPr>
          <w:rFonts w:ascii="宋体" w:hAnsi="宋体" w:eastAsia="宋体" w:cs="宋体"/>
          <w:spacing w:val="0"/>
          <w:sz w:val="28"/>
          <w:szCs w:val="28"/>
        </w:rPr>
      </w:pPr>
      <w:r>
        <w:rPr>
          <w:rFonts w:ascii="宋体" w:hAnsi="宋体" w:eastAsia="宋体" w:cs="宋体"/>
          <w:spacing w:val="0"/>
          <w:sz w:val="28"/>
          <w:szCs w:val="28"/>
        </w:rPr>
        <w:t>2.执行行业及地方现行有关法规、标准、规范和政策的要求，保证评价与当地经济发展的适应性；</w:t>
      </w:r>
    </w:p>
    <w:p w14:paraId="35B47AE5">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textAlignment w:val="auto"/>
        <w:rPr>
          <w:rFonts w:ascii="宋体" w:hAnsi="宋体" w:eastAsia="宋体" w:cs="宋体"/>
          <w:spacing w:val="0"/>
          <w:sz w:val="28"/>
          <w:szCs w:val="28"/>
        </w:rPr>
      </w:pPr>
      <w:r>
        <w:rPr>
          <w:rFonts w:ascii="宋体" w:hAnsi="宋体" w:eastAsia="宋体" w:cs="宋体"/>
          <w:spacing w:val="0"/>
          <w:sz w:val="28"/>
          <w:szCs w:val="28"/>
        </w:rPr>
        <w:t>3.采用可靠、适用的评价技术和评价方法，保证评价的针对性</w:t>
      </w:r>
      <w:r>
        <w:rPr>
          <w:rFonts w:hint="eastAsia" w:ascii="宋体" w:hAnsi="宋体" w:eastAsia="宋体" w:cs="宋体"/>
          <w:spacing w:val="0"/>
          <w:sz w:val="28"/>
          <w:szCs w:val="28"/>
          <w:lang w:eastAsia="zh-CN"/>
        </w:rPr>
        <w:t>，</w:t>
      </w:r>
      <w:r>
        <w:rPr>
          <w:rFonts w:ascii="宋体" w:hAnsi="宋体" w:eastAsia="宋体" w:cs="宋体"/>
          <w:spacing w:val="0"/>
          <w:sz w:val="28"/>
          <w:szCs w:val="28"/>
        </w:rPr>
        <w:t>确保评价质量；</w:t>
      </w:r>
    </w:p>
    <w:p w14:paraId="1FF53EEC">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textAlignment w:val="auto"/>
        <w:rPr>
          <w:rFonts w:hint="eastAsia" w:ascii="宋体" w:hAnsi="宋体" w:eastAsia="宋体" w:cs="宋体"/>
          <w:b/>
          <w:bCs/>
          <w:spacing w:val="-1"/>
          <w:sz w:val="28"/>
          <w:szCs w:val="28"/>
        </w:rPr>
      </w:pPr>
      <w:r>
        <w:rPr>
          <w:rFonts w:ascii="宋体" w:hAnsi="宋体" w:eastAsia="宋体" w:cs="宋体"/>
          <w:spacing w:val="0"/>
          <w:sz w:val="28"/>
          <w:szCs w:val="28"/>
        </w:rPr>
        <w:t>4.恪守职业道德，遵循诚实守信的原则，对被评价企业的技术资料和商业运作保密。</w:t>
      </w:r>
    </w:p>
    <w:p w14:paraId="66D0F421">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rPr>
      </w:pPr>
      <w:bookmarkStart w:id="52" w:name="_Toc30083"/>
      <w:r>
        <w:rPr>
          <w:rFonts w:hint="eastAsia" w:ascii="宋体" w:hAnsi="宋体" w:eastAsia="宋体" w:cs="宋体"/>
          <w:b/>
          <w:bCs/>
          <w:spacing w:val="-1"/>
          <w:sz w:val="28"/>
          <w:szCs w:val="28"/>
        </w:rPr>
        <w:t>1.</w:t>
      </w:r>
      <w:r>
        <w:rPr>
          <w:rFonts w:hint="eastAsia" w:ascii="宋体" w:hAnsi="宋体" w:eastAsia="宋体" w:cs="宋体"/>
          <w:b/>
          <w:bCs/>
          <w:spacing w:val="-1"/>
          <w:sz w:val="28"/>
          <w:szCs w:val="28"/>
          <w:lang w:val="en-US" w:eastAsia="zh-CN"/>
        </w:rPr>
        <w:t>3</w:t>
      </w:r>
      <w:r>
        <w:rPr>
          <w:rFonts w:hint="eastAsia" w:ascii="宋体" w:hAnsi="宋体" w:eastAsia="宋体" w:cs="宋体"/>
          <w:b/>
          <w:bCs/>
          <w:spacing w:val="-1"/>
          <w:sz w:val="28"/>
          <w:szCs w:val="28"/>
        </w:rPr>
        <w:t>.2评价范围</w:t>
      </w:r>
      <w:bookmarkEnd w:id="52"/>
    </w:p>
    <w:p w14:paraId="280B358D">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rPr>
          <w:rFonts w:ascii="宋体" w:hAnsi="宋体" w:eastAsia="宋体" w:cs="宋体"/>
          <w:sz w:val="28"/>
          <w:szCs w:val="28"/>
        </w:rPr>
      </w:pPr>
      <w:r>
        <w:rPr>
          <w:rFonts w:hint="eastAsia" w:ascii="宋体" w:hAnsi="宋体" w:eastAsia="宋体" w:cs="宋体"/>
          <w:spacing w:val="0"/>
          <w:sz w:val="28"/>
          <w:szCs w:val="28"/>
        </w:rPr>
        <w:t>本次安全现状评价的范围为</w:t>
      </w:r>
      <w:r>
        <w:rPr>
          <w:rFonts w:hint="eastAsia" w:hAnsi="宋体" w:cs="宋体"/>
          <w:spacing w:val="0"/>
          <w:sz w:val="28"/>
          <w:szCs w:val="28"/>
          <w:lang w:val="en-US" w:eastAsia="zh-CN"/>
        </w:rPr>
        <w:t>玉溪正宇智能科技有限公司</w:t>
      </w:r>
      <w:r>
        <w:rPr>
          <w:rFonts w:hint="eastAsia" w:ascii="宋体" w:hAnsi="宋体" w:eastAsia="宋体" w:cs="宋体"/>
          <w:spacing w:val="0"/>
          <w:sz w:val="28"/>
          <w:szCs w:val="28"/>
        </w:rPr>
        <w:t>机床制造工艺技术</w:t>
      </w:r>
      <w:r>
        <w:rPr>
          <w:rFonts w:hint="eastAsia" w:ascii="宋体" w:hAnsi="宋体" w:eastAsia="宋体" w:cs="宋体"/>
          <w:spacing w:val="0"/>
          <w:sz w:val="28"/>
          <w:szCs w:val="28"/>
          <w:lang w:eastAsia="zh-CN"/>
        </w:rPr>
        <w:t>，</w:t>
      </w:r>
      <w:r>
        <w:rPr>
          <w:rFonts w:hint="eastAsia" w:ascii="宋体" w:hAnsi="宋体" w:eastAsia="宋体" w:cs="宋体"/>
          <w:spacing w:val="0"/>
          <w:sz w:val="28"/>
          <w:szCs w:val="28"/>
        </w:rPr>
        <w:t>装配、检测等工序组合而成的专业化生产线</w:t>
      </w:r>
      <w:r>
        <w:rPr>
          <w:rFonts w:hint="eastAsia" w:ascii="宋体" w:hAnsi="宋体" w:eastAsia="宋体" w:cs="宋体"/>
          <w:spacing w:val="0"/>
          <w:sz w:val="28"/>
          <w:szCs w:val="28"/>
          <w:lang w:val="en-US" w:eastAsia="zh-CN"/>
        </w:rPr>
        <w:t>项目的</w:t>
      </w:r>
      <w:r>
        <w:rPr>
          <w:rFonts w:hint="eastAsia" w:ascii="宋体" w:hAnsi="宋体" w:eastAsia="宋体" w:cs="宋体"/>
          <w:spacing w:val="0"/>
          <w:sz w:val="28"/>
          <w:szCs w:val="28"/>
        </w:rPr>
        <w:t>生产作业场所如区域位置、平面布置、主体工程、生产设备现状、安全卫生配套设施等的安全现状，以及该公司安全生产管理措施落实、安全生产管理机构、安全生产责任制和规章制度建设、从业人员培训、安全投入、工伤保险、职业危害防治与劳动保护、事故应急救援等，并依据国家有关法律、法规、标准、规范等提出合理可行的安全对策措施及建议。</w:t>
      </w:r>
    </w:p>
    <w:p w14:paraId="52056F47">
      <w:pPr>
        <w:keepNext w:val="0"/>
        <w:keepLines w:val="0"/>
        <w:pageBreakBefore w:val="0"/>
        <w:widowControl w:val="0"/>
        <w:kinsoku/>
        <w:wordWrap/>
        <w:overflowPunct/>
        <w:topLinePunct w:val="0"/>
        <w:autoSpaceDE/>
        <w:autoSpaceDN/>
        <w:bidi w:val="0"/>
        <w:adjustRightInd/>
        <w:snapToGrid/>
        <w:spacing w:line="500" w:lineRule="exact"/>
        <w:ind w:left="0" w:right="0" w:firstLine="556" w:firstLineChars="200"/>
        <w:textAlignment w:val="auto"/>
        <w:rPr>
          <w:rFonts w:ascii="宋体" w:hAnsi="宋体" w:eastAsia="宋体" w:cs="宋体"/>
          <w:sz w:val="28"/>
          <w:szCs w:val="28"/>
        </w:rPr>
      </w:pPr>
      <w:r>
        <w:rPr>
          <w:rFonts w:ascii="宋体" w:hAnsi="宋体" w:eastAsia="宋体" w:cs="宋体"/>
          <w:spacing w:val="-1"/>
          <w:sz w:val="28"/>
          <w:szCs w:val="28"/>
        </w:rPr>
        <w:t>本次安全现状评价</w:t>
      </w:r>
      <w:r>
        <w:rPr>
          <w:rFonts w:hint="eastAsia" w:hAnsi="宋体" w:cs="宋体"/>
          <w:spacing w:val="-1"/>
          <w:sz w:val="28"/>
          <w:szCs w:val="28"/>
          <w:lang w:eastAsia="zh-CN"/>
        </w:rPr>
        <w:t>，</w:t>
      </w:r>
      <w:r>
        <w:rPr>
          <w:rFonts w:ascii="宋体" w:hAnsi="宋体" w:eastAsia="宋体" w:cs="宋体"/>
          <w:spacing w:val="-1"/>
          <w:sz w:val="28"/>
          <w:szCs w:val="28"/>
        </w:rPr>
        <w:t>不包含：</w:t>
      </w:r>
    </w:p>
    <w:p w14:paraId="03396F3A">
      <w:pPr>
        <w:keepNext w:val="0"/>
        <w:keepLines w:val="0"/>
        <w:pageBreakBefore w:val="0"/>
        <w:widowControl w:val="0"/>
        <w:kinsoku/>
        <w:wordWrap/>
        <w:overflowPunct/>
        <w:topLinePunct w:val="0"/>
        <w:autoSpaceDE/>
        <w:autoSpaceDN/>
        <w:bidi w:val="0"/>
        <w:adjustRightInd/>
        <w:snapToGrid/>
        <w:spacing w:line="500" w:lineRule="exact"/>
        <w:ind w:left="0" w:right="0" w:firstLine="544" w:firstLineChars="200"/>
        <w:textAlignment w:val="auto"/>
        <w:rPr>
          <w:rFonts w:hint="eastAsia" w:ascii="宋体" w:hAnsi="宋体" w:eastAsia="宋体" w:cs="宋体"/>
          <w:sz w:val="28"/>
          <w:szCs w:val="28"/>
          <w:lang w:eastAsia="zh-CN"/>
        </w:rPr>
      </w:pPr>
      <w:r>
        <w:rPr>
          <w:rFonts w:ascii="宋体" w:hAnsi="宋体" w:eastAsia="宋体" w:cs="宋体"/>
          <w:spacing w:val="-4"/>
          <w:sz w:val="28"/>
          <w:szCs w:val="28"/>
        </w:rPr>
        <w:t>1)企业产品在生产现场外的运输作业、环境保护</w:t>
      </w:r>
      <w:r>
        <w:rPr>
          <w:rFonts w:ascii="宋体" w:hAnsi="宋体" w:eastAsia="宋体" w:cs="宋体"/>
          <w:spacing w:val="-5"/>
          <w:sz w:val="28"/>
          <w:szCs w:val="28"/>
        </w:rPr>
        <w:t>、地质灾害</w:t>
      </w:r>
      <w:r>
        <w:rPr>
          <w:rFonts w:hint="eastAsia" w:hAnsi="宋体" w:cs="宋体"/>
          <w:spacing w:val="-5"/>
          <w:sz w:val="28"/>
          <w:szCs w:val="28"/>
          <w:lang w:eastAsia="zh-CN"/>
        </w:rPr>
        <w:t>；</w:t>
      </w:r>
    </w:p>
    <w:p w14:paraId="28458D65">
      <w:pPr>
        <w:keepNext w:val="0"/>
        <w:keepLines w:val="0"/>
        <w:pageBreakBefore w:val="0"/>
        <w:widowControl w:val="0"/>
        <w:kinsoku/>
        <w:wordWrap/>
        <w:overflowPunct/>
        <w:topLinePunct w:val="0"/>
        <w:autoSpaceDE/>
        <w:autoSpaceDN/>
        <w:bidi w:val="0"/>
        <w:adjustRightInd/>
        <w:snapToGrid/>
        <w:spacing w:line="500" w:lineRule="exact"/>
        <w:ind w:left="0" w:right="0" w:firstLine="552" w:firstLineChars="200"/>
        <w:textAlignment w:val="auto"/>
        <w:rPr>
          <w:rFonts w:ascii="宋体" w:hAnsi="宋体" w:eastAsia="宋体" w:cs="宋体"/>
          <w:sz w:val="28"/>
          <w:szCs w:val="28"/>
        </w:rPr>
      </w:pPr>
      <w:r>
        <w:rPr>
          <w:rFonts w:ascii="宋体" w:hAnsi="宋体" w:eastAsia="宋体" w:cs="宋体"/>
          <w:spacing w:val="-2"/>
          <w:sz w:val="28"/>
          <w:szCs w:val="28"/>
        </w:rPr>
        <w:t>2)企业产品的经营活动。</w:t>
      </w:r>
    </w:p>
    <w:p w14:paraId="7ECC4A87">
      <w:pPr>
        <w:keepNext w:val="0"/>
        <w:keepLines w:val="0"/>
        <w:pageBreakBefore w:val="0"/>
        <w:widowControl w:val="0"/>
        <w:kinsoku w:val="0"/>
        <w:wordWrap/>
        <w:overflowPunct/>
        <w:topLinePunct w:val="0"/>
        <w:autoSpaceDE/>
        <w:autoSpaceDN/>
        <w:bidi w:val="0"/>
        <w:adjustRightInd/>
        <w:snapToGrid/>
        <w:spacing w:line="500" w:lineRule="exact"/>
        <w:ind w:left="0" w:right="0" w:firstLine="560" w:firstLineChars="200"/>
        <w:jc w:val="both"/>
        <w:textAlignment w:val="auto"/>
        <w:rPr>
          <w:rFonts w:hint="eastAsia" w:ascii="宋体" w:hAnsi="宋体" w:eastAsia="宋体" w:cs="宋体"/>
          <w:spacing w:val="0"/>
          <w:sz w:val="28"/>
          <w:szCs w:val="28"/>
          <w:lang w:eastAsia="zh-CN"/>
        </w:rPr>
      </w:pPr>
      <w:r>
        <w:rPr>
          <w:rFonts w:ascii="宋体" w:hAnsi="宋体" w:eastAsia="宋体" w:cs="宋体"/>
          <w:spacing w:val="0"/>
          <w:sz w:val="28"/>
          <w:szCs w:val="28"/>
        </w:rPr>
        <w:t>涉及环境保护、职业卫生及职业病防治、消防及外部运输的问题不在本次安全评价范围内，但在评价过程中会有所提及。有关这些方面的问题，企业在建设和生产过程中应严格执行国家相关法律、法规、标准和规范要求</w:t>
      </w:r>
      <w:r>
        <w:rPr>
          <w:rFonts w:hint="eastAsia" w:hAnsi="宋体" w:cs="宋体"/>
          <w:spacing w:val="0"/>
          <w:sz w:val="28"/>
          <w:szCs w:val="28"/>
          <w:lang w:eastAsia="zh-CN"/>
        </w:rPr>
        <w:t>。</w:t>
      </w:r>
    </w:p>
    <w:p w14:paraId="0DF9E679">
      <w:pPr>
        <w:pStyle w:val="3"/>
        <w:keepNext/>
        <w:keepLines/>
        <w:pageBreakBefore w:val="0"/>
        <w:widowControl w:val="0"/>
        <w:kinsoku/>
        <w:wordWrap/>
        <w:overflowPunct/>
        <w:topLinePunct w:val="0"/>
        <w:autoSpaceDE/>
        <w:autoSpaceDN/>
        <w:bidi w:val="0"/>
        <w:adjustRightInd/>
        <w:snapToGrid w:val="0"/>
        <w:spacing w:before="0" w:after="0" w:line="500" w:lineRule="exact"/>
        <w:textAlignment w:val="auto"/>
        <w:rPr>
          <w:rFonts w:hint="eastAsia" w:ascii="宋体" w:hAnsi="宋体" w:eastAsia="宋体" w:cs="宋体"/>
          <w:b/>
          <w:bCs/>
          <w:color w:val="auto"/>
          <w:kern w:val="0"/>
          <w:sz w:val="30"/>
          <w:szCs w:val="30"/>
        </w:rPr>
      </w:pPr>
      <w:bookmarkStart w:id="53" w:name="_Toc28936"/>
      <w:bookmarkStart w:id="54" w:name="_Toc30414"/>
      <w:bookmarkStart w:id="55" w:name="_Toc23522"/>
      <w:r>
        <w:rPr>
          <w:rFonts w:hint="eastAsia" w:ascii="宋体" w:hAnsi="宋体" w:eastAsia="宋体" w:cs="宋体"/>
          <w:b/>
          <w:bCs/>
          <w:color w:val="auto"/>
          <w:kern w:val="0"/>
          <w:sz w:val="30"/>
          <w:szCs w:val="30"/>
        </w:rPr>
        <w:t>1.</w:t>
      </w:r>
      <w:r>
        <w:rPr>
          <w:rFonts w:hint="eastAsia" w:ascii="宋体" w:hAnsi="宋体" w:eastAsia="宋体" w:cs="宋体"/>
          <w:b/>
          <w:bCs/>
          <w:color w:val="auto"/>
          <w:kern w:val="0"/>
          <w:sz w:val="30"/>
          <w:szCs w:val="30"/>
          <w:lang w:val="en-US" w:eastAsia="zh-CN"/>
        </w:rPr>
        <w:t>4</w:t>
      </w:r>
      <w:r>
        <w:rPr>
          <w:rFonts w:hint="eastAsia" w:ascii="宋体" w:hAnsi="宋体" w:eastAsia="宋体" w:cs="宋体"/>
          <w:b/>
          <w:bCs/>
          <w:color w:val="auto"/>
          <w:kern w:val="0"/>
          <w:sz w:val="30"/>
          <w:szCs w:val="30"/>
        </w:rPr>
        <w:t>评价程序</w:t>
      </w:r>
      <w:bookmarkEnd w:id="53"/>
      <w:bookmarkEnd w:id="54"/>
      <w:bookmarkEnd w:id="55"/>
    </w:p>
    <w:p w14:paraId="56216C76">
      <w:pPr>
        <w:keepNext w:val="0"/>
        <w:keepLines w:val="0"/>
        <w:pageBreakBefore w:val="0"/>
        <w:widowControl w:val="0"/>
        <w:kinsoku/>
        <w:wordWrap/>
        <w:overflowPunct/>
        <w:topLinePunct w:val="0"/>
        <w:autoSpaceDE/>
        <w:autoSpaceDN/>
        <w:bidi w:val="0"/>
        <w:adjustRightInd w:val="0"/>
        <w:snapToGrid w:val="0"/>
        <w:spacing w:line="5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本项目安全现状评价工作程序如图1-1所示。评价工作分为三个阶段：</w:t>
      </w:r>
    </w:p>
    <w:p w14:paraId="773237E0">
      <w:pPr>
        <w:keepNext w:val="0"/>
        <w:keepLines w:val="0"/>
        <w:pageBreakBefore w:val="0"/>
        <w:widowControl w:val="0"/>
        <w:kinsoku/>
        <w:wordWrap/>
        <w:overflowPunct/>
        <w:topLinePunct w:val="0"/>
        <w:autoSpaceDE/>
        <w:autoSpaceDN/>
        <w:bidi w:val="0"/>
        <w:adjustRightInd w:val="0"/>
        <w:snapToGrid w:val="0"/>
        <w:spacing w:line="5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第一阶段为准备阶段，主要收集有关资料，进行初步的危险、危害因素识别，选择评价方法，编制评价大纲；</w:t>
      </w:r>
    </w:p>
    <w:p w14:paraId="74AF5EE5">
      <w:pPr>
        <w:keepNext w:val="0"/>
        <w:keepLines w:val="0"/>
        <w:pageBreakBefore w:val="0"/>
        <w:widowControl w:val="0"/>
        <w:kinsoku/>
        <w:wordWrap/>
        <w:overflowPunct/>
        <w:topLinePunct w:val="0"/>
        <w:autoSpaceDE/>
        <w:autoSpaceDN/>
        <w:bidi w:val="0"/>
        <w:adjustRightInd w:val="0"/>
        <w:snapToGrid w:val="0"/>
        <w:spacing w:line="5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第二阶段为实施评价阶段，对工程安全情况进行类比调查，运用合适的评价方法进行定性及定量分析，提出安全对策措施；</w:t>
      </w:r>
    </w:p>
    <w:p w14:paraId="19DE5AFD">
      <w:pPr>
        <w:keepNext w:val="0"/>
        <w:keepLines w:val="0"/>
        <w:pageBreakBefore w:val="0"/>
        <w:widowControl w:val="0"/>
        <w:kinsoku/>
        <w:wordWrap/>
        <w:overflowPunct/>
        <w:topLinePunct w:val="0"/>
        <w:autoSpaceDE/>
        <w:autoSpaceDN/>
        <w:bidi w:val="0"/>
        <w:adjustRightInd w:val="0"/>
        <w:snapToGrid w:val="0"/>
        <w:spacing w:line="5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第三阶段为安全评价报告的编制阶段，主要是汇总第二阶段所得到的各种资料、数据，综合分析提出结论与建议，完成本</w:t>
      </w:r>
      <w:r>
        <w:rPr>
          <w:rFonts w:hint="eastAsia"/>
          <w:color w:val="auto"/>
          <w:sz w:val="28"/>
          <w:szCs w:val="28"/>
        </w:rPr>
        <w:t>项目安全现状评价报告</w:t>
      </w:r>
      <w:r>
        <w:rPr>
          <w:rFonts w:hint="eastAsia" w:hAnsi="宋体"/>
          <w:color w:val="auto"/>
          <w:sz w:val="28"/>
          <w:szCs w:val="28"/>
        </w:rPr>
        <w:t>的编制。</w:t>
      </w:r>
    </w:p>
    <w:p w14:paraId="0CCA9DE3">
      <w:pPr>
        <w:keepNext w:val="0"/>
        <w:keepLines w:val="0"/>
        <w:pageBreakBefore w:val="0"/>
        <w:widowControl w:val="0"/>
        <w:kinsoku/>
        <w:wordWrap/>
        <w:overflowPunct/>
        <w:topLinePunct w:val="0"/>
        <w:autoSpaceDE/>
        <w:autoSpaceDN/>
        <w:bidi w:val="0"/>
        <w:adjustRightInd w:val="0"/>
        <w:snapToGrid w:val="0"/>
        <w:spacing w:line="5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安全评价的程序见下图所示：</w:t>
      </w:r>
    </w:p>
    <w:p w14:paraId="255B2BEA">
      <w:pPr>
        <w:pStyle w:val="13"/>
        <w:bidi w:val="0"/>
        <w:jc w:val="both"/>
        <w:rPr>
          <w:rFonts w:hint="eastAsia" w:hAnsi="宋体" w:cs="宋体"/>
          <w:color w:val="auto"/>
          <w:szCs w:val="28"/>
          <w:lang w:val="zh-CN"/>
        </w:rPr>
      </w:pPr>
    </w:p>
    <w:p w14:paraId="6025D1F9">
      <w:pPr>
        <w:pStyle w:val="13"/>
        <w:bidi w:val="0"/>
        <w:jc w:val="center"/>
        <w:rPr>
          <w:rFonts w:hint="eastAsia" w:hAnsi="宋体" w:cs="宋体"/>
          <w:color w:val="auto"/>
          <w:szCs w:val="28"/>
          <w:lang w:val="zh-CN"/>
        </w:rPr>
      </w:pPr>
      <w:r>
        <w:rPr>
          <w:rFonts w:hint="default"/>
          <w:lang w:val="en-US" w:eastAsia="zh-CN"/>
        </w:rPr>
        <w:pict>
          <v:shape id="_x0000_s1030" o:spid="_x0000_s1030" o:spt="75" type="#_x0000_t75" style="position:absolute;left:0pt;margin-left:136.35pt;margin-top:1.15pt;height:311.85pt;width:204.25pt;z-index:251660288;mso-width-relative:page;mso-height-relative:page;" o:ole="t" filled="f" o:preferrelative="t" stroked="f" coordsize="21600,21600">
            <v:path/>
            <v:fill on="f" focussize="0,0"/>
            <v:stroke on="f"/>
            <v:imagedata r:id="rId18" o:title=""/>
            <o:lock v:ext="edit" aspectratio="f"/>
          </v:shape>
          <o:OLEObject Type="Embed" ProgID="Visio.Drawing.11" ShapeID="_x0000_s1030" DrawAspect="Content" ObjectID="_1468075725" r:id="rId17">
            <o:LockedField>false</o:LockedField>
          </o:OLEObject>
        </w:pict>
      </w:r>
    </w:p>
    <w:p w14:paraId="00F9046D">
      <w:pPr>
        <w:pStyle w:val="13"/>
        <w:bidi w:val="0"/>
        <w:jc w:val="center"/>
        <w:rPr>
          <w:rFonts w:hint="eastAsia" w:hAnsi="宋体" w:cs="宋体"/>
          <w:color w:val="auto"/>
          <w:szCs w:val="28"/>
          <w:lang w:val="zh-CN"/>
        </w:rPr>
      </w:pPr>
    </w:p>
    <w:p w14:paraId="0042D353">
      <w:pPr>
        <w:pStyle w:val="13"/>
        <w:bidi w:val="0"/>
        <w:jc w:val="center"/>
        <w:rPr>
          <w:rFonts w:hint="eastAsia" w:hAnsi="宋体" w:cs="宋体"/>
          <w:color w:val="auto"/>
          <w:szCs w:val="28"/>
          <w:lang w:val="zh-CN"/>
        </w:rPr>
      </w:pPr>
    </w:p>
    <w:p w14:paraId="73391B12">
      <w:pPr>
        <w:pStyle w:val="13"/>
        <w:bidi w:val="0"/>
        <w:jc w:val="center"/>
        <w:rPr>
          <w:rFonts w:hint="eastAsia" w:hAnsi="宋体" w:cs="宋体"/>
          <w:color w:val="auto"/>
          <w:szCs w:val="28"/>
          <w:lang w:val="zh-CN"/>
        </w:rPr>
      </w:pPr>
    </w:p>
    <w:p w14:paraId="73F9B61F">
      <w:pPr>
        <w:pStyle w:val="13"/>
        <w:bidi w:val="0"/>
        <w:jc w:val="center"/>
        <w:rPr>
          <w:rFonts w:hint="eastAsia" w:hAnsi="宋体" w:cs="宋体"/>
          <w:color w:val="auto"/>
          <w:szCs w:val="28"/>
          <w:lang w:val="zh-CN"/>
        </w:rPr>
      </w:pPr>
    </w:p>
    <w:p w14:paraId="1DC4DACE">
      <w:pPr>
        <w:pStyle w:val="13"/>
        <w:bidi w:val="0"/>
        <w:jc w:val="center"/>
        <w:rPr>
          <w:rFonts w:hint="eastAsia" w:hAnsi="宋体" w:cs="宋体"/>
          <w:color w:val="auto"/>
          <w:szCs w:val="28"/>
          <w:lang w:val="zh-CN"/>
        </w:rPr>
      </w:pPr>
    </w:p>
    <w:p w14:paraId="399E792F">
      <w:pPr>
        <w:pStyle w:val="13"/>
        <w:bidi w:val="0"/>
        <w:jc w:val="center"/>
        <w:rPr>
          <w:rFonts w:hint="eastAsia" w:hAnsi="宋体" w:cs="宋体"/>
          <w:color w:val="auto"/>
          <w:szCs w:val="28"/>
          <w:lang w:val="zh-CN"/>
        </w:rPr>
      </w:pPr>
    </w:p>
    <w:p w14:paraId="4F7A3953">
      <w:pPr>
        <w:pStyle w:val="13"/>
        <w:bidi w:val="0"/>
        <w:jc w:val="center"/>
        <w:rPr>
          <w:rFonts w:hint="eastAsia" w:hAnsi="宋体" w:cs="宋体"/>
          <w:color w:val="auto"/>
          <w:szCs w:val="28"/>
          <w:lang w:val="zh-CN"/>
        </w:rPr>
      </w:pPr>
    </w:p>
    <w:p w14:paraId="70D2A0FD">
      <w:pPr>
        <w:pStyle w:val="13"/>
        <w:bidi w:val="0"/>
        <w:jc w:val="center"/>
        <w:rPr>
          <w:rFonts w:hint="eastAsia" w:hAnsi="宋体" w:cs="宋体"/>
          <w:color w:val="auto"/>
          <w:szCs w:val="28"/>
          <w:lang w:val="zh-CN"/>
        </w:rPr>
      </w:pPr>
    </w:p>
    <w:p w14:paraId="2A87BD70">
      <w:pPr>
        <w:pStyle w:val="13"/>
        <w:bidi w:val="0"/>
        <w:jc w:val="center"/>
        <w:rPr>
          <w:rFonts w:hint="eastAsia" w:hAnsi="宋体" w:cs="宋体"/>
          <w:color w:val="auto"/>
          <w:szCs w:val="28"/>
          <w:lang w:val="zh-CN"/>
        </w:rPr>
      </w:pPr>
    </w:p>
    <w:p w14:paraId="00F28260">
      <w:pPr>
        <w:pStyle w:val="13"/>
        <w:bidi w:val="0"/>
        <w:jc w:val="center"/>
        <w:rPr>
          <w:rFonts w:hint="eastAsia" w:hAnsi="宋体" w:cs="宋体"/>
          <w:color w:val="auto"/>
          <w:szCs w:val="28"/>
          <w:lang w:val="zh-CN"/>
        </w:rPr>
      </w:pPr>
    </w:p>
    <w:p w14:paraId="193A57C4">
      <w:pPr>
        <w:pStyle w:val="13"/>
        <w:bidi w:val="0"/>
        <w:jc w:val="center"/>
        <w:rPr>
          <w:rFonts w:hint="eastAsia" w:hAnsi="宋体" w:cs="宋体"/>
          <w:color w:val="auto"/>
          <w:szCs w:val="28"/>
          <w:lang w:val="zh-CN"/>
        </w:rPr>
      </w:pPr>
    </w:p>
    <w:p w14:paraId="5364795E">
      <w:pPr>
        <w:pStyle w:val="13"/>
        <w:bidi w:val="0"/>
        <w:jc w:val="center"/>
        <w:rPr>
          <w:rFonts w:hint="eastAsia" w:hAnsi="宋体" w:cs="宋体"/>
          <w:color w:val="auto"/>
          <w:szCs w:val="28"/>
          <w:lang w:val="zh-CN"/>
        </w:rPr>
      </w:pPr>
    </w:p>
    <w:p w14:paraId="4BB1E34D">
      <w:pPr>
        <w:pStyle w:val="13"/>
        <w:bidi w:val="0"/>
        <w:jc w:val="center"/>
        <w:rPr>
          <w:rFonts w:hint="eastAsia" w:hAnsi="宋体" w:cs="宋体"/>
          <w:color w:val="auto"/>
          <w:szCs w:val="28"/>
          <w:lang w:val="zh-CN"/>
        </w:rPr>
      </w:pPr>
    </w:p>
    <w:p w14:paraId="78F68DF6">
      <w:pPr>
        <w:pStyle w:val="13"/>
        <w:bidi w:val="0"/>
        <w:jc w:val="center"/>
        <w:rPr>
          <w:rFonts w:hint="eastAsia" w:hAnsi="宋体" w:cs="宋体"/>
          <w:color w:val="auto"/>
          <w:szCs w:val="28"/>
          <w:lang w:val="zh-CN"/>
        </w:rPr>
      </w:pPr>
    </w:p>
    <w:p w14:paraId="6D22DD19">
      <w:pPr>
        <w:pStyle w:val="13"/>
        <w:bidi w:val="0"/>
        <w:jc w:val="center"/>
        <w:rPr>
          <w:rFonts w:hint="eastAsia" w:hAnsi="宋体" w:cs="宋体"/>
          <w:color w:val="auto"/>
          <w:szCs w:val="28"/>
          <w:lang w:val="zh-CN"/>
        </w:rPr>
      </w:pPr>
    </w:p>
    <w:p w14:paraId="7A0FF527">
      <w:pPr>
        <w:pStyle w:val="13"/>
        <w:bidi w:val="0"/>
        <w:jc w:val="center"/>
        <w:rPr>
          <w:rFonts w:hint="eastAsia" w:hAnsi="宋体" w:cs="宋体"/>
          <w:color w:val="auto"/>
          <w:szCs w:val="28"/>
          <w:lang w:val="zh-CN"/>
        </w:rPr>
      </w:pPr>
    </w:p>
    <w:p w14:paraId="25C4989F">
      <w:pPr>
        <w:pStyle w:val="13"/>
        <w:bidi w:val="0"/>
        <w:jc w:val="center"/>
        <w:rPr>
          <w:rFonts w:hint="eastAsia" w:hAnsi="宋体" w:cs="宋体"/>
          <w:color w:val="auto"/>
          <w:szCs w:val="28"/>
          <w:lang w:val="zh-CN"/>
        </w:rPr>
      </w:pPr>
    </w:p>
    <w:p w14:paraId="68D575C2">
      <w:pPr>
        <w:pStyle w:val="13"/>
        <w:bidi w:val="0"/>
        <w:jc w:val="center"/>
        <w:rPr>
          <w:rFonts w:hint="eastAsia" w:hAnsi="宋体" w:cs="宋体"/>
          <w:color w:val="auto"/>
          <w:szCs w:val="28"/>
          <w:lang w:val="zh-CN"/>
        </w:rPr>
      </w:pPr>
    </w:p>
    <w:p w14:paraId="2433C564">
      <w:pPr>
        <w:pStyle w:val="13"/>
        <w:bidi w:val="0"/>
        <w:jc w:val="center"/>
        <w:rPr>
          <w:rFonts w:hint="eastAsia" w:hAnsi="宋体" w:cs="宋体"/>
          <w:color w:val="auto"/>
          <w:szCs w:val="28"/>
          <w:lang w:val="zh-CN"/>
        </w:rPr>
      </w:pPr>
    </w:p>
    <w:p w14:paraId="7B254DF8">
      <w:pPr>
        <w:pStyle w:val="13"/>
        <w:bidi w:val="0"/>
        <w:jc w:val="center"/>
        <w:rPr>
          <w:rFonts w:hint="eastAsia" w:hAnsi="宋体" w:cs="宋体"/>
          <w:color w:val="auto"/>
          <w:szCs w:val="28"/>
          <w:lang w:val="zh-CN"/>
        </w:rPr>
      </w:pPr>
    </w:p>
    <w:p w14:paraId="489A0653">
      <w:pPr>
        <w:pStyle w:val="13"/>
        <w:bidi w:val="0"/>
        <w:jc w:val="center"/>
        <w:rPr>
          <w:rFonts w:hint="eastAsia" w:hAnsi="宋体" w:cs="宋体"/>
          <w:color w:val="auto"/>
          <w:szCs w:val="28"/>
          <w:lang w:val="zh-CN"/>
        </w:rPr>
      </w:pPr>
    </w:p>
    <w:p w14:paraId="04803C8C">
      <w:pPr>
        <w:pStyle w:val="3"/>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eastAsia" w:ascii="宋体" w:hAnsi="宋体" w:eastAsia="宋体" w:cs="宋体"/>
          <w:b/>
          <w:bCs/>
          <w:color w:val="auto"/>
          <w:kern w:val="0"/>
          <w:sz w:val="30"/>
          <w:szCs w:val="30"/>
        </w:rPr>
      </w:pPr>
      <w:bookmarkStart w:id="56" w:name="_Toc335926134"/>
      <w:bookmarkStart w:id="57" w:name="_Toc27264"/>
      <w:bookmarkStart w:id="58" w:name="_Toc26128"/>
      <w:bookmarkStart w:id="59" w:name="_Toc21050"/>
      <w:bookmarkStart w:id="60" w:name="_Toc32236"/>
      <w:r>
        <w:rPr>
          <w:rFonts w:hint="eastAsia" w:ascii="宋体" w:hAnsi="宋体" w:eastAsia="宋体" w:cs="宋体"/>
          <w:b/>
          <w:bCs/>
          <w:color w:val="auto"/>
          <w:kern w:val="0"/>
          <w:sz w:val="30"/>
          <w:szCs w:val="30"/>
        </w:rPr>
        <w:t>1.</w:t>
      </w:r>
      <w:r>
        <w:rPr>
          <w:rFonts w:hint="eastAsia" w:ascii="宋体" w:hAnsi="宋体" w:eastAsia="宋体" w:cs="宋体"/>
          <w:b/>
          <w:bCs/>
          <w:color w:val="auto"/>
          <w:kern w:val="0"/>
          <w:sz w:val="30"/>
          <w:szCs w:val="30"/>
          <w:lang w:val="en-US" w:eastAsia="zh-CN"/>
        </w:rPr>
        <w:t>5</w:t>
      </w:r>
      <w:r>
        <w:rPr>
          <w:rFonts w:hint="eastAsia" w:ascii="宋体" w:hAnsi="宋体" w:eastAsia="宋体" w:cs="宋体"/>
          <w:b/>
          <w:bCs/>
          <w:color w:val="auto"/>
          <w:kern w:val="0"/>
          <w:sz w:val="30"/>
          <w:szCs w:val="30"/>
        </w:rPr>
        <w:t>评价基准日</w:t>
      </w:r>
      <w:bookmarkEnd w:id="56"/>
      <w:bookmarkEnd w:id="57"/>
      <w:bookmarkEnd w:id="58"/>
      <w:bookmarkEnd w:id="59"/>
      <w:bookmarkEnd w:id="60"/>
    </w:p>
    <w:p w14:paraId="04E1C5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评价人员</w:t>
      </w:r>
      <w:r>
        <w:rPr>
          <w:rFonts w:hint="eastAsia" w:ascii="宋体" w:hAnsi="宋体" w:eastAsia="宋体" w:cs="宋体"/>
          <w:color w:val="000000" w:themeColor="text1"/>
          <w:sz w:val="28"/>
          <w:highlight w:val="none"/>
          <w14:textFill>
            <w14:solidFill>
              <w14:schemeClr w14:val="tx1"/>
            </w14:solidFill>
          </w14:textFill>
        </w:rPr>
        <w:t>于202</w:t>
      </w:r>
      <w:r>
        <w:rPr>
          <w:rFonts w:hint="eastAsia" w:ascii="宋体" w:hAnsi="宋体" w:eastAsia="宋体" w:cs="宋体"/>
          <w:color w:val="000000" w:themeColor="text1"/>
          <w:sz w:val="28"/>
          <w:highlight w:val="none"/>
          <w:lang w:val="en-US" w:eastAsia="zh-CN"/>
          <w14:textFill>
            <w14:solidFill>
              <w14:schemeClr w14:val="tx1"/>
            </w14:solidFill>
          </w14:textFill>
        </w:rPr>
        <w:t>4</w:t>
      </w:r>
      <w:r>
        <w:rPr>
          <w:rFonts w:hint="eastAsia" w:ascii="宋体" w:hAnsi="宋体" w:eastAsia="宋体" w:cs="宋体"/>
          <w:color w:val="000000" w:themeColor="text1"/>
          <w:sz w:val="28"/>
          <w:highlight w:val="none"/>
          <w14:textFill>
            <w14:solidFill>
              <w14:schemeClr w14:val="tx1"/>
            </w14:solidFill>
          </w14:textFill>
        </w:rPr>
        <w:t>年</w:t>
      </w:r>
      <w:r>
        <w:rPr>
          <w:rFonts w:hint="eastAsia" w:ascii="宋体" w:hAnsi="宋体" w:eastAsia="宋体" w:cs="宋体"/>
          <w:color w:val="000000" w:themeColor="text1"/>
          <w:sz w:val="28"/>
          <w:highlight w:val="none"/>
          <w:lang w:val="en-US" w:eastAsia="zh-CN"/>
          <w14:textFill>
            <w14:solidFill>
              <w14:schemeClr w14:val="tx1"/>
            </w14:solidFill>
          </w14:textFill>
        </w:rPr>
        <w:t>1</w:t>
      </w:r>
      <w:r>
        <w:rPr>
          <w:rFonts w:hint="eastAsia" w:hAnsi="宋体" w:cs="宋体"/>
          <w:color w:val="000000" w:themeColor="text1"/>
          <w:sz w:val="28"/>
          <w:highlight w:val="none"/>
          <w:lang w:val="en-US" w:eastAsia="zh-CN"/>
          <w14:textFill>
            <w14:solidFill>
              <w14:schemeClr w14:val="tx1"/>
            </w14:solidFill>
          </w14:textFill>
        </w:rPr>
        <w:t>2</w:t>
      </w:r>
      <w:r>
        <w:rPr>
          <w:rFonts w:hint="eastAsia" w:ascii="宋体" w:hAnsi="宋体" w:eastAsia="宋体" w:cs="宋体"/>
          <w:color w:val="000000" w:themeColor="text1"/>
          <w:sz w:val="28"/>
          <w:highlight w:val="none"/>
          <w14:textFill>
            <w14:solidFill>
              <w14:schemeClr w14:val="tx1"/>
            </w14:solidFill>
          </w14:textFill>
        </w:rPr>
        <w:t>月</w:t>
      </w:r>
      <w:r>
        <w:rPr>
          <w:rFonts w:hint="eastAsia" w:hAnsi="宋体" w:cs="宋体"/>
          <w:color w:val="000000" w:themeColor="text1"/>
          <w:sz w:val="28"/>
          <w:highlight w:val="none"/>
          <w:lang w:val="en-US" w:eastAsia="zh-CN"/>
          <w14:textFill>
            <w14:solidFill>
              <w14:schemeClr w14:val="tx1"/>
            </w14:solidFill>
          </w14:textFill>
        </w:rPr>
        <w:t>5</w:t>
      </w:r>
      <w:r>
        <w:rPr>
          <w:rFonts w:hint="eastAsia" w:ascii="宋体" w:hAnsi="宋体" w:eastAsia="宋体" w:cs="宋体"/>
          <w:color w:val="000000" w:themeColor="text1"/>
          <w:sz w:val="28"/>
          <w:highlight w:val="none"/>
          <w14:textFill>
            <w14:solidFill>
              <w14:schemeClr w14:val="tx1"/>
            </w14:solidFill>
          </w14:textFill>
        </w:rPr>
        <w:t>日</w:t>
      </w:r>
      <w:r>
        <w:rPr>
          <w:rFonts w:hint="eastAsia" w:ascii="宋体" w:hAnsi="宋体" w:eastAsia="宋体" w:cs="宋体"/>
          <w:color w:val="000000" w:themeColor="text1"/>
          <w:sz w:val="28"/>
          <w14:textFill>
            <w14:solidFill>
              <w14:schemeClr w14:val="tx1"/>
            </w14:solidFill>
          </w14:textFill>
        </w:rPr>
        <w:t>对</w:t>
      </w:r>
      <w:r>
        <w:rPr>
          <w:rFonts w:hint="eastAsia" w:ascii="宋体" w:hAnsi="宋体" w:eastAsia="宋体" w:cs="宋体"/>
          <w:color w:val="000000" w:themeColor="text1"/>
          <w:sz w:val="28"/>
          <w:szCs w:val="28"/>
          <w:lang w:val="en-US" w:eastAsia="zh-CN"/>
          <w14:textFill>
            <w14:solidFill>
              <w14:schemeClr w14:val="tx1"/>
            </w14:solidFill>
          </w14:textFill>
        </w:rPr>
        <w:t>玉溪</w:t>
      </w:r>
      <w:r>
        <w:rPr>
          <w:rFonts w:hint="eastAsia" w:hAnsi="宋体" w:cs="宋体"/>
          <w:color w:val="000000" w:themeColor="text1"/>
          <w:sz w:val="28"/>
          <w:szCs w:val="28"/>
          <w:lang w:val="en-US" w:eastAsia="zh-CN"/>
          <w14:textFill>
            <w14:solidFill>
              <w14:schemeClr w14:val="tx1"/>
            </w14:solidFill>
          </w14:textFill>
        </w:rPr>
        <w:t>正宇智能</w:t>
      </w:r>
      <w:r>
        <w:rPr>
          <w:rFonts w:hint="eastAsia" w:ascii="宋体" w:hAnsi="宋体" w:eastAsia="宋体" w:cs="宋体"/>
          <w:color w:val="000000" w:themeColor="text1"/>
          <w:sz w:val="28"/>
          <w:szCs w:val="28"/>
          <w:lang w:val="en-US" w:eastAsia="zh-CN"/>
          <w14:textFill>
            <w14:solidFill>
              <w14:schemeClr w14:val="tx1"/>
            </w14:solidFill>
          </w14:textFill>
        </w:rPr>
        <w:t>科技有限公司安全现状评价项目</w:t>
      </w:r>
      <w:r>
        <w:rPr>
          <w:rFonts w:hint="eastAsia" w:ascii="宋体" w:hAnsi="宋体" w:eastAsia="宋体" w:cs="宋体"/>
          <w:color w:val="000000" w:themeColor="text1"/>
          <w:sz w:val="28"/>
          <w14:textFill>
            <w14:solidFill>
              <w14:schemeClr w14:val="tx1"/>
            </w14:solidFill>
          </w14:textFill>
        </w:rPr>
        <w:t>进行了初次现场检查，于</w:t>
      </w:r>
      <w:r>
        <w:rPr>
          <w:rFonts w:hint="eastAsia" w:ascii="宋体" w:hAnsi="宋体" w:eastAsia="宋体" w:cs="宋体"/>
          <w:color w:val="000000" w:themeColor="text1"/>
          <w:sz w:val="28"/>
          <w:highlight w:val="none"/>
          <w14:textFill>
            <w14:solidFill>
              <w14:schemeClr w14:val="tx1"/>
            </w14:solidFill>
          </w14:textFill>
        </w:rPr>
        <w:t>202</w:t>
      </w:r>
      <w:r>
        <w:rPr>
          <w:rFonts w:hint="eastAsia" w:ascii="宋体" w:hAnsi="宋体" w:eastAsia="宋体" w:cs="宋体"/>
          <w:color w:val="000000" w:themeColor="text1"/>
          <w:sz w:val="28"/>
          <w:highlight w:val="none"/>
          <w:lang w:val="en-US" w:eastAsia="zh-CN"/>
          <w14:textFill>
            <w14:solidFill>
              <w14:schemeClr w14:val="tx1"/>
            </w14:solidFill>
          </w14:textFill>
        </w:rPr>
        <w:t>5</w:t>
      </w:r>
      <w:r>
        <w:rPr>
          <w:rFonts w:hint="eastAsia" w:ascii="宋体" w:hAnsi="宋体" w:eastAsia="宋体" w:cs="宋体"/>
          <w:color w:val="000000" w:themeColor="text1"/>
          <w:sz w:val="28"/>
          <w:highlight w:val="none"/>
          <w14:textFill>
            <w14:solidFill>
              <w14:schemeClr w14:val="tx1"/>
            </w14:solidFill>
          </w14:textFill>
        </w:rPr>
        <w:t>年</w:t>
      </w:r>
      <w:r>
        <w:rPr>
          <w:rFonts w:hint="eastAsia" w:hAnsi="宋体" w:cs="宋体"/>
          <w:color w:val="000000" w:themeColor="text1"/>
          <w:sz w:val="28"/>
          <w:highlight w:val="none"/>
          <w:lang w:val="en-US" w:eastAsia="zh-CN"/>
          <w14:textFill>
            <w14:solidFill>
              <w14:schemeClr w14:val="tx1"/>
            </w14:solidFill>
          </w14:textFill>
        </w:rPr>
        <w:t>1</w:t>
      </w:r>
      <w:r>
        <w:rPr>
          <w:rFonts w:hint="eastAsia" w:ascii="宋体" w:hAnsi="宋体" w:eastAsia="宋体" w:cs="宋体"/>
          <w:color w:val="000000" w:themeColor="text1"/>
          <w:sz w:val="28"/>
          <w:highlight w:val="none"/>
          <w14:textFill>
            <w14:solidFill>
              <w14:schemeClr w14:val="tx1"/>
            </w14:solidFill>
          </w14:textFill>
        </w:rPr>
        <w:t>月</w:t>
      </w:r>
      <w:r>
        <w:rPr>
          <w:rFonts w:hint="eastAsia" w:ascii="宋体" w:hAnsi="宋体" w:eastAsia="宋体" w:cs="宋体"/>
          <w:color w:val="000000" w:themeColor="text1"/>
          <w:sz w:val="28"/>
          <w:highlight w:val="none"/>
          <w:lang w:val="en-US" w:eastAsia="zh-CN"/>
          <w14:textFill>
            <w14:solidFill>
              <w14:schemeClr w14:val="tx1"/>
            </w14:solidFill>
          </w14:textFill>
        </w:rPr>
        <w:t>22</w:t>
      </w:r>
      <w:r>
        <w:rPr>
          <w:rFonts w:hint="eastAsia" w:ascii="宋体" w:hAnsi="宋体" w:eastAsia="宋体" w:cs="宋体"/>
          <w:color w:val="000000" w:themeColor="text1"/>
          <w:sz w:val="28"/>
          <w:highlight w:val="none"/>
          <w14:textFill>
            <w14:solidFill>
              <w14:schemeClr w14:val="tx1"/>
            </w14:solidFill>
          </w14:textFill>
        </w:rPr>
        <w:t>日对现场隐患进行复核，</w:t>
      </w:r>
      <w:r>
        <w:rPr>
          <w:rFonts w:hint="eastAsia" w:ascii="宋体" w:hAnsi="宋体" w:eastAsia="宋体" w:cs="宋体"/>
          <w:color w:val="000000" w:themeColor="text1"/>
          <w:sz w:val="28"/>
          <w:highlight w:val="none"/>
          <w:lang w:val="en-US" w:eastAsia="zh-CN"/>
          <w14:textFill>
            <w14:solidFill>
              <w14:schemeClr w14:val="tx1"/>
            </w14:solidFill>
          </w14:textFill>
        </w:rPr>
        <w:t>故该</w:t>
      </w:r>
      <w:r>
        <w:rPr>
          <w:rFonts w:hint="eastAsia" w:ascii="宋体" w:hAnsi="宋体" w:eastAsia="宋体" w:cs="宋体"/>
          <w:color w:val="000000" w:themeColor="text1"/>
          <w:sz w:val="28"/>
          <w:highlight w:val="none"/>
          <w14:textFill>
            <w14:solidFill>
              <w14:schemeClr w14:val="tx1"/>
            </w14:solidFill>
          </w14:textFill>
        </w:rPr>
        <w:t>项目评价基准日为202</w:t>
      </w:r>
      <w:r>
        <w:rPr>
          <w:rFonts w:hint="eastAsia" w:ascii="宋体" w:hAnsi="宋体" w:eastAsia="宋体" w:cs="宋体"/>
          <w:color w:val="000000" w:themeColor="text1"/>
          <w:sz w:val="28"/>
          <w:highlight w:val="none"/>
          <w:lang w:val="en-US" w:eastAsia="zh-CN"/>
          <w14:textFill>
            <w14:solidFill>
              <w14:schemeClr w14:val="tx1"/>
            </w14:solidFill>
          </w14:textFill>
        </w:rPr>
        <w:t>5</w:t>
      </w:r>
      <w:r>
        <w:rPr>
          <w:rFonts w:hint="eastAsia" w:ascii="宋体" w:hAnsi="宋体" w:eastAsia="宋体" w:cs="宋体"/>
          <w:color w:val="000000" w:themeColor="text1"/>
          <w:sz w:val="28"/>
          <w:highlight w:val="none"/>
          <w14:textFill>
            <w14:solidFill>
              <w14:schemeClr w14:val="tx1"/>
            </w14:solidFill>
          </w14:textFill>
        </w:rPr>
        <w:t>年</w:t>
      </w:r>
      <w:r>
        <w:rPr>
          <w:rFonts w:hint="eastAsia" w:hAnsi="宋体" w:cs="宋体"/>
          <w:color w:val="000000" w:themeColor="text1"/>
          <w:sz w:val="28"/>
          <w:highlight w:val="none"/>
          <w:lang w:val="en-US" w:eastAsia="zh-CN"/>
          <w14:textFill>
            <w14:solidFill>
              <w14:schemeClr w14:val="tx1"/>
            </w14:solidFill>
          </w14:textFill>
        </w:rPr>
        <w:t>1</w:t>
      </w:r>
      <w:r>
        <w:rPr>
          <w:rFonts w:hint="eastAsia" w:ascii="宋体" w:hAnsi="宋体" w:eastAsia="宋体" w:cs="宋体"/>
          <w:color w:val="000000" w:themeColor="text1"/>
          <w:sz w:val="28"/>
          <w:highlight w:val="none"/>
          <w14:textFill>
            <w14:solidFill>
              <w14:schemeClr w14:val="tx1"/>
            </w14:solidFill>
          </w14:textFill>
        </w:rPr>
        <w:t>月</w:t>
      </w:r>
      <w:r>
        <w:rPr>
          <w:rFonts w:hint="eastAsia" w:ascii="宋体" w:hAnsi="宋体" w:eastAsia="宋体" w:cs="宋体"/>
          <w:color w:val="000000" w:themeColor="text1"/>
          <w:sz w:val="28"/>
          <w:highlight w:val="none"/>
          <w:lang w:val="en-US" w:eastAsia="zh-CN"/>
          <w14:textFill>
            <w14:solidFill>
              <w14:schemeClr w14:val="tx1"/>
            </w14:solidFill>
          </w14:textFill>
        </w:rPr>
        <w:t>22</w:t>
      </w:r>
      <w:r>
        <w:rPr>
          <w:rFonts w:hint="eastAsia" w:ascii="宋体" w:hAnsi="宋体" w:eastAsia="宋体" w:cs="宋体"/>
          <w:color w:val="000000" w:themeColor="text1"/>
          <w:sz w:val="28"/>
          <w:highlight w:val="none"/>
          <w14:textFill>
            <w14:solidFill>
              <w14:schemeClr w14:val="tx1"/>
            </w14:solidFill>
          </w14:textFill>
        </w:rPr>
        <w:t>日。</w:t>
      </w:r>
    </w:p>
    <w:p w14:paraId="0775EBF6">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1"/>
        <w:rPr>
          <w:rFonts w:hint="eastAsia" w:ascii="宋体" w:hAnsi="宋体" w:eastAsia="宋体" w:cs="宋体"/>
          <w:sz w:val="30"/>
          <w:szCs w:val="30"/>
        </w:rPr>
      </w:pPr>
      <w:bookmarkStart w:id="61" w:name="_Toc9037"/>
      <w:r>
        <w:rPr>
          <w:rFonts w:hint="eastAsia" w:ascii="宋体" w:hAnsi="宋体" w:eastAsia="宋体" w:cs="宋体"/>
          <w:b/>
          <w:bCs/>
          <w:spacing w:val="2"/>
          <w:sz w:val="30"/>
          <w:szCs w:val="30"/>
        </w:rPr>
        <w:t>1.</w:t>
      </w:r>
      <w:r>
        <w:rPr>
          <w:rFonts w:hint="eastAsia" w:ascii="宋体" w:hAnsi="宋体" w:eastAsia="宋体" w:cs="宋体"/>
          <w:b/>
          <w:bCs/>
          <w:spacing w:val="2"/>
          <w:sz w:val="30"/>
          <w:szCs w:val="30"/>
          <w:lang w:val="en-US" w:eastAsia="zh-CN"/>
        </w:rPr>
        <w:t>6</w:t>
      </w:r>
      <w:r>
        <w:rPr>
          <w:rFonts w:hint="eastAsia" w:ascii="宋体" w:hAnsi="宋体" w:eastAsia="宋体" w:cs="宋体"/>
          <w:b/>
          <w:bCs/>
          <w:spacing w:val="2"/>
          <w:sz w:val="30"/>
          <w:szCs w:val="30"/>
        </w:rPr>
        <w:t>评价报告使用权声明</w:t>
      </w:r>
      <w:bookmarkEnd w:id="61"/>
    </w:p>
    <w:p w14:paraId="042C33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本评价报告是受</w:t>
      </w:r>
      <w:r>
        <w:rPr>
          <w:rFonts w:hint="eastAsia" w:ascii="宋体" w:hAnsi="宋体" w:eastAsia="宋体" w:cs="宋体"/>
          <w:color w:val="000000" w:themeColor="text1"/>
          <w:sz w:val="28"/>
          <w:lang w:val="en-US" w:eastAsia="zh-CN"/>
          <w14:textFill>
            <w14:solidFill>
              <w14:schemeClr w14:val="tx1"/>
            </w14:solidFill>
          </w14:textFill>
        </w:rPr>
        <w:t>玉溪正宇智能科技有限公司</w:t>
      </w:r>
      <w:r>
        <w:rPr>
          <w:rFonts w:hint="eastAsia" w:ascii="宋体" w:hAnsi="宋体" w:eastAsia="宋体" w:cs="宋体"/>
          <w:color w:val="000000" w:themeColor="text1"/>
          <w:sz w:val="28"/>
          <w14:textFill>
            <w14:solidFill>
              <w14:schemeClr w14:val="tx1"/>
            </w14:solidFill>
          </w14:textFill>
        </w:rPr>
        <w:t>委托而编制的，专属委托方使用。除按规定上报各级管理部门外，昭通市鼎安科技有限公司不会将本评价报告内容向其它任何单位和个人提供，也不会将本评价报告的全部或部分内容在媒体上或以其它形式公开发表(安全评价技术研究成果除外)。</w:t>
      </w:r>
    </w:p>
    <w:p w14:paraId="1139A551">
      <w:pPr>
        <w:jc w:val="both"/>
        <w:rPr>
          <w:rFonts w:ascii="宋体" w:hAnsi="宋体" w:eastAsia="宋体" w:cs="宋体"/>
          <w:b/>
          <w:bCs/>
          <w:sz w:val="36"/>
          <w:szCs w:val="36"/>
        </w:rPr>
      </w:pPr>
    </w:p>
    <w:p w14:paraId="22E7D427">
      <w:pPr>
        <w:jc w:val="both"/>
        <w:rPr>
          <w:rFonts w:ascii="宋体" w:hAnsi="宋体" w:eastAsia="宋体" w:cs="宋体"/>
          <w:b/>
          <w:bCs/>
          <w:sz w:val="36"/>
          <w:szCs w:val="36"/>
        </w:rPr>
      </w:pPr>
    </w:p>
    <w:p w14:paraId="41CE6DCD">
      <w:pPr>
        <w:jc w:val="center"/>
        <w:outlineLvl w:val="0"/>
        <w:rPr>
          <w:rFonts w:ascii="宋体" w:hAnsi="宋体" w:eastAsia="宋体" w:cs="宋体"/>
          <w:b/>
          <w:bCs/>
          <w:sz w:val="36"/>
          <w:szCs w:val="36"/>
        </w:rPr>
      </w:pPr>
      <w:bookmarkStart w:id="62" w:name="_Toc12257"/>
      <w:r>
        <w:rPr>
          <w:rFonts w:ascii="宋体" w:hAnsi="宋体" w:eastAsia="宋体" w:cs="宋体"/>
          <w:b/>
          <w:bCs/>
          <w:sz w:val="36"/>
          <w:szCs w:val="36"/>
        </w:rPr>
        <w:t>第2章评价项目概况</w:t>
      </w:r>
      <w:bookmarkEnd w:id="62"/>
    </w:p>
    <w:p w14:paraId="616EBCAC">
      <w:pPr>
        <w:pageBreakBefore w:val="0"/>
        <w:widowControl w:val="0"/>
        <w:kinsoku/>
        <w:wordWrap/>
        <w:overflowPunct/>
        <w:topLinePunct w:val="0"/>
        <w:autoSpaceDE/>
        <w:autoSpaceDN/>
        <w:bidi w:val="0"/>
        <w:adjustRightInd/>
        <w:snapToGrid/>
        <w:spacing w:line="600" w:lineRule="exact"/>
        <w:jc w:val="both"/>
        <w:textAlignment w:val="auto"/>
        <w:outlineLvl w:val="1"/>
        <w:rPr>
          <w:rFonts w:hint="eastAsia" w:ascii="宋体" w:hAnsi="宋体" w:eastAsia="宋体" w:cs="宋体"/>
          <w:sz w:val="30"/>
          <w:szCs w:val="30"/>
        </w:rPr>
      </w:pPr>
      <w:bookmarkStart w:id="63" w:name="_Toc30323"/>
      <w:r>
        <w:rPr>
          <w:rFonts w:hint="eastAsia" w:ascii="宋体" w:hAnsi="宋体" w:eastAsia="宋体" w:cs="宋体"/>
          <w:b/>
          <w:bCs/>
          <w:sz w:val="30"/>
          <w:szCs w:val="30"/>
        </w:rPr>
        <w:t>2.1企业概况</w:t>
      </w:r>
      <w:bookmarkEnd w:id="63"/>
    </w:p>
    <w:p w14:paraId="4B5CEC6C">
      <w:pPr>
        <w:pStyle w:val="4"/>
        <w:pageBreakBefore w:val="0"/>
        <w:widowControl w:val="0"/>
        <w:kinsoku/>
        <w:wordWrap/>
        <w:overflowPunct/>
        <w:topLinePunct w:val="0"/>
        <w:autoSpaceDE/>
        <w:autoSpaceDN/>
        <w:bidi w:val="0"/>
        <w:adjustRightInd/>
        <w:snapToGrid/>
        <w:spacing w:before="0" w:after="0" w:line="600" w:lineRule="exact"/>
        <w:ind w:left="0" w:leftChars="0" w:firstLine="0" w:firstLineChars="0"/>
        <w:textAlignment w:val="auto"/>
        <w:rPr>
          <w:rFonts w:hint="eastAsia" w:ascii="宋体" w:hAnsi="宋体" w:eastAsia="宋体" w:cs="宋体"/>
          <w:sz w:val="28"/>
          <w:szCs w:val="28"/>
        </w:rPr>
      </w:pPr>
      <w:bookmarkStart w:id="64" w:name="bookmark31"/>
      <w:bookmarkEnd w:id="64"/>
      <w:bookmarkStart w:id="65" w:name="_Toc30337"/>
      <w:r>
        <w:rPr>
          <w:rFonts w:hint="eastAsia" w:ascii="宋体" w:hAnsi="宋体" w:eastAsia="宋体" w:cs="宋体"/>
          <w:b/>
          <w:bCs/>
          <w:spacing w:val="1"/>
          <w:sz w:val="28"/>
          <w:szCs w:val="28"/>
        </w:rPr>
        <w:t>2.1.1企业简介</w:t>
      </w:r>
      <w:bookmarkEnd w:id="65"/>
    </w:p>
    <w:p w14:paraId="498644F7">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企业名称：</w:t>
      </w:r>
      <w:r>
        <w:rPr>
          <w:rFonts w:hint="eastAsia" w:hAnsi="宋体" w:cs="宋体"/>
          <w:sz w:val="28"/>
          <w:szCs w:val="28"/>
          <w:lang w:eastAsia="zh-CN"/>
        </w:rPr>
        <w:t>玉溪正宇智能科技有限公司</w:t>
      </w:r>
    </w:p>
    <w:p w14:paraId="57CE1038">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注册地址：云南省玉溪市</w:t>
      </w:r>
      <w:r>
        <w:rPr>
          <w:rFonts w:hint="eastAsia" w:ascii="宋体" w:hAnsi="宋体" w:eastAsia="宋体" w:cs="宋体"/>
          <w:sz w:val="28"/>
          <w:szCs w:val="28"/>
          <w:lang w:val="en-US" w:eastAsia="zh-CN"/>
        </w:rPr>
        <w:t>红塔区</w:t>
      </w:r>
      <w:r>
        <w:rPr>
          <w:rFonts w:hint="eastAsia" w:ascii="宋体" w:hAnsi="宋体" w:eastAsia="宋体" w:cs="宋体"/>
          <w:sz w:val="28"/>
          <w:szCs w:val="28"/>
        </w:rPr>
        <w:t>研和工业园区数控产业园</w:t>
      </w:r>
    </w:p>
    <w:p w14:paraId="3CAC2D36">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法定代表人：</w:t>
      </w:r>
      <w:r>
        <w:rPr>
          <w:rFonts w:hint="eastAsia" w:ascii="宋体" w:hAnsi="宋体" w:eastAsia="宋体" w:cs="宋体"/>
          <w:sz w:val="28"/>
          <w:szCs w:val="28"/>
          <w:lang w:val="en-US" w:eastAsia="zh-CN"/>
        </w:rPr>
        <w:t>付跃昆</w:t>
      </w:r>
    </w:p>
    <w:p w14:paraId="511881D0">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统一社会信用代码：91530400MA6NKN0J6E</w:t>
      </w:r>
    </w:p>
    <w:p w14:paraId="26D46EC7">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成立时间：2019-02-20</w:t>
      </w:r>
    </w:p>
    <w:p w14:paraId="03485730">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hAnsi="宋体" w:cs="宋体"/>
          <w:sz w:val="28"/>
          <w:szCs w:val="28"/>
          <w:lang w:val="en-US" w:eastAsia="zh-CN"/>
        </w:rPr>
      </w:pPr>
      <w:r>
        <w:rPr>
          <w:rFonts w:hint="eastAsia" w:ascii="宋体" w:hAnsi="宋体" w:eastAsia="宋体" w:cs="宋体"/>
          <w:sz w:val="28"/>
          <w:szCs w:val="28"/>
        </w:rPr>
        <w:t>注册资本：</w:t>
      </w:r>
      <w:r>
        <w:rPr>
          <w:rFonts w:hint="eastAsia" w:ascii="宋体" w:hAnsi="宋体" w:eastAsia="宋体" w:cs="宋体"/>
          <w:sz w:val="28"/>
          <w:szCs w:val="28"/>
          <w:lang w:val="en-US" w:eastAsia="zh-CN"/>
        </w:rPr>
        <w:t>100</w:t>
      </w:r>
      <w:r>
        <w:rPr>
          <w:rFonts w:hint="eastAsia" w:hAnsi="宋体" w:cs="宋体"/>
          <w:sz w:val="28"/>
          <w:szCs w:val="28"/>
          <w:lang w:val="en-US" w:eastAsia="zh-CN"/>
        </w:rPr>
        <w:t>0</w:t>
      </w:r>
      <w:r>
        <w:rPr>
          <w:rFonts w:hint="eastAsia" w:ascii="宋体" w:hAnsi="宋体" w:eastAsia="宋体" w:cs="宋体"/>
          <w:sz w:val="28"/>
          <w:szCs w:val="28"/>
        </w:rPr>
        <w:t>万</w:t>
      </w:r>
      <w:r>
        <w:rPr>
          <w:rFonts w:hint="eastAsia" w:hAnsi="宋体" w:cs="宋体"/>
          <w:sz w:val="28"/>
          <w:szCs w:val="28"/>
          <w:lang w:val="en-US" w:eastAsia="zh-CN"/>
        </w:rPr>
        <w:t>元</w:t>
      </w:r>
    </w:p>
    <w:p w14:paraId="6EFA38C4">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公司类型：有限责任公司(自然人独资)</w:t>
      </w:r>
    </w:p>
    <w:p w14:paraId="75F106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color w:val="000000" w:themeColor="text1"/>
          <w:sz w:val="28"/>
          <w14:textFill>
            <w14:solidFill>
              <w14:schemeClr w14:val="tx1"/>
            </w14:solidFill>
          </w14:textFill>
        </w:rPr>
        <w:t>经营范围：机械设备、五金产品及电子产品、机电设备、厨房用具及日用杂品的销售；金属切削机床、教学用模型及教具、教学专用仪器的制造；电子与智能化工程；新能源技术的研究、开发、技术咨询、技术服务及技术转让；货物或技术进出口（国家禁止或涉及行政审批的货物和技术进出口除外）；工业自动化控制系统的设计、安装及调试；计算机自动化控制系统开发。（依法须经批准的项目，经相关部门批准后方可开展经营活动）。</w:t>
      </w:r>
    </w:p>
    <w:p w14:paraId="64715DE7">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66" w:name="_Toc19325"/>
      <w:bookmarkStart w:id="67" w:name="_Toc29825"/>
      <w:bookmarkStart w:id="68" w:name="_Toc28921"/>
      <w:bookmarkStart w:id="69" w:name="_Toc23292"/>
      <w:r>
        <w:rPr>
          <w:rFonts w:hint="eastAsia" w:ascii="宋体" w:hAnsi="宋体" w:eastAsia="宋体" w:cs="宋体"/>
          <w:color w:val="000000" w:themeColor="text1"/>
          <w:kern w:val="0"/>
          <w14:textFill>
            <w14:solidFill>
              <w14:schemeClr w14:val="tx1"/>
            </w14:solidFill>
          </w14:textFill>
        </w:rPr>
        <w:t>2.2</w:t>
      </w:r>
      <w:bookmarkEnd w:id="66"/>
      <w:r>
        <w:rPr>
          <w:rFonts w:hint="eastAsia" w:ascii="宋体" w:hAnsi="宋体" w:eastAsia="宋体" w:cs="宋体"/>
          <w:color w:val="000000" w:themeColor="text1"/>
          <w:kern w:val="0"/>
          <w:lang w:val="en-US" w:eastAsia="zh-CN"/>
          <w14:textFill>
            <w14:solidFill>
              <w14:schemeClr w14:val="tx1"/>
            </w14:solidFill>
          </w14:textFill>
        </w:rPr>
        <w:t xml:space="preserve"> </w:t>
      </w:r>
      <w:r>
        <w:rPr>
          <w:rFonts w:hint="eastAsia" w:ascii="宋体" w:hAnsi="宋体" w:eastAsia="宋体" w:cs="宋体"/>
          <w:color w:val="000000" w:themeColor="text1"/>
          <w:kern w:val="0"/>
          <w14:textFill>
            <w14:solidFill>
              <w14:schemeClr w14:val="tx1"/>
            </w14:solidFill>
          </w14:textFill>
        </w:rPr>
        <w:t>项目概况</w:t>
      </w:r>
      <w:bookmarkEnd w:id="67"/>
      <w:bookmarkEnd w:id="68"/>
      <w:bookmarkEnd w:id="69"/>
    </w:p>
    <w:p w14:paraId="00950111">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14:textFill>
            <w14:solidFill>
              <w14:schemeClr w14:val="tx1"/>
            </w14:solidFill>
          </w14:textFill>
        </w:rPr>
      </w:pPr>
      <w:bookmarkStart w:id="70" w:name="_Toc61474369"/>
      <w:bookmarkStart w:id="71" w:name="_Toc30001346"/>
      <w:bookmarkStart w:id="72" w:name="_Toc7844"/>
      <w:bookmarkStart w:id="73" w:name="_Toc28634"/>
      <w:bookmarkStart w:id="74" w:name="_Toc14249"/>
      <w:bookmarkStart w:id="75" w:name="_Toc15217"/>
      <w:bookmarkStart w:id="76" w:name="_Toc28479"/>
      <w:bookmarkStart w:id="77" w:name="_Toc1823"/>
      <w:r>
        <w:rPr>
          <w:rFonts w:hint="eastAsia" w:ascii="宋体" w:hAnsi="宋体" w:eastAsia="宋体" w:cs="宋体"/>
          <w:snapToGrid w:val="0"/>
          <w:color w:val="000000" w:themeColor="text1"/>
          <w:kern w:val="0"/>
          <w:sz w:val="28"/>
          <w:szCs w:val="28"/>
          <w14:textFill>
            <w14:solidFill>
              <w14:schemeClr w14:val="tx1"/>
            </w14:solidFill>
          </w14:textFill>
        </w:rPr>
        <w:t>2.2.1项目</w:t>
      </w:r>
      <w:bookmarkEnd w:id="70"/>
      <w:bookmarkEnd w:id="71"/>
      <w:r>
        <w:rPr>
          <w:rFonts w:hint="eastAsia" w:ascii="宋体" w:hAnsi="宋体" w:eastAsia="宋体" w:cs="宋体"/>
          <w:snapToGrid w:val="0"/>
          <w:color w:val="000000" w:themeColor="text1"/>
          <w:kern w:val="0"/>
          <w:sz w:val="28"/>
          <w:szCs w:val="28"/>
          <w14:textFill>
            <w14:solidFill>
              <w14:schemeClr w14:val="tx1"/>
            </w14:solidFill>
          </w14:textFill>
        </w:rPr>
        <w:t>简介</w:t>
      </w:r>
      <w:bookmarkEnd w:id="72"/>
      <w:bookmarkEnd w:id="73"/>
      <w:bookmarkEnd w:id="74"/>
      <w:bookmarkEnd w:id="75"/>
      <w:bookmarkEnd w:id="76"/>
      <w:bookmarkEnd w:id="77"/>
    </w:p>
    <w:p w14:paraId="34961CF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lang w:val="en-US" w:eastAsia="zh-CN"/>
          <w14:textFill>
            <w14:solidFill>
              <w14:schemeClr w14:val="tx1"/>
            </w14:solidFill>
          </w14:textFill>
        </w:rPr>
      </w:pPr>
      <w:r>
        <w:rPr>
          <w:rFonts w:hint="eastAsia" w:ascii="宋体" w:hAnsi="宋体" w:eastAsia="宋体" w:cs="宋体"/>
          <w:color w:val="000000" w:themeColor="text1"/>
          <w:sz w:val="28"/>
          <w:lang w:val="en-US" w:eastAsia="zh-CN"/>
          <w14:textFill>
            <w14:solidFill>
              <w14:schemeClr w14:val="tx1"/>
            </w14:solidFill>
          </w14:textFill>
        </w:rPr>
        <w:t>玉溪正宇智能科技有限公司成立于2019年，地处云南省玉溪市研和数控工业园二期4号厂房。公司设有综合管理部、生产部、财务部等几个部门，现有职工1</w:t>
      </w:r>
      <w:r>
        <w:rPr>
          <w:rFonts w:hint="eastAsia" w:hAnsi="宋体" w:cs="宋体"/>
          <w:color w:val="000000" w:themeColor="text1"/>
          <w:sz w:val="28"/>
          <w:lang w:val="en-US" w:eastAsia="zh-CN"/>
          <w14:textFill>
            <w14:solidFill>
              <w14:schemeClr w14:val="tx1"/>
            </w14:solidFill>
          </w14:textFill>
        </w:rPr>
        <w:t>5</w:t>
      </w:r>
      <w:r>
        <w:rPr>
          <w:rFonts w:hint="eastAsia" w:ascii="宋体" w:hAnsi="宋体" w:eastAsia="宋体" w:cs="宋体"/>
          <w:color w:val="000000" w:themeColor="text1"/>
          <w:sz w:val="28"/>
          <w:lang w:val="en-US" w:eastAsia="zh-CN"/>
          <w14:textFill>
            <w14:solidFill>
              <w14:schemeClr w14:val="tx1"/>
            </w14:solidFill>
          </w14:textFill>
        </w:rPr>
        <w:t>人。</w:t>
      </w:r>
    </w:p>
    <w:p w14:paraId="731837C1">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14:textFill>
            <w14:solidFill>
              <w14:schemeClr w14:val="tx1"/>
            </w14:solidFill>
          </w14:textFill>
        </w:rPr>
      </w:pPr>
      <w:bookmarkStart w:id="78" w:name="_Toc335926139"/>
      <w:bookmarkStart w:id="79" w:name="_Toc19911"/>
      <w:bookmarkStart w:id="80" w:name="_Toc21644"/>
      <w:bookmarkStart w:id="81" w:name="_Toc5464"/>
      <w:bookmarkStart w:id="82" w:name="_Toc20298"/>
      <w:r>
        <w:rPr>
          <w:rFonts w:hint="eastAsia" w:ascii="宋体" w:hAnsi="宋体" w:eastAsia="宋体" w:cs="宋体"/>
          <w:snapToGrid w:val="0"/>
          <w:color w:val="000000" w:themeColor="text1"/>
          <w:kern w:val="0"/>
          <w:sz w:val="28"/>
          <w:szCs w:val="28"/>
          <w14:textFill>
            <w14:solidFill>
              <w14:schemeClr w14:val="tx1"/>
            </w14:solidFill>
          </w14:textFill>
        </w:rPr>
        <w:t>2.2.</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 xml:space="preserve">2 </w:t>
      </w:r>
      <w:r>
        <w:rPr>
          <w:rFonts w:hint="eastAsia" w:ascii="宋体" w:hAnsi="宋体" w:eastAsia="宋体" w:cs="宋体"/>
          <w:snapToGrid w:val="0"/>
          <w:color w:val="000000" w:themeColor="text1"/>
          <w:kern w:val="0"/>
          <w:sz w:val="28"/>
          <w:szCs w:val="28"/>
          <w14:textFill>
            <w14:solidFill>
              <w14:schemeClr w14:val="tx1"/>
            </w14:solidFill>
          </w14:textFill>
        </w:rPr>
        <w:t>项目地理位置</w:t>
      </w:r>
      <w:bookmarkEnd w:id="78"/>
      <w:bookmarkEnd w:id="79"/>
      <w:bookmarkEnd w:id="80"/>
      <w:bookmarkEnd w:id="81"/>
      <w:bookmarkEnd w:id="82"/>
    </w:p>
    <w:p w14:paraId="311FE213">
      <w:pPr>
        <w:pageBreakBefore w:val="0"/>
        <w:widowControl w:val="0"/>
        <w:kinsoku/>
        <w:wordWrap/>
        <w:overflowPunct/>
        <w:topLinePunct w:val="0"/>
        <w:autoSpaceDE/>
        <w:autoSpaceDN/>
        <w:bidi w:val="0"/>
        <w:adjustRightInd/>
        <w:snapToGrid/>
        <w:spacing w:beforeAutospacing="0" w:afterAutospacing="0" w:line="520" w:lineRule="exact"/>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玉溪市，云南省辖地级市，位于云南省中部，地理坐标处于北纬23°19′～24°53′、 东经101°16′～103°09′6之间。北接省会昆明市，西南连普洱市，东南邻红河哈尼族彝族自治州，西北靠楚雄彝族自治州，全市面积约1.5万平方公里。</w:t>
      </w:r>
      <w:r>
        <w:rPr>
          <w:rFonts w:hint="eastAsia" w:ascii="宋体" w:hAnsi="宋体" w:eastAsia="宋体" w:cs="宋体"/>
          <w:sz w:val="28"/>
          <w:szCs w:val="28"/>
          <w:highlight w:val="none"/>
        </w:rPr>
        <w:t>研和街道，隶属于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"https://baike.baidu.com/item/%E4%BA%91%E5%8D%97%E7%9C%81/18664752?fromModule=lemma_inlink"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云南省</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"https://baike.baidu.com/item/%E7%8E%89%E6%BA%AA%E5%B8%82/744471?fromModule=lemma_inlink"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玉溪市</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红塔区，地处</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"https://baike.baidu.com/item/%E7%BA%A2%E5%A1%94%E5%8C%BA/1166754?fromModule=lemma_inlink"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红塔区</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南部，东与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"https://baike.baidu.com/item/%E9%80%9A%E6%B5%B7%E5%8E%BF/5368305?fromModule=lemma_inlink"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通海县</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相连，南与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"https://baike.baidu.com/item/%E5%B3%A8%E5%B1%B1%E5%BD%9D%E6%97%8F%E8%87%AA%E6%B2%BB%E5%8E%BF/10538635?fromModule=lemma_inlink"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峨山彝族自治县</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为邻，西倚</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"https://baike.baidu.com/item/%E5%A4%A7%E8%90%A5%E8%A1%97%E8%A1%97%E9%81%93/12017092?fromModule=lemma_inlink"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大营街街道</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，北与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"https://baike.baidu.com/item/%E9%AB%98%E4%BB%93%E8%A1%97%E9%81%93/12017145?fromModule=lemma_inlink"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高仓街道</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接壤，研和街道办事处北距玉溪市区15千米，北距省会昆明100余千米，区域总面积131.63平方千米， 截至2011年末，研和街道总人口45957人。</w:t>
      </w:r>
    </w:p>
    <w:p w14:paraId="4AD194B0">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kern w:val="2"/>
          <w:sz w:val="28"/>
          <w:szCs w:val="28"/>
          <w:highlight w:val="none"/>
          <w:lang w:val="en-US" w:eastAsia="zh-CN" w:bidi="ar-SA"/>
        </w:rPr>
        <w:t>玉溪国家高新技术产业开发区位于玉溪市西南部，该项目位于云南省玉溪市红塔工业园区数控机床产业园；距离项目最近的高速为昆磨高速及S102省道，厂区出入口道路与S102省道相连接，交通便利。中心地理坐标为东经：102°29′05″，北纬：24°12′53″。</w:t>
      </w:r>
      <w:r>
        <w:rPr>
          <w:rFonts w:hint="eastAsia" w:ascii="宋体" w:hAnsi="宋体" w:eastAsia="宋体" w:cs="宋体"/>
          <w:color w:val="000000" w:themeColor="text1"/>
          <w:sz w:val="28"/>
          <w:szCs w:val="28"/>
          <w14:textFill>
            <w14:solidFill>
              <w14:schemeClr w14:val="tx1"/>
            </w14:solidFill>
          </w14:textFill>
        </w:rPr>
        <w:t>项目地理位置见</w:t>
      </w:r>
      <w:r>
        <w:rPr>
          <w:rFonts w:hint="eastAsia" w:ascii="宋体" w:hAnsi="宋体" w:eastAsia="宋体" w:cs="宋体"/>
          <w:color w:val="000000" w:themeColor="text1"/>
          <w:spacing w:val="-8"/>
          <w:sz w:val="28"/>
          <w:szCs w:val="28"/>
          <w:lang w:eastAsia="zh-CN"/>
          <w14:textFill>
            <w14:solidFill>
              <w14:schemeClr w14:val="tx1"/>
            </w14:solidFill>
          </w14:textFill>
        </w:rPr>
        <w:t>详</w:t>
      </w:r>
      <w:r>
        <w:rPr>
          <w:rFonts w:hint="eastAsia" w:ascii="宋体" w:hAnsi="宋体" w:eastAsia="宋体" w:cs="宋体"/>
          <w:color w:val="000000" w:themeColor="text1"/>
          <w:spacing w:val="-8"/>
          <w:sz w:val="28"/>
          <w:szCs w:val="28"/>
          <w14:textFill>
            <w14:solidFill>
              <w14:schemeClr w14:val="tx1"/>
            </w14:solidFill>
          </w14:textFill>
        </w:rPr>
        <w:t xml:space="preserve">见图 </w:t>
      </w:r>
      <w:r>
        <w:rPr>
          <w:rFonts w:hint="eastAsia" w:ascii="宋体" w:hAnsi="宋体" w:eastAsia="宋体" w:cs="宋体"/>
          <w:color w:val="000000" w:themeColor="text1"/>
          <w:spacing w:val="-8"/>
          <w:sz w:val="28"/>
          <w:szCs w:val="28"/>
          <w:lang w:val="en-US" w:eastAsia="zh-CN"/>
          <w14:textFill>
            <w14:solidFill>
              <w14:schemeClr w14:val="tx1"/>
            </w14:solidFill>
          </w14:textFill>
        </w:rPr>
        <w:t>2</w:t>
      </w:r>
      <w:r>
        <w:rPr>
          <w:rFonts w:hint="eastAsia" w:ascii="宋体" w:hAnsi="宋体" w:eastAsia="宋体" w:cs="宋体"/>
          <w:color w:val="000000" w:themeColor="text1"/>
          <w:spacing w:val="-8"/>
          <w:sz w:val="28"/>
          <w:szCs w:val="28"/>
          <w14:textFill>
            <w14:solidFill>
              <w14:schemeClr w14:val="tx1"/>
            </w14:solidFill>
          </w14:textFill>
        </w:rPr>
        <w:t>-1。</w:t>
      </w:r>
    </w:p>
    <w:p w14:paraId="1429B9B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center"/>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rPr>
        <w:drawing>
          <wp:anchor distT="0" distB="0" distL="114300" distR="114300" simplePos="0" relativeHeight="251660288" behindDoc="0" locked="0" layoutInCell="1" allowOverlap="1">
            <wp:simplePos x="0" y="0"/>
            <wp:positionH relativeFrom="column">
              <wp:posOffset>297180</wp:posOffset>
            </wp:positionH>
            <wp:positionV relativeFrom="paragraph">
              <wp:posOffset>236220</wp:posOffset>
            </wp:positionV>
            <wp:extent cx="5408295" cy="3596640"/>
            <wp:effectExtent l="0" t="0" r="1905" b="0"/>
            <wp:wrapTopAndBottom/>
            <wp:docPr id="1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3"/>
                    <pic:cNvPicPr>
                      <a:picLocks noChangeAspect="1"/>
                    </pic:cNvPicPr>
                  </pic:nvPicPr>
                  <pic:blipFill>
                    <a:blip r:embed="rId19"/>
                    <a:stretch>
                      <a:fillRect/>
                    </a:stretch>
                  </pic:blipFill>
                  <pic:spPr>
                    <a:xfrm>
                      <a:off x="0" y="0"/>
                      <a:ext cx="5408295" cy="3596640"/>
                    </a:xfrm>
                    <a:prstGeom prst="rect">
                      <a:avLst/>
                    </a:prstGeom>
                    <a:noFill/>
                    <a:ln>
                      <a:noFill/>
                    </a:ln>
                  </pic:spPr>
                </pic:pic>
              </a:graphicData>
            </a:graphic>
          </wp:anchor>
        </w:drawing>
      </w:r>
      <w:r>
        <w:rPr>
          <w:rFonts w:hint="eastAsia" w:ascii="宋体" w:hAnsi="宋体" w:eastAsia="宋体" w:cs="宋体"/>
          <w:color w:val="000000" w:themeColor="text1"/>
          <w:sz w:val="28"/>
          <w:szCs w:val="28"/>
          <w:lang w:val="en-US" w:eastAsia="zh-CN"/>
          <w14:textFill>
            <w14:solidFill>
              <w14:schemeClr w14:val="tx1"/>
            </w14:solidFill>
          </w14:textFill>
        </w:rPr>
        <w:t>图2-1 项目交通位置图</w:t>
      </w:r>
    </w:p>
    <w:p w14:paraId="13B62C47">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14:textFill>
            <w14:solidFill>
              <w14:schemeClr w14:val="tx1"/>
            </w14:solidFill>
          </w14:textFill>
        </w:rPr>
      </w:pPr>
      <w:bookmarkStart w:id="83" w:name="_Toc335926141"/>
      <w:bookmarkStart w:id="84" w:name="_Toc24917"/>
      <w:bookmarkStart w:id="85" w:name="_Toc29697"/>
      <w:bookmarkStart w:id="86" w:name="_Toc313453448"/>
      <w:r>
        <w:rPr>
          <w:rFonts w:hint="eastAsia" w:ascii="宋体" w:hAnsi="宋体" w:eastAsia="宋体" w:cs="宋体"/>
          <w:snapToGrid w:val="0"/>
          <w:color w:val="000000" w:themeColor="text1"/>
          <w:kern w:val="0"/>
          <w:sz w:val="28"/>
          <w:szCs w:val="28"/>
          <w14:textFill>
            <w14:solidFill>
              <w14:schemeClr w14:val="tx1"/>
            </w14:solidFill>
          </w14:textFill>
        </w:rPr>
        <w:t>2.2.</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 xml:space="preserve">3 </w:t>
      </w:r>
      <w:r>
        <w:rPr>
          <w:rFonts w:hint="eastAsia" w:ascii="宋体" w:hAnsi="宋体" w:eastAsia="宋体" w:cs="宋体"/>
          <w:snapToGrid w:val="0"/>
          <w:color w:val="000000" w:themeColor="text1"/>
          <w:kern w:val="0"/>
          <w:sz w:val="28"/>
          <w:szCs w:val="28"/>
          <w14:textFill>
            <w14:solidFill>
              <w14:schemeClr w14:val="tx1"/>
            </w14:solidFill>
          </w14:textFill>
        </w:rPr>
        <w:t>项目周边情况</w:t>
      </w:r>
      <w:bookmarkEnd w:id="83"/>
      <w:bookmarkEnd w:id="84"/>
      <w:bookmarkEnd w:id="85"/>
      <w:bookmarkEnd w:id="86"/>
    </w:p>
    <w:p w14:paraId="37563DDB">
      <w:pPr>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2"/>
          <w:sz w:val="28"/>
          <w:szCs w:val="28"/>
          <w:highlight w:val="none"/>
          <w:lang w:val="en-US" w:eastAsia="zh-CN" w:bidi="ar-SA"/>
        </w:rPr>
      </w:pPr>
      <w:r>
        <w:rPr>
          <w:rFonts w:hint="eastAsia"/>
          <w:sz w:val="28"/>
          <w:szCs w:val="28"/>
          <w:lang w:eastAsia="zh-CN"/>
        </w:rPr>
        <w:t>玉溪正宇智能科技有限公司</w:t>
      </w:r>
      <w:r>
        <w:rPr>
          <w:sz w:val="28"/>
          <w:szCs w:val="28"/>
        </w:rPr>
        <w:t>厂址位于玉溪数控产业园，为租赁用地及租赁标准化厂房</w:t>
      </w:r>
      <w:r>
        <w:rPr>
          <w:rFonts w:hint="eastAsia"/>
          <w:sz w:val="28"/>
          <w:szCs w:val="28"/>
          <w:lang w:eastAsia="zh-CN"/>
        </w:rPr>
        <w:t>。</w:t>
      </w:r>
      <w:r>
        <w:rPr>
          <w:rFonts w:hint="eastAsia"/>
          <w:sz w:val="28"/>
          <w:szCs w:val="28"/>
          <w:lang w:val="en-US" w:eastAsia="zh-CN"/>
        </w:rPr>
        <w:t>项目厂房西侧与玉溪精工数控机床厂毗邻，西南侧为</w:t>
      </w:r>
      <w:r>
        <w:rPr>
          <w:rFonts w:hint="eastAsia"/>
          <w:sz w:val="28"/>
          <w:szCs w:val="28"/>
          <w:highlight w:val="none"/>
        </w:rPr>
        <w:t>研和数控机床产业园二期办公楼</w:t>
      </w:r>
      <w:r>
        <w:rPr>
          <w:rFonts w:hint="eastAsia"/>
          <w:sz w:val="28"/>
          <w:szCs w:val="28"/>
          <w:highlight w:val="none"/>
          <w:lang w:eastAsia="zh-CN"/>
        </w:rPr>
        <w:t>，</w:t>
      </w:r>
      <w:r>
        <w:rPr>
          <w:rFonts w:hint="eastAsia"/>
          <w:sz w:val="28"/>
          <w:szCs w:val="28"/>
          <w:highlight w:val="none"/>
          <w:lang w:val="en-US" w:eastAsia="zh-CN"/>
        </w:rPr>
        <w:t>东侧为众城&amp;台基数控机床有限公司、云南普菲特数控机械有限公司，北侧为山林。</w:t>
      </w:r>
      <w:r>
        <w:rPr>
          <w:rFonts w:hint="eastAsia" w:ascii="宋体" w:hAnsi="宋体" w:eastAsia="宋体" w:cs="宋体"/>
          <w:kern w:val="2"/>
          <w:sz w:val="28"/>
          <w:szCs w:val="28"/>
          <w:highlight w:val="none"/>
          <w:lang w:val="en-US" w:eastAsia="zh-CN" w:bidi="ar-SA"/>
        </w:rPr>
        <w:t>距离项目最近的高速公路为昆磨高速及213国道，厂区出入口通过园区道路与213国道相连接，距离213国道仅300m，交通便利。</w:t>
      </w:r>
      <w:r>
        <w:rPr>
          <w:rFonts w:hint="eastAsia" w:ascii="宋体" w:hAnsi="宋体" w:eastAsia="宋体" w:cs="宋体"/>
          <w:color w:val="000000" w:themeColor="text1"/>
          <w:kern w:val="0"/>
          <w:sz w:val="28"/>
          <w:szCs w:val="28"/>
          <w14:textFill>
            <w14:solidFill>
              <w14:schemeClr w14:val="tx1"/>
            </w14:solidFill>
          </w14:textFill>
        </w:rPr>
        <w:t>厂址周围无医院、文物古迹、自然保护区、风景名胜区等环境敏感点及国家重要的政治、军事、文化设施</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kern w:val="2"/>
          <w:sz w:val="28"/>
          <w:szCs w:val="28"/>
          <w:highlight w:val="none"/>
          <w:lang w:val="en-US" w:eastAsia="zh-CN" w:bidi="ar-SA"/>
        </w:rPr>
        <w:t>厂区位置周边关系见图2-2所示。</w:t>
      </w:r>
    </w:p>
    <w:tbl>
      <w:tblPr>
        <w:tblStyle w:val="25"/>
        <w:tblpPr w:leftFromText="180" w:rightFromText="180" w:vertAnchor="text" w:horzAnchor="page" w:tblpX="2137" w:tblpY="9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1992"/>
        <w:gridCol w:w="1236"/>
        <w:gridCol w:w="1236"/>
        <w:gridCol w:w="3174"/>
      </w:tblGrid>
      <w:tr w14:paraId="600C5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884" w:type="dxa"/>
            <w:vAlign w:val="center"/>
          </w:tcPr>
          <w:p w14:paraId="390DB718">
            <w:pPr>
              <w:keepNext w:val="0"/>
              <w:keepLines w:val="0"/>
              <w:widowControl/>
              <w:suppressLineNumbers w:val="0"/>
              <w:jc w:val="center"/>
              <w:rPr>
                <w:rFonts w:hint="eastAsia" w:ascii="宋体" w:hAnsi="宋体" w:eastAsia="宋体" w:cs="宋体"/>
                <w:sz w:val="21"/>
                <w:szCs w:val="21"/>
                <w:vertAlign w:val="baseline"/>
                <w:lang w:val="en-US" w:eastAsia="zh-CN"/>
              </w:rPr>
            </w:pPr>
            <w:r>
              <w:rPr>
                <w:rFonts w:hint="eastAsia" w:ascii="宋体" w:hAnsi="宋体" w:eastAsia="宋体" w:cs="宋体"/>
                <w:b/>
                <w:bCs/>
                <w:color w:val="000000"/>
                <w:kern w:val="0"/>
                <w:sz w:val="21"/>
                <w:szCs w:val="21"/>
                <w:lang w:val="en-US" w:eastAsia="zh-CN" w:bidi="ar"/>
              </w:rPr>
              <w:t>方位</w:t>
            </w:r>
          </w:p>
        </w:tc>
        <w:tc>
          <w:tcPr>
            <w:tcW w:w="1992" w:type="dxa"/>
            <w:vAlign w:val="center"/>
          </w:tcPr>
          <w:p w14:paraId="1E1BED2C">
            <w:pPr>
              <w:keepNext w:val="0"/>
              <w:keepLines w:val="0"/>
              <w:widowControl/>
              <w:suppressLineNumbers w:val="0"/>
              <w:jc w:val="center"/>
              <w:rPr>
                <w:rFonts w:hint="eastAsia" w:ascii="宋体" w:hAnsi="宋体" w:eastAsia="宋体" w:cs="宋体"/>
                <w:sz w:val="21"/>
                <w:szCs w:val="21"/>
                <w:vertAlign w:val="baseline"/>
                <w:lang w:val="en-US" w:eastAsia="zh-CN"/>
              </w:rPr>
            </w:pPr>
            <w:r>
              <w:rPr>
                <w:rFonts w:hint="eastAsia" w:ascii="宋体" w:hAnsi="宋体" w:eastAsia="宋体" w:cs="宋体"/>
                <w:b/>
                <w:bCs/>
                <w:color w:val="000000"/>
                <w:kern w:val="0"/>
                <w:sz w:val="21"/>
                <w:szCs w:val="21"/>
                <w:lang w:val="en-US" w:eastAsia="zh-CN" w:bidi="ar"/>
              </w:rPr>
              <w:t>周边情况</w:t>
            </w:r>
          </w:p>
        </w:tc>
        <w:tc>
          <w:tcPr>
            <w:tcW w:w="1236" w:type="dxa"/>
            <w:shd w:val="clear" w:color="auto" w:fill="auto"/>
            <w:vAlign w:val="center"/>
          </w:tcPr>
          <w:p w14:paraId="14F6ADEC">
            <w:pPr>
              <w:keepNext w:val="0"/>
              <w:keepLines w:val="0"/>
              <w:widowControl/>
              <w:suppressLineNumbers w:val="0"/>
              <w:jc w:val="center"/>
              <w:rPr>
                <w:rFonts w:hint="eastAsia" w:ascii="宋体" w:hAnsi="宋体" w:eastAsia="宋体" w:cs="宋体"/>
                <w:sz w:val="21"/>
                <w:szCs w:val="21"/>
                <w:vertAlign w:val="baseline"/>
                <w:lang w:val="en-US" w:eastAsia="zh-CN" w:bidi="ar-SA"/>
              </w:rPr>
            </w:pPr>
            <w:r>
              <w:rPr>
                <w:rFonts w:hint="eastAsia" w:ascii="宋体" w:hAnsi="宋体" w:eastAsia="宋体" w:cs="宋体"/>
                <w:b/>
                <w:bCs/>
                <w:color w:val="000000"/>
                <w:kern w:val="0"/>
                <w:sz w:val="21"/>
                <w:szCs w:val="21"/>
                <w:lang w:val="en-US" w:eastAsia="zh-CN" w:bidi="ar"/>
              </w:rPr>
              <w:t>规范要求</w:t>
            </w:r>
          </w:p>
        </w:tc>
        <w:tc>
          <w:tcPr>
            <w:tcW w:w="1236" w:type="dxa"/>
            <w:vAlign w:val="center"/>
          </w:tcPr>
          <w:p w14:paraId="7E0F49A3">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b/>
                <w:bCs/>
                <w:color w:val="000000"/>
                <w:kern w:val="0"/>
                <w:sz w:val="21"/>
                <w:szCs w:val="21"/>
                <w:lang w:val="en-US" w:eastAsia="zh-CN" w:bidi="ar"/>
              </w:rPr>
              <w:t>距离</w:t>
            </w:r>
          </w:p>
        </w:tc>
        <w:tc>
          <w:tcPr>
            <w:tcW w:w="3174" w:type="dxa"/>
            <w:vAlign w:val="center"/>
          </w:tcPr>
          <w:p w14:paraId="697FAFC0">
            <w:pPr>
              <w:keepNext w:val="0"/>
              <w:keepLines w:val="0"/>
              <w:widowControl/>
              <w:suppressLineNumbers w:val="0"/>
              <w:jc w:val="center"/>
              <w:rPr>
                <w:rFonts w:hint="eastAsia" w:ascii="宋体" w:hAnsi="宋体" w:eastAsia="宋体" w:cs="宋体"/>
                <w:sz w:val="21"/>
                <w:szCs w:val="21"/>
                <w:vertAlign w:val="baseline"/>
                <w:lang w:val="en-US" w:eastAsia="zh-CN"/>
              </w:rPr>
            </w:pPr>
            <w:r>
              <w:rPr>
                <w:rFonts w:hint="eastAsia" w:ascii="宋体" w:hAnsi="宋体" w:eastAsia="宋体" w:cs="宋体"/>
                <w:b/>
                <w:bCs/>
                <w:color w:val="000000"/>
                <w:kern w:val="0"/>
                <w:sz w:val="21"/>
                <w:szCs w:val="21"/>
                <w:lang w:val="en-US" w:eastAsia="zh-CN" w:bidi="ar"/>
              </w:rPr>
              <w:t>参考依据</w:t>
            </w:r>
          </w:p>
        </w:tc>
      </w:tr>
      <w:tr w14:paraId="1F659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14:paraId="72B76A53">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西南侧</w:t>
            </w:r>
          </w:p>
        </w:tc>
        <w:tc>
          <w:tcPr>
            <w:tcW w:w="1992" w:type="dxa"/>
            <w:vAlign w:val="center"/>
          </w:tcPr>
          <w:p w14:paraId="4A7F0768">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研和数控机床产业园二期办公楼</w:t>
            </w:r>
          </w:p>
        </w:tc>
        <w:tc>
          <w:tcPr>
            <w:tcW w:w="1236" w:type="dxa"/>
            <w:shd w:val="clear" w:color="auto" w:fill="auto"/>
            <w:vAlign w:val="center"/>
          </w:tcPr>
          <w:p w14:paraId="170DACC2">
            <w:pPr>
              <w:bidi w:val="0"/>
              <w:jc w:val="center"/>
              <w:rPr>
                <w:rFonts w:hint="eastAsia" w:ascii="宋体" w:hAnsi="宋体" w:eastAsia="宋体" w:cs="宋体"/>
                <w:sz w:val="21"/>
                <w:szCs w:val="21"/>
                <w:vertAlign w:val="baseline"/>
                <w:lang w:val="en-US" w:eastAsia="zh-CN" w:bidi="ar-SA"/>
              </w:rPr>
            </w:pPr>
            <w:r>
              <w:rPr>
                <w:rFonts w:hint="eastAsia" w:ascii="宋体" w:hAnsi="宋体" w:eastAsia="宋体" w:cs="宋体"/>
                <w:sz w:val="21"/>
                <w:szCs w:val="21"/>
                <w:vertAlign w:val="baseline"/>
                <w:lang w:val="en-US" w:eastAsia="zh-CN"/>
              </w:rPr>
              <w:t>10m</w:t>
            </w:r>
          </w:p>
        </w:tc>
        <w:tc>
          <w:tcPr>
            <w:tcW w:w="1236" w:type="dxa"/>
            <w:vAlign w:val="center"/>
          </w:tcPr>
          <w:p w14:paraId="3293E99D">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58m</w:t>
            </w:r>
          </w:p>
        </w:tc>
        <w:tc>
          <w:tcPr>
            <w:tcW w:w="3174" w:type="dxa"/>
            <w:vAlign w:val="center"/>
          </w:tcPr>
          <w:p w14:paraId="634573F8">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《建筑设计防火规范（GB50016-2014，2018 年版）第 3.4.1 条</w:t>
            </w:r>
          </w:p>
        </w:tc>
      </w:tr>
      <w:tr w14:paraId="1B578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14:paraId="5266CB46">
            <w:pPr>
              <w:bidi w:val="0"/>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东侧</w:t>
            </w:r>
          </w:p>
        </w:tc>
        <w:tc>
          <w:tcPr>
            <w:tcW w:w="1992" w:type="dxa"/>
            <w:vAlign w:val="center"/>
          </w:tcPr>
          <w:p w14:paraId="59A562C2">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云南普菲特数控机械有限公司</w:t>
            </w:r>
          </w:p>
        </w:tc>
        <w:tc>
          <w:tcPr>
            <w:tcW w:w="1236" w:type="dxa"/>
            <w:shd w:val="clear" w:color="auto" w:fill="auto"/>
            <w:vAlign w:val="center"/>
          </w:tcPr>
          <w:p w14:paraId="71746456">
            <w:pPr>
              <w:bidi w:val="0"/>
              <w:jc w:val="center"/>
              <w:rPr>
                <w:rFonts w:hint="eastAsia" w:ascii="宋体" w:hAnsi="宋体" w:eastAsia="宋体" w:cs="宋体"/>
                <w:sz w:val="21"/>
                <w:szCs w:val="21"/>
                <w:vertAlign w:val="baseline"/>
                <w:lang w:val="en-US" w:eastAsia="zh-CN" w:bidi="ar-SA"/>
              </w:rPr>
            </w:pPr>
            <w:r>
              <w:rPr>
                <w:rFonts w:hint="eastAsia" w:ascii="宋体" w:hAnsi="宋体" w:eastAsia="宋体" w:cs="宋体"/>
                <w:sz w:val="21"/>
                <w:szCs w:val="21"/>
                <w:vertAlign w:val="baseline"/>
                <w:lang w:val="en-US" w:eastAsia="zh-CN"/>
              </w:rPr>
              <w:t>10m</w:t>
            </w:r>
          </w:p>
        </w:tc>
        <w:tc>
          <w:tcPr>
            <w:tcW w:w="1236" w:type="dxa"/>
            <w:vAlign w:val="center"/>
          </w:tcPr>
          <w:p w14:paraId="242C731A">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43m</w:t>
            </w:r>
          </w:p>
        </w:tc>
        <w:tc>
          <w:tcPr>
            <w:tcW w:w="3174" w:type="dxa"/>
            <w:vAlign w:val="center"/>
          </w:tcPr>
          <w:p w14:paraId="3FA5323D">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《建筑设计防火规范（GB50016-2014，2018 年版）第 3.4.1 条</w:t>
            </w:r>
          </w:p>
        </w:tc>
      </w:tr>
      <w:tr w14:paraId="3AAC3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14:paraId="6B4CD58F">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西侧</w:t>
            </w:r>
          </w:p>
        </w:tc>
        <w:tc>
          <w:tcPr>
            <w:tcW w:w="1992" w:type="dxa"/>
            <w:vAlign w:val="center"/>
          </w:tcPr>
          <w:p w14:paraId="607BE430">
            <w:pPr>
              <w:bidi w:val="0"/>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玉溪精工数控机床厂</w:t>
            </w:r>
          </w:p>
        </w:tc>
        <w:tc>
          <w:tcPr>
            <w:tcW w:w="1236" w:type="dxa"/>
            <w:shd w:val="clear" w:color="auto" w:fill="auto"/>
            <w:vAlign w:val="center"/>
          </w:tcPr>
          <w:p w14:paraId="4F2A11F3">
            <w:pPr>
              <w:bidi w:val="0"/>
              <w:jc w:val="center"/>
              <w:rPr>
                <w:rFonts w:hint="eastAsia" w:ascii="宋体" w:hAnsi="宋体" w:eastAsia="宋体" w:cs="宋体"/>
                <w:sz w:val="21"/>
                <w:szCs w:val="21"/>
                <w:vertAlign w:val="baseline"/>
                <w:lang w:val="en-US" w:eastAsia="zh-CN" w:bidi="ar-SA"/>
              </w:rPr>
            </w:pPr>
            <w:r>
              <w:rPr>
                <w:rFonts w:hint="eastAsia" w:ascii="宋体" w:hAnsi="宋体" w:eastAsia="宋体" w:cs="宋体"/>
                <w:sz w:val="21"/>
                <w:szCs w:val="21"/>
                <w:vertAlign w:val="baseline"/>
                <w:lang w:val="en-US" w:eastAsia="zh-CN"/>
              </w:rPr>
              <w:t>10m</w:t>
            </w:r>
          </w:p>
        </w:tc>
        <w:tc>
          <w:tcPr>
            <w:tcW w:w="1236" w:type="dxa"/>
            <w:vAlign w:val="center"/>
          </w:tcPr>
          <w:p w14:paraId="0B933E4F">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12m</w:t>
            </w:r>
          </w:p>
        </w:tc>
        <w:tc>
          <w:tcPr>
            <w:tcW w:w="3174" w:type="dxa"/>
            <w:vAlign w:val="center"/>
          </w:tcPr>
          <w:p w14:paraId="2E081CAB">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《建筑设计防火规范（GB50016-2014，2018 年版）第 3.4.1 条</w:t>
            </w:r>
          </w:p>
        </w:tc>
      </w:tr>
      <w:tr w14:paraId="55AED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14:paraId="5275D543">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东侧</w:t>
            </w:r>
          </w:p>
        </w:tc>
        <w:tc>
          <w:tcPr>
            <w:tcW w:w="1992" w:type="dxa"/>
            <w:vAlign w:val="center"/>
          </w:tcPr>
          <w:p w14:paraId="6FBD4177">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众城&amp;台基数控机床有限公司</w:t>
            </w:r>
          </w:p>
        </w:tc>
        <w:tc>
          <w:tcPr>
            <w:tcW w:w="1236" w:type="dxa"/>
            <w:shd w:val="clear" w:color="auto" w:fill="auto"/>
            <w:vAlign w:val="center"/>
          </w:tcPr>
          <w:p w14:paraId="00E3190D">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10m</w:t>
            </w:r>
          </w:p>
        </w:tc>
        <w:tc>
          <w:tcPr>
            <w:tcW w:w="1236" w:type="dxa"/>
            <w:vAlign w:val="center"/>
          </w:tcPr>
          <w:p w14:paraId="48A7ABD2">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29m</w:t>
            </w:r>
          </w:p>
        </w:tc>
        <w:tc>
          <w:tcPr>
            <w:tcW w:w="3174" w:type="dxa"/>
            <w:vAlign w:val="center"/>
          </w:tcPr>
          <w:p w14:paraId="49E0B473">
            <w:pPr>
              <w:bidi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《建筑设计防火规范（GB50016-2014，2018 年版）第 3.4.1 条</w:t>
            </w:r>
          </w:p>
        </w:tc>
      </w:tr>
    </w:tbl>
    <w:p w14:paraId="34E1FBF1">
      <w:pPr>
        <w:bidi w:val="0"/>
        <w:rPr>
          <w:rFonts w:hint="eastAsia" w:ascii="宋体" w:hAnsi="宋体" w:eastAsia="宋体" w:cs="宋体"/>
          <w:lang w:val="en-US" w:eastAsia="zh-CN"/>
        </w:rPr>
      </w:pPr>
    </w:p>
    <w:p w14:paraId="5A82327E">
      <w:pPr>
        <w:bidi w:val="0"/>
        <w:jc w:val="center"/>
        <w:rPr>
          <w:rFonts w:hint="eastAsia" w:ascii="宋体" w:hAnsi="宋体" w:eastAsia="宋体" w:cs="宋体"/>
          <w:b/>
          <w:bCs/>
          <w:lang w:val="en-US" w:eastAsia="zh-CN"/>
        </w:rPr>
      </w:pPr>
      <w:r>
        <w:rPr>
          <w:rFonts w:hint="eastAsia" w:ascii="宋体" w:hAnsi="宋体" w:eastAsia="宋体" w:cs="宋体"/>
          <w:b/>
          <w:bCs/>
          <w:lang w:val="en-US" w:eastAsia="zh-CN"/>
        </w:rPr>
        <w:t>周边环境一览表</w:t>
      </w:r>
    </w:p>
    <w:p w14:paraId="2524E648">
      <w:pPr>
        <w:rPr>
          <w:rFonts w:hint="eastAsia"/>
          <w:lang w:val="en-US" w:eastAsia="zh-CN"/>
        </w:rPr>
      </w:pPr>
      <w:r>
        <w:drawing>
          <wp:anchor distT="0" distB="0" distL="114300" distR="114300" simplePos="0" relativeHeight="251661312" behindDoc="0" locked="0" layoutInCell="1" allowOverlap="1">
            <wp:simplePos x="0" y="0"/>
            <wp:positionH relativeFrom="column">
              <wp:posOffset>38100</wp:posOffset>
            </wp:positionH>
            <wp:positionV relativeFrom="paragraph">
              <wp:posOffset>3059430</wp:posOffset>
            </wp:positionV>
            <wp:extent cx="5829300" cy="3299460"/>
            <wp:effectExtent l="0" t="0" r="7620" b="7620"/>
            <wp:wrapTopAndBottom/>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20"/>
                    <a:stretch>
                      <a:fillRect/>
                    </a:stretch>
                  </pic:blipFill>
                  <pic:spPr>
                    <a:xfrm>
                      <a:off x="0" y="0"/>
                      <a:ext cx="5829300" cy="3299460"/>
                    </a:xfrm>
                    <a:prstGeom prst="rect">
                      <a:avLst/>
                    </a:prstGeom>
                    <a:noFill/>
                    <a:ln>
                      <a:noFill/>
                    </a:ln>
                  </pic:spPr>
                </pic:pic>
              </a:graphicData>
            </a:graphic>
          </wp:anchor>
        </w:drawing>
      </w:r>
    </w:p>
    <w:p w14:paraId="31E19027">
      <w:pPr>
        <w:bidi w:val="0"/>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图2-2 项目周边环境示意图</w:t>
      </w:r>
    </w:p>
    <w:p w14:paraId="7C39D9DD">
      <w:pPr>
        <w:bidi w:val="0"/>
        <w:jc w:val="center"/>
        <w:rPr>
          <w:rFonts w:hint="eastAsia" w:ascii="宋体" w:hAnsi="宋体" w:eastAsia="宋体" w:cs="宋体"/>
          <w:b/>
          <w:bCs/>
          <w:color w:val="000000" w:themeColor="text1"/>
          <w14:textFill>
            <w14:solidFill>
              <w14:schemeClr w14:val="tx1"/>
            </w14:solidFill>
          </w14:textFill>
        </w:rPr>
      </w:pPr>
    </w:p>
    <w:p w14:paraId="4EFA63A6">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14:textFill>
            <w14:solidFill>
              <w14:schemeClr w14:val="tx1"/>
            </w14:solidFill>
          </w14:textFill>
        </w:rPr>
      </w:pPr>
      <w:bookmarkStart w:id="87" w:name="_Toc17782"/>
      <w:bookmarkStart w:id="88" w:name="_Toc29473"/>
      <w:bookmarkStart w:id="89" w:name="_Toc32452"/>
      <w:bookmarkStart w:id="90" w:name="_Toc335926142"/>
      <w:bookmarkStart w:id="91" w:name="_Toc4677"/>
      <w:bookmarkStart w:id="92" w:name="_Toc313453449"/>
      <w:r>
        <w:rPr>
          <w:rFonts w:hint="eastAsia" w:ascii="宋体" w:hAnsi="宋体" w:eastAsia="宋体" w:cs="宋体"/>
          <w:snapToGrid w:val="0"/>
          <w:color w:val="000000" w:themeColor="text1"/>
          <w:kern w:val="0"/>
          <w:sz w:val="28"/>
          <w:szCs w:val="28"/>
          <w14:textFill>
            <w14:solidFill>
              <w14:schemeClr w14:val="tx1"/>
            </w14:solidFill>
          </w14:textFill>
        </w:rPr>
        <w:t>2.2.</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4</w:t>
      </w:r>
      <w:r>
        <w:rPr>
          <w:rFonts w:hint="eastAsia" w:ascii="宋体" w:hAnsi="宋体" w:eastAsia="宋体" w:cs="宋体"/>
          <w:snapToGrid w:val="0"/>
          <w:color w:val="000000" w:themeColor="text1"/>
          <w:kern w:val="0"/>
          <w:sz w:val="28"/>
          <w:szCs w:val="28"/>
          <w14:textFill>
            <w14:solidFill>
              <w14:schemeClr w14:val="tx1"/>
            </w14:solidFill>
          </w14:textFill>
        </w:rPr>
        <w:t>气象条件</w:t>
      </w:r>
      <w:bookmarkEnd w:id="87"/>
      <w:bookmarkEnd w:id="88"/>
      <w:bookmarkEnd w:id="89"/>
      <w:bookmarkEnd w:id="90"/>
      <w:bookmarkEnd w:id="91"/>
      <w:bookmarkEnd w:id="92"/>
    </w:p>
    <w:p w14:paraId="46844248">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bookmarkStart w:id="93" w:name="_Toc54294400"/>
      <w:bookmarkStart w:id="94" w:name="_Toc51340634"/>
      <w:bookmarkStart w:id="95" w:name="_Toc129520595"/>
      <w:bookmarkStart w:id="96" w:name="_Toc103178261"/>
      <w:bookmarkStart w:id="97" w:name="_Toc313453450"/>
      <w:bookmarkStart w:id="98" w:name="_Toc29539"/>
      <w:bookmarkStart w:id="99" w:name="_Toc335926143"/>
      <w:bookmarkStart w:id="100" w:name="_Toc21990"/>
      <w:r>
        <w:rPr>
          <w:rFonts w:hint="eastAsia" w:ascii="宋体" w:hAnsi="宋体" w:eastAsia="宋体" w:cs="宋体"/>
          <w:b w:val="0"/>
          <w:bCs w:val="0"/>
          <w:color w:val="000000" w:themeColor="text1"/>
          <w:sz w:val="28"/>
          <w:szCs w:val="28"/>
          <w:lang w:val="en-US" w:eastAsia="zh-CN"/>
          <w14:textFill>
            <w14:solidFill>
              <w14:schemeClr w14:val="tx1"/>
            </w14:solidFill>
          </w14:textFill>
        </w:rPr>
        <w:t>红塔区为中亚热带半湿润冷冬高原季风气候，冬无严寒，夏无酷暑，气候宜人。由于山脉和地势的影响，使红塔区气候的水平差异和垂直差异都较大，首先，山脉对气流的动力抬升作用，使东西部降水量比中部和南部坝区偏多，其次是使气温随海拔升高而降低。因此，坝区气候温和，山区气候冷凉。红塔区地处低纬高原，冬夏半年各受两种性质不同的大气环流交替影响，因此，高原季风气候特点显著，冬半年（即干季11-4月）受南支西风急流控制，空气温暖干燥，因而晴天多，日照充足，太阳辐射强，降水少；同时由于晴朗干燥，夜间辐射冷却亦强，容易形成霜或霜冻。夏半年(即雨季5-10月)，受副热带高压控制，常受来自赤道海洋的西南季风和来自热带海洋的东南季风影响，湿度大、水汽充足、降水多，会形成洪涝灾害，鉴于以上天气特点，红塔区形成了冬暖夏凉，四季如春，夏秋多雨，冬春干旱，雨热同季的气候。</w:t>
      </w:r>
    </w:p>
    <w:p w14:paraId="1F438263">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据红塔区气象局资料，全区多年平均气温15.6℃，最冷月（1月）平均温度8.4℃，最热月（7月）平均温度20.7℃，多年极端最低气温-5.5℃，无霜期233天，年平均降水量913.0ｍｍ，年日照时数2185.0小时。2010年全年平均气温17.4℃，极端最高气温32.2℃(5月6日)，极端最低气温0.5℃（12月17日）；全年日照时数为2370.5小时，日照率为54%；霜降从2010年11月3日始，2011年2月23日止，共113天；全年降雨155天，降雨量639.6毫米；平均相对湿度为72%，最小湿度为10%；主要气象灾害有旱灾、冰雹灾等。</w:t>
      </w:r>
      <w:bookmarkEnd w:id="93"/>
      <w:bookmarkEnd w:id="94"/>
      <w:bookmarkEnd w:id="95"/>
      <w:bookmarkEnd w:id="96"/>
      <w:r>
        <w:rPr>
          <w:rFonts w:hint="eastAsia" w:ascii="宋体" w:hAnsi="宋体" w:eastAsia="宋体" w:cs="宋体"/>
          <w:b w:val="0"/>
          <w:bCs w:val="0"/>
          <w:color w:val="000000" w:themeColor="text1"/>
          <w:sz w:val="28"/>
          <w:szCs w:val="28"/>
          <w:lang w:val="en-US" w:eastAsia="zh-CN"/>
          <w14:textFill>
            <w14:solidFill>
              <w14:schemeClr w14:val="tx1"/>
            </w14:solidFill>
          </w14:textFill>
        </w:rPr>
        <w:t>红塔区多年平均雷暴日天数63天，区内常年主导风向西南风，冬季有少量北风。</w:t>
      </w:r>
    </w:p>
    <w:p w14:paraId="4A8856D6">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lang w:val="en-US" w:eastAsia="zh-CN"/>
        </w:rPr>
      </w:pPr>
      <w:r>
        <w:rPr>
          <w:rFonts w:hint="eastAsia" w:ascii="宋体" w:hAnsi="宋体" w:eastAsia="宋体" w:cs="宋体"/>
          <w:kern w:val="2"/>
          <w:sz w:val="28"/>
          <w:szCs w:val="28"/>
          <w:lang w:val="en-US" w:eastAsia="zh-CN" w:bidi="ar-SA"/>
        </w:rPr>
        <w:t>项目所在地研和街道属于中亚热带半湿润凉冬高原季风气候。冬季，这里的空气温暖，降水量较少，晴天多，日照充足，气候干燥。夏季则空气湿度大，水汽充足，降水和云量多，日照时间较长。霜冻多发于秋末至来年春初，全年无霜期为206天。年平均气温在15—16°C之间，最热月（七月份）平均温度在25—26°C之间，极端最高气温为33.5°C，最冷月（一月份）平均温度在0°C—0.2°C之间，极端最低温度为-4.6°C。镇内年降水量在800—900毫米之间，年日照时数为2265.1小时，日照百分率达到51%。综上所述，研和镇的气候特点是温暖湿润、四季分明，日照充足，降水量适中，适宜农业生产，同时也有利于居民的生活和健康。</w:t>
      </w:r>
    </w:p>
    <w:p w14:paraId="3567550C">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14:textFill>
            <w14:solidFill>
              <w14:schemeClr w14:val="tx1"/>
            </w14:solidFill>
          </w14:textFill>
        </w:rPr>
      </w:pPr>
      <w:bookmarkStart w:id="101" w:name="_Toc11571"/>
      <w:bookmarkStart w:id="102" w:name="_Toc20946"/>
      <w:r>
        <w:rPr>
          <w:rFonts w:hint="eastAsia" w:ascii="宋体" w:hAnsi="宋体" w:eastAsia="宋体" w:cs="宋体"/>
          <w:snapToGrid w:val="0"/>
          <w:color w:val="000000" w:themeColor="text1"/>
          <w:kern w:val="0"/>
          <w:sz w:val="28"/>
          <w:szCs w:val="28"/>
          <w14:textFill>
            <w14:solidFill>
              <w14:schemeClr w14:val="tx1"/>
            </w14:solidFill>
          </w14:textFill>
        </w:rPr>
        <w:t>2.2.</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 xml:space="preserve">5 </w:t>
      </w:r>
      <w:r>
        <w:rPr>
          <w:rFonts w:hint="eastAsia" w:ascii="宋体" w:hAnsi="宋体" w:eastAsia="宋体" w:cs="宋体"/>
          <w:snapToGrid w:val="0"/>
          <w:color w:val="000000" w:themeColor="text1"/>
          <w:kern w:val="0"/>
          <w:sz w:val="28"/>
          <w:szCs w:val="28"/>
          <w14:textFill>
            <w14:solidFill>
              <w14:schemeClr w14:val="tx1"/>
            </w14:solidFill>
          </w14:textFill>
        </w:rPr>
        <w:t>地质条件</w:t>
      </w:r>
      <w:bookmarkEnd w:id="97"/>
      <w:bookmarkEnd w:id="98"/>
      <w:bookmarkEnd w:id="99"/>
      <w:bookmarkEnd w:id="100"/>
      <w:bookmarkEnd w:id="101"/>
      <w:bookmarkEnd w:id="102"/>
    </w:p>
    <w:p w14:paraId="7B432EE0">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1.地形、地貌</w:t>
      </w:r>
    </w:p>
    <w:p w14:paraId="5105F410">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研和街道地处云贵高原西南部邻近边缘带，宽平山脊或圆形山顶形成了复杂的地形地貌，四周山系环抱研和盆地，坝子中矮丘起伏。东边山势平缓，西边山势峻缓。境内最高峰回族山位于南厂社区，海拔2142.6米；最低点黑泥红石岩位于玉屏社区红塔区、峨山县、通海县三县交界点，海拔1502米。</w:t>
      </w:r>
    </w:p>
    <w:p w14:paraId="67B0A9A9">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根据</w:t>
      </w:r>
      <w:r>
        <w:rPr>
          <w:rFonts w:hint="eastAsia" w:hAnsi="宋体" w:cs="宋体"/>
          <w:kern w:val="2"/>
          <w:sz w:val="28"/>
          <w:szCs w:val="28"/>
          <w:lang w:val="en-US" w:eastAsia="zh-CN" w:bidi="ar-SA"/>
        </w:rPr>
        <w:t>玉溪正宇智能科技有限公司</w:t>
      </w:r>
      <w:r>
        <w:rPr>
          <w:rFonts w:hint="eastAsia" w:ascii="宋体" w:hAnsi="宋体" w:eastAsia="宋体" w:cs="宋体"/>
          <w:kern w:val="2"/>
          <w:sz w:val="28"/>
          <w:szCs w:val="28"/>
          <w:lang w:val="en-US" w:eastAsia="zh-CN" w:bidi="ar-SA"/>
        </w:rPr>
        <w:t>所提供地质资料及评价组现场检查，厂区内未发现塌陷、开裂、下沉等地灾现象。</w:t>
      </w:r>
    </w:p>
    <w:p w14:paraId="6A82F185">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.水文</w:t>
      </w:r>
    </w:p>
    <w:p w14:paraId="43024F91">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leftChars="0" w:firstLine="560" w:firstLineChars="200"/>
        <w:jc w:val="left"/>
        <w:textAlignment w:val="auto"/>
        <w:outlineLvl w:val="9"/>
        <w:rPr>
          <w:rFonts w:hint="eastAsia" w:ascii="宋体" w:hAnsi="宋体" w:eastAsia="宋体" w:cs="宋体"/>
          <w:color w:val="auto"/>
          <w:sz w:val="28"/>
          <w:szCs w:val="24"/>
          <w:lang w:val="en-US" w:eastAsia="zh-CN"/>
        </w:rPr>
      </w:pPr>
      <w:r>
        <w:rPr>
          <w:rFonts w:hint="eastAsia" w:ascii="宋体" w:hAnsi="宋体" w:eastAsia="宋体" w:cs="宋体"/>
          <w:color w:val="auto"/>
          <w:sz w:val="28"/>
          <w:szCs w:val="24"/>
          <w:lang w:val="en-US" w:eastAsia="zh-CN"/>
        </w:rPr>
        <w:t>研和街道境内河道属珠江流域。主要河道有东风大沟、歪者河、清水沟3条。河流总长度47千米，河网密度31.3千米/平方千米。境内最大河流东风南沟自高仓入境至玉屏村，全长15.6千米。流域面积1.5平方千米，年均流量0.3立方米/秒。</w:t>
      </w:r>
    </w:p>
    <w:p w14:paraId="674B99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项目区属于南盘江水系，位于南盘江一级支流曲江的支流大沙河右岸。处于玉溪盆地与低中山丘陵地形接触部位，项目范围内无常年性河流，也无泉水出露。</w:t>
      </w:r>
    </w:p>
    <w:p w14:paraId="7BD7D701">
      <w:pPr>
        <w:pStyle w:val="6"/>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.抗震</w:t>
      </w:r>
    </w:p>
    <w:p w14:paraId="750E1783">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leftChars="0" w:firstLine="560" w:firstLineChars="200"/>
        <w:jc w:val="left"/>
        <w:textAlignment w:val="auto"/>
        <w:outlineLvl w:val="9"/>
        <w:rPr>
          <w:rFonts w:hint="eastAsia" w:ascii="宋体" w:hAnsi="宋体" w:eastAsia="宋体" w:cs="宋体"/>
          <w:color w:val="auto"/>
          <w:sz w:val="28"/>
          <w:szCs w:val="24"/>
          <w:lang w:eastAsia="zh-CN"/>
        </w:rPr>
      </w:pPr>
      <w:r>
        <w:rPr>
          <w:rFonts w:hint="eastAsia" w:ascii="宋体" w:hAnsi="宋体" w:eastAsia="宋体" w:cs="宋体"/>
          <w:color w:val="000000" w:themeColor="text1"/>
          <w:sz w:val="28"/>
          <w:szCs w:val="28"/>
          <w14:textFill>
            <w14:solidFill>
              <w14:schemeClr w14:val="tx1"/>
            </w14:solidFill>
          </w14:textFill>
        </w:rPr>
        <w:t>据《建筑抗震设计规范</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2024年版</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》GB50011—2010</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中的有关规定，</w:t>
      </w:r>
      <w:r>
        <w:rPr>
          <w:rFonts w:hint="eastAsia" w:ascii="宋体" w:hAnsi="宋体" w:eastAsia="宋体" w:cs="宋体"/>
          <w:color w:val="auto"/>
          <w:sz w:val="28"/>
          <w:szCs w:val="24"/>
        </w:rPr>
        <w:t>玉溪市红塔区</w:t>
      </w:r>
      <w:r>
        <w:rPr>
          <w:rFonts w:hint="eastAsia" w:ascii="宋体" w:hAnsi="宋体" w:eastAsia="宋体" w:cs="宋体"/>
          <w:color w:val="auto"/>
          <w:sz w:val="28"/>
          <w:szCs w:val="24"/>
          <w:lang w:val="en-US" w:eastAsia="zh-CN"/>
        </w:rPr>
        <w:t>研和街道</w:t>
      </w:r>
      <w:r>
        <w:rPr>
          <w:rFonts w:hint="eastAsia" w:ascii="宋体" w:hAnsi="宋体" w:eastAsia="宋体" w:cs="宋体"/>
          <w:color w:val="auto"/>
          <w:sz w:val="28"/>
          <w:szCs w:val="24"/>
        </w:rPr>
        <w:t>抗震设防烈度为8度，设计基本地震加速度值0.2g，设计按8度设防</w:t>
      </w:r>
      <w:r>
        <w:rPr>
          <w:rFonts w:hint="eastAsia" w:ascii="宋体" w:hAnsi="宋体" w:eastAsia="宋体" w:cs="宋体"/>
          <w:color w:val="auto"/>
          <w:sz w:val="28"/>
          <w:szCs w:val="24"/>
          <w:lang w:eastAsia="zh-CN"/>
        </w:rPr>
        <w:t>。</w:t>
      </w:r>
    </w:p>
    <w:p w14:paraId="3BFAABBA">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103" w:name="_Toc309682404"/>
      <w:bookmarkStart w:id="104" w:name="_Toc2184"/>
      <w:bookmarkStart w:id="105" w:name="_Toc335926144"/>
      <w:bookmarkStart w:id="106" w:name="_Toc278151346"/>
      <w:bookmarkStart w:id="107" w:name="_Toc2898"/>
      <w:bookmarkStart w:id="108" w:name="_Toc7305"/>
      <w:bookmarkStart w:id="109" w:name="_Toc11484"/>
      <w:bookmarkStart w:id="110" w:name="_Toc327017738"/>
      <w:r>
        <w:rPr>
          <w:rFonts w:hint="eastAsia" w:ascii="宋体" w:hAnsi="宋体" w:eastAsia="宋体" w:cs="宋体"/>
          <w:color w:val="000000" w:themeColor="text1"/>
          <w:kern w:val="0"/>
          <w14:textFill>
            <w14:solidFill>
              <w14:schemeClr w14:val="tx1"/>
            </w14:solidFill>
          </w14:textFill>
        </w:rPr>
        <w:t>2.3</w:t>
      </w:r>
      <w:r>
        <w:rPr>
          <w:rFonts w:hint="eastAsia" w:ascii="宋体" w:hAnsi="宋体" w:eastAsia="宋体" w:cs="宋体"/>
          <w:color w:val="000000" w:themeColor="text1"/>
          <w:kern w:val="0"/>
          <w:lang w:val="en-US" w:eastAsia="zh-CN"/>
          <w14:textFill>
            <w14:solidFill>
              <w14:schemeClr w14:val="tx1"/>
            </w14:solidFill>
          </w14:textFill>
        </w:rPr>
        <w:t xml:space="preserve"> </w:t>
      </w:r>
      <w:r>
        <w:rPr>
          <w:rFonts w:hint="eastAsia" w:ascii="宋体" w:hAnsi="宋体" w:eastAsia="宋体" w:cs="宋体"/>
          <w:color w:val="000000" w:themeColor="text1"/>
          <w:kern w:val="0"/>
          <w14:textFill>
            <w14:solidFill>
              <w14:schemeClr w14:val="tx1"/>
            </w14:solidFill>
          </w14:textFill>
        </w:rPr>
        <w:t>总图布置</w:t>
      </w:r>
      <w:bookmarkEnd w:id="103"/>
      <w:bookmarkEnd w:id="104"/>
      <w:bookmarkEnd w:id="105"/>
      <w:bookmarkEnd w:id="106"/>
      <w:bookmarkEnd w:id="107"/>
      <w:bookmarkEnd w:id="108"/>
      <w:bookmarkEnd w:id="109"/>
      <w:bookmarkEnd w:id="110"/>
    </w:p>
    <w:p w14:paraId="5A76199F">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14:textFill>
            <w14:solidFill>
              <w14:schemeClr w14:val="tx1"/>
            </w14:solidFill>
          </w14:textFill>
        </w:rPr>
      </w:pPr>
      <w:bookmarkStart w:id="111" w:name="_Toc28529"/>
      <w:bookmarkStart w:id="112" w:name="_Toc278151347"/>
      <w:bookmarkStart w:id="113" w:name="_Toc18825"/>
      <w:bookmarkStart w:id="114" w:name="_Toc327017739"/>
      <w:bookmarkStart w:id="115" w:name="_Toc335926145"/>
      <w:bookmarkStart w:id="116" w:name="_Toc22267"/>
      <w:bookmarkStart w:id="117" w:name="_Toc309682405"/>
      <w:bookmarkStart w:id="118" w:name="_Toc24006"/>
      <w:r>
        <w:rPr>
          <w:rFonts w:hint="eastAsia" w:ascii="宋体" w:hAnsi="宋体" w:eastAsia="宋体" w:cs="宋体"/>
          <w:snapToGrid w:val="0"/>
          <w:color w:val="000000" w:themeColor="text1"/>
          <w:kern w:val="0"/>
          <w:sz w:val="28"/>
          <w:szCs w:val="28"/>
          <w14:textFill>
            <w14:solidFill>
              <w14:schemeClr w14:val="tx1"/>
            </w14:solidFill>
          </w14:textFill>
        </w:rPr>
        <w:t>2.3.1</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 xml:space="preserve"> </w:t>
      </w:r>
      <w:r>
        <w:rPr>
          <w:rFonts w:hint="eastAsia" w:ascii="宋体" w:hAnsi="宋体" w:eastAsia="宋体" w:cs="宋体"/>
          <w:snapToGrid w:val="0"/>
          <w:color w:val="000000" w:themeColor="text1"/>
          <w:kern w:val="0"/>
          <w:sz w:val="28"/>
          <w:szCs w:val="28"/>
          <w14:textFill>
            <w14:solidFill>
              <w14:schemeClr w14:val="tx1"/>
            </w14:solidFill>
          </w14:textFill>
        </w:rPr>
        <w:t>总平面布置</w:t>
      </w:r>
      <w:bookmarkEnd w:id="111"/>
      <w:bookmarkEnd w:id="112"/>
      <w:bookmarkEnd w:id="113"/>
      <w:bookmarkEnd w:id="114"/>
      <w:bookmarkEnd w:id="115"/>
      <w:bookmarkEnd w:id="116"/>
      <w:bookmarkEnd w:id="117"/>
      <w:bookmarkEnd w:id="118"/>
    </w:p>
    <w:p w14:paraId="2AC9B9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lang w:eastAsia="zh-CN"/>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现状：</w:t>
      </w:r>
      <w:r>
        <w:rPr>
          <w:rFonts w:hint="eastAsia" w:ascii="宋体" w:hAnsi="宋体" w:eastAsia="宋体" w:cs="宋体"/>
          <w:color w:val="000000" w:themeColor="text1"/>
          <w:sz w:val="28"/>
          <w:lang w:eastAsia="zh-CN"/>
          <w14:textFill>
            <w14:solidFill>
              <w14:schemeClr w14:val="tx1"/>
            </w14:solidFill>
          </w14:textFill>
        </w:rPr>
        <w:t>厂区</w:t>
      </w:r>
      <w:r>
        <w:rPr>
          <w:rFonts w:hint="eastAsia" w:ascii="宋体" w:hAnsi="宋体" w:eastAsia="宋体" w:cs="宋体"/>
          <w:color w:val="000000" w:themeColor="text1"/>
          <w:sz w:val="28"/>
          <w14:textFill>
            <w14:solidFill>
              <w14:schemeClr w14:val="tx1"/>
            </w14:solidFill>
          </w14:textFill>
        </w:rPr>
        <w:t>根据生产需要将平面布置分为生产区、</w:t>
      </w:r>
      <w:r>
        <w:rPr>
          <w:rFonts w:hint="eastAsia" w:ascii="宋体" w:hAnsi="宋体" w:eastAsia="宋体" w:cs="宋体"/>
          <w:color w:val="000000" w:themeColor="text1"/>
          <w:sz w:val="28"/>
          <w:lang w:eastAsia="zh-CN"/>
          <w14:textFill>
            <w14:solidFill>
              <w14:schemeClr w14:val="tx1"/>
            </w14:solidFill>
          </w14:textFill>
        </w:rPr>
        <w:t>非生产区。</w:t>
      </w:r>
    </w:p>
    <w:p w14:paraId="10B05B9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lang w:val="en-US"/>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生产区包括：</w:t>
      </w:r>
      <w:r>
        <w:rPr>
          <w:rFonts w:hint="eastAsia" w:ascii="宋体" w:hAnsi="宋体" w:eastAsia="宋体" w:cs="宋体"/>
          <w:color w:val="000000" w:themeColor="text1"/>
          <w:sz w:val="28"/>
          <w:lang w:val="en-US" w:eastAsia="zh-CN"/>
          <w14:textFill>
            <w14:solidFill>
              <w14:schemeClr w14:val="tx1"/>
            </w14:solidFill>
          </w14:textFill>
        </w:rPr>
        <w:t>生产</w:t>
      </w:r>
      <w:r>
        <w:rPr>
          <w:rFonts w:hint="eastAsia" w:ascii="宋体" w:hAnsi="宋体" w:eastAsia="宋体" w:cs="宋体"/>
          <w:color w:val="000000" w:themeColor="text1"/>
          <w:sz w:val="28"/>
          <w:szCs w:val="28"/>
          <w:lang w:val="en-US" w:eastAsia="zh-CN"/>
          <w14:textFill>
            <w14:solidFill>
              <w14:schemeClr w14:val="tx1"/>
            </w14:solidFill>
          </w14:textFill>
        </w:rPr>
        <w:t>装配区、仓库区。</w:t>
      </w:r>
    </w:p>
    <w:p w14:paraId="06D8AE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非生产区包括：</w:t>
      </w:r>
      <w:r>
        <w:rPr>
          <w:rFonts w:hint="eastAsia" w:ascii="宋体" w:hAnsi="宋体" w:eastAsia="宋体" w:cs="宋体"/>
          <w:color w:val="000000" w:themeColor="text1"/>
          <w:sz w:val="28"/>
          <w:lang w:val="en-US" w:eastAsia="zh-CN"/>
          <w14:textFill>
            <w14:solidFill>
              <w14:schemeClr w14:val="tx1"/>
            </w14:solidFill>
          </w14:textFill>
        </w:rPr>
        <w:t>办公室。</w:t>
      </w:r>
    </w:p>
    <w:p w14:paraId="58C73F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厂内建筑：</w:t>
      </w:r>
      <w:r>
        <w:rPr>
          <w:rFonts w:hint="eastAsia" w:ascii="宋体" w:hAnsi="宋体" w:eastAsia="宋体" w:cs="宋体"/>
          <w:color w:val="000000" w:themeColor="text1"/>
          <w:sz w:val="28"/>
          <w14:textFill>
            <w14:solidFill>
              <w14:schemeClr w14:val="tx1"/>
            </w14:solidFill>
          </w14:textFill>
        </w:rPr>
        <w:t>整个厂区呈矩形，厂区大门位于</w:t>
      </w:r>
      <w:r>
        <w:rPr>
          <w:rFonts w:hint="eastAsia" w:ascii="宋体" w:hAnsi="宋体" w:eastAsia="宋体" w:cs="宋体"/>
          <w:color w:val="000000" w:themeColor="text1"/>
          <w:sz w:val="28"/>
          <w:lang w:eastAsia="zh-CN"/>
          <w14:textFill>
            <w14:solidFill>
              <w14:schemeClr w14:val="tx1"/>
            </w14:solidFill>
          </w14:textFill>
        </w:rPr>
        <w:t>厂区</w:t>
      </w:r>
      <w:r>
        <w:rPr>
          <w:rFonts w:hint="eastAsia" w:ascii="宋体" w:hAnsi="宋体" w:eastAsia="宋体" w:cs="宋体"/>
          <w:color w:val="000000" w:themeColor="text1"/>
          <w:sz w:val="28"/>
          <w:lang w:val="en-US" w:eastAsia="zh-CN"/>
          <w14:textFill>
            <w14:solidFill>
              <w14:schemeClr w14:val="tx1"/>
            </w14:solidFill>
          </w14:textFill>
        </w:rPr>
        <w:t>北侧</w:t>
      </w:r>
      <w:r>
        <w:rPr>
          <w:rFonts w:hint="eastAsia" w:ascii="宋体" w:hAnsi="宋体" w:eastAsia="宋体" w:cs="宋体"/>
          <w:color w:val="000000" w:themeColor="text1"/>
          <w:sz w:val="28"/>
          <w14:textFill>
            <w14:solidFill>
              <w14:schemeClr w14:val="tx1"/>
            </w14:solidFill>
          </w14:textFill>
        </w:rPr>
        <w:t>，</w:t>
      </w:r>
      <w:r>
        <w:rPr>
          <w:rFonts w:hint="eastAsia" w:ascii="宋体" w:hAnsi="宋体" w:eastAsia="宋体" w:cs="宋体"/>
          <w:color w:val="000000" w:themeColor="text1"/>
          <w:sz w:val="28"/>
          <w:lang w:eastAsia="zh-CN"/>
          <w14:textFill>
            <w14:solidFill>
              <w14:schemeClr w14:val="tx1"/>
            </w14:solidFill>
          </w14:textFill>
        </w:rPr>
        <w:t>主要构筑物包括</w:t>
      </w:r>
      <w:r>
        <w:rPr>
          <w:rFonts w:hint="eastAsia" w:ascii="宋体" w:hAnsi="宋体" w:eastAsia="宋体" w:cs="宋体"/>
          <w:color w:val="000000" w:themeColor="text1"/>
          <w:sz w:val="28"/>
          <w:lang w:val="en-US" w:eastAsia="zh-CN"/>
          <w14:textFill>
            <w14:solidFill>
              <w14:schemeClr w14:val="tx1"/>
            </w14:solidFill>
          </w14:textFill>
        </w:rPr>
        <w:t>生产装配区</w:t>
      </w:r>
      <w:r>
        <w:rPr>
          <w:rFonts w:hint="eastAsia" w:ascii="宋体" w:hAnsi="宋体" w:eastAsia="宋体" w:cs="宋体"/>
          <w:color w:val="000000" w:themeColor="text1"/>
          <w:sz w:val="28"/>
          <w14:textFill>
            <w14:solidFill>
              <w14:schemeClr w14:val="tx1"/>
            </w14:solidFill>
          </w14:textFill>
        </w:rPr>
        <w:t>、</w:t>
      </w:r>
      <w:r>
        <w:rPr>
          <w:rFonts w:hint="eastAsia" w:ascii="宋体" w:hAnsi="宋体" w:eastAsia="宋体" w:cs="宋体"/>
          <w:color w:val="000000" w:themeColor="text1"/>
          <w:sz w:val="28"/>
          <w:lang w:val="en-US" w:eastAsia="zh-CN"/>
          <w14:textFill>
            <w14:solidFill>
              <w14:schemeClr w14:val="tx1"/>
            </w14:solidFill>
          </w14:textFill>
        </w:rPr>
        <w:t>仓库区、</w:t>
      </w:r>
      <w:r>
        <w:rPr>
          <w:rFonts w:hint="eastAsia" w:ascii="宋体" w:hAnsi="宋体" w:eastAsia="宋体" w:cs="宋体"/>
          <w:color w:val="000000" w:themeColor="text1"/>
          <w:sz w:val="28"/>
          <w14:textFill>
            <w14:solidFill>
              <w14:schemeClr w14:val="tx1"/>
            </w14:solidFill>
          </w14:textFill>
        </w:rPr>
        <w:t>车间办公室等</w:t>
      </w:r>
      <w:r>
        <w:rPr>
          <w:rFonts w:hint="eastAsia" w:ascii="宋体" w:hAnsi="宋体" w:eastAsia="宋体" w:cs="宋体"/>
          <w:color w:val="000000" w:themeColor="text1"/>
          <w:sz w:val="28"/>
          <w:lang w:eastAsia="zh-CN"/>
          <w14:textFill>
            <w14:solidFill>
              <w14:schemeClr w14:val="tx1"/>
            </w14:solidFill>
          </w14:textFill>
        </w:rPr>
        <w:t>。厂区中部设置有消防通道（消防通道路宽均≥4m），中部主干道与厂外道路相通，应急救援车辆、消防车辆能通达各主要危险源点，可以满足消防及应急救援的需要。</w:t>
      </w:r>
      <w:r>
        <w:rPr>
          <w:rFonts w:hint="eastAsia" w:ascii="宋体" w:hAnsi="宋体" w:eastAsia="宋体" w:cs="宋体"/>
          <w:color w:val="000000" w:themeColor="text1"/>
          <w:sz w:val="28"/>
          <w14:textFill>
            <w14:solidFill>
              <w14:schemeClr w14:val="tx1"/>
            </w14:solidFill>
          </w14:textFill>
        </w:rPr>
        <w:t>厂区总平面布置图见</w:t>
      </w:r>
      <w:r>
        <w:rPr>
          <w:rFonts w:hint="eastAsia" w:ascii="宋体" w:hAnsi="宋体" w:eastAsia="宋体" w:cs="宋体"/>
          <w:color w:val="000000" w:themeColor="text1"/>
          <w:sz w:val="28"/>
          <w:lang w:val="en-US" w:eastAsia="zh-CN"/>
          <w14:textFill>
            <w14:solidFill>
              <w14:schemeClr w14:val="tx1"/>
            </w14:solidFill>
          </w14:textFill>
        </w:rPr>
        <w:t>图</w:t>
      </w:r>
      <w:r>
        <w:rPr>
          <w:rFonts w:hint="eastAsia" w:ascii="宋体" w:hAnsi="宋体" w:eastAsia="宋体" w:cs="宋体"/>
          <w:color w:val="000000" w:themeColor="text1"/>
          <w:sz w:val="28"/>
          <w14:textFill>
            <w14:solidFill>
              <w14:schemeClr w14:val="tx1"/>
            </w14:solidFill>
          </w14:textFill>
        </w:rPr>
        <w:t>2—</w:t>
      </w:r>
      <w:r>
        <w:rPr>
          <w:rFonts w:hint="eastAsia" w:ascii="宋体" w:hAnsi="宋体" w:eastAsia="宋体" w:cs="宋体"/>
          <w:color w:val="000000" w:themeColor="text1"/>
          <w:sz w:val="28"/>
          <w:lang w:val="en-US" w:eastAsia="zh-CN"/>
          <w14:textFill>
            <w14:solidFill>
              <w14:schemeClr w14:val="tx1"/>
            </w14:solidFill>
          </w14:textFill>
        </w:rPr>
        <w:t>3</w:t>
      </w:r>
      <w:r>
        <w:rPr>
          <w:rFonts w:hint="eastAsia" w:ascii="宋体" w:hAnsi="宋体" w:eastAsia="宋体" w:cs="宋体"/>
          <w:color w:val="000000" w:themeColor="text1"/>
          <w:sz w:val="28"/>
          <w14:textFill>
            <w14:solidFill>
              <w14:schemeClr w14:val="tx1"/>
            </w14:solidFill>
          </w14:textFill>
        </w:rPr>
        <w:t>。</w:t>
      </w:r>
    </w:p>
    <w:p w14:paraId="77B262C9">
      <w:pPr>
        <w:spacing w:before="42" w:line="350" w:lineRule="auto"/>
        <w:ind w:right="102"/>
        <w:jc w:val="center"/>
        <w:rPr>
          <w:rFonts w:hint="default"/>
          <w:lang w:val="en-US" w:eastAsia="zh-CN"/>
        </w:rPr>
      </w:pPr>
      <w:r>
        <w:drawing>
          <wp:inline distT="0" distB="0" distL="114300" distR="114300">
            <wp:extent cx="5828030" cy="3985895"/>
            <wp:effectExtent l="12700" t="12700" r="26670" b="24765"/>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21"/>
                    <a:stretch>
                      <a:fillRect/>
                    </a:stretch>
                  </pic:blipFill>
                  <pic:spPr>
                    <a:xfrm>
                      <a:off x="0" y="0"/>
                      <a:ext cx="5828030" cy="3985895"/>
                    </a:xfrm>
                    <a:prstGeom prst="rect">
                      <a:avLst/>
                    </a:prstGeom>
                    <a:noFill/>
                    <a:ln w="12700" cmpd="sng">
                      <a:solidFill>
                        <a:schemeClr val="tx1"/>
                      </a:solidFill>
                      <a:prstDash val="solid"/>
                    </a:ln>
                  </pic:spPr>
                </pic:pic>
              </a:graphicData>
            </a:graphic>
          </wp:inline>
        </w:drawing>
      </w:r>
    </w:p>
    <w:p w14:paraId="24A204E9">
      <w:pPr>
        <w:pStyle w:val="22"/>
        <w:ind w:left="0" w:leftChars="0"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图2-</w:t>
      </w:r>
      <w:r>
        <w:rPr>
          <w:rFonts w:hint="eastAsia" w:ascii="宋体" w:hAnsi="宋体" w:eastAsia="宋体" w:cs="宋体"/>
          <w:b/>
          <w:bCs/>
          <w:color w:val="auto"/>
          <w:sz w:val="24"/>
          <w:szCs w:val="24"/>
          <w:lang w:val="en-US" w:eastAsia="zh-CN"/>
        </w:rPr>
        <w:t>3平面布置</w:t>
      </w:r>
      <w:r>
        <w:rPr>
          <w:rFonts w:hint="eastAsia" w:ascii="宋体" w:hAnsi="宋体" w:eastAsia="宋体" w:cs="宋体"/>
          <w:b/>
          <w:bCs/>
          <w:color w:val="auto"/>
          <w:sz w:val="24"/>
          <w:szCs w:val="24"/>
        </w:rPr>
        <w:t>图</w:t>
      </w:r>
    </w:p>
    <w:p w14:paraId="36FF1F40">
      <w:pPr>
        <w:pStyle w:val="22"/>
        <w:ind w:left="0" w:leftChars="0" w:firstLine="0" w:firstLineChars="0"/>
        <w:jc w:val="center"/>
        <w:rPr>
          <w:rFonts w:hint="eastAsia" w:ascii="宋体" w:hAnsi="宋体" w:eastAsia="宋体" w:cs="宋体"/>
          <w:b/>
          <w:bCs/>
          <w:color w:val="auto"/>
          <w:sz w:val="24"/>
          <w:szCs w:val="24"/>
        </w:rPr>
      </w:pPr>
    </w:p>
    <w:p w14:paraId="0598EC1B">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14:textFill>
            <w14:solidFill>
              <w14:schemeClr w14:val="tx1"/>
            </w14:solidFill>
          </w14:textFill>
        </w:rPr>
      </w:pPr>
      <w:bookmarkStart w:id="119" w:name="_Toc29651"/>
      <w:bookmarkStart w:id="120" w:name="_Toc3812"/>
      <w:bookmarkStart w:id="121" w:name="_Toc31670"/>
      <w:r>
        <w:rPr>
          <w:rFonts w:hint="eastAsia" w:ascii="宋体" w:hAnsi="宋体" w:eastAsia="宋体" w:cs="宋体"/>
          <w:snapToGrid w:val="0"/>
          <w:color w:val="000000" w:themeColor="text1"/>
          <w:kern w:val="0"/>
          <w:sz w:val="28"/>
          <w:szCs w:val="28"/>
          <w14:textFill>
            <w14:solidFill>
              <w14:schemeClr w14:val="tx1"/>
            </w14:solidFill>
          </w14:textFill>
        </w:rPr>
        <w:t>2.</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w:t>
      </w:r>
      <w:r>
        <w:rPr>
          <w:rFonts w:hint="eastAsia" w:ascii="宋体" w:hAnsi="宋体" w:eastAsia="宋体" w:cs="宋体"/>
          <w:snapToGrid w:val="0"/>
          <w:color w:val="000000" w:themeColor="text1"/>
          <w:kern w:val="0"/>
          <w:sz w:val="28"/>
          <w:szCs w:val="28"/>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w:t>
      </w:r>
      <w:r>
        <w:rPr>
          <w:rFonts w:hint="eastAsia" w:ascii="宋体" w:hAnsi="宋体" w:eastAsia="宋体" w:cs="宋体"/>
          <w:snapToGrid w:val="0"/>
          <w:color w:val="000000" w:themeColor="text1"/>
          <w:kern w:val="0"/>
          <w:sz w:val="28"/>
          <w:szCs w:val="28"/>
          <w14:textFill>
            <w14:solidFill>
              <w14:schemeClr w14:val="tx1"/>
            </w14:solidFill>
          </w14:textFill>
        </w:rPr>
        <w:t xml:space="preserve"> 主要建（构）筑物防火间距</w:t>
      </w:r>
      <w:bookmarkEnd w:id="119"/>
      <w:bookmarkEnd w:id="120"/>
      <w:bookmarkEnd w:id="121"/>
    </w:p>
    <w:p w14:paraId="4273CD7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根据《建筑设计防火规范（2018年版）》（GB50016-2014），本项目厂区内主要建（构）筑物有生产装配区、仓库区、办公室等，生产装配区为</w:t>
      </w:r>
      <w:r>
        <w:rPr>
          <w:rFonts w:hint="eastAsia" w:hAnsi="宋体" w:cs="宋体"/>
          <w:snapToGrid w:val="0"/>
          <w:color w:val="000000" w:themeColor="text1"/>
          <w:kern w:val="0"/>
          <w:sz w:val="28"/>
          <w:lang w:val="en-US" w:eastAsia="zh-CN"/>
          <w14:textFill>
            <w14:solidFill>
              <w14:schemeClr w14:val="tx1"/>
            </w14:solidFill>
          </w14:textFill>
        </w:rPr>
        <w:t>戊</w:t>
      </w:r>
      <w:r>
        <w:rPr>
          <w:rFonts w:hint="eastAsia" w:ascii="宋体" w:hAnsi="宋体" w:eastAsia="宋体" w:cs="宋体"/>
          <w:snapToGrid w:val="0"/>
          <w:color w:val="000000" w:themeColor="text1"/>
          <w:kern w:val="0"/>
          <w:sz w:val="28"/>
          <w:lang w:val="en-US" w:eastAsia="zh-CN"/>
          <w14:textFill>
            <w14:solidFill>
              <w14:schemeClr w14:val="tx1"/>
            </w14:solidFill>
          </w14:textFill>
        </w:rPr>
        <w:t>类，办公室为戊类，仓库区为</w:t>
      </w:r>
      <w:r>
        <w:rPr>
          <w:rFonts w:hint="eastAsia" w:hAnsi="宋体" w:cs="宋体"/>
          <w:snapToGrid w:val="0"/>
          <w:color w:val="000000" w:themeColor="text1"/>
          <w:kern w:val="0"/>
          <w:sz w:val="28"/>
          <w:lang w:val="en-US" w:eastAsia="zh-CN"/>
          <w14:textFill>
            <w14:solidFill>
              <w14:schemeClr w14:val="tx1"/>
            </w14:solidFill>
          </w14:textFill>
        </w:rPr>
        <w:t>戊</w:t>
      </w:r>
      <w:r>
        <w:rPr>
          <w:rFonts w:hint="eastAsia" w:ascii="宋体" w:hAnsi="宋体" w:eastAsia="宋体" w:cs="宋体"/>
          <w:snapToGrid w:val="0"/>
          <w:color w:val="000000" w:themeColor="text1"/>
          <w:kern w:val="0"/>
          <w:sz w:val="28"/>
          <w:lang w:val="en-US" w:eastAsia="zh-CN"/>
          <w14:textFill>
            <w14:solidFill>
              <w14:schemeClr w14:val="tx1"/>
            </w14:solidFill>
          </w14:textFill>
        </w:rPr>
        <w:t>类。各类建（构）筑物的耐火等级均为二类，防火间距满足规范要求，如下表2-</w:t>
      </w:r>
      <w:r>
        <w:rPr>
          <w:rFonts w:hint="eastAsia" w:hAnsi="宋体" w:cs="宋体"/>
          <w:snapToGrid w:val="0"/>
          <w:color w:val="000000" w:themeColor="text1"/>
          <w:kern w:val="0"/>
          <w:sz w:val="28"/>
          <w:lang w:val="en-US" w:eastAsia="zh-CN"/>
          <w14:textFill>
            <w14:solidFill>
              <w14:schemeClr w14:val="tx1"/>
            </w14:solidFill>
          </w14:textFill>
        </w:rPr>
        <w:t>4</w:t>
      </w:r>
      <w:r>
        <w:rPr>
          <w:rFonts w:hint="eastAsia" w:ascii="宋体" w:hAnsi="宋体" w:eastAsia="宋体" w:cs="宋体"/>
          <w:snapToGrid w:val="0"/>
          <w:color w:val="000000" w:themeColor="text1"/>
          <w:kern w:val="0"/>
          <w:sz w:val="28"/>
          <w:lang w:val="en-US" w:eastAsia="zh-CN"/>
          <w14:textFill>
            <w14:solidFill>
              <w14:schemeClr w14:val="tx1"/>
            </w14:solidFill>
          </w14:textFill>
        </w:rPr>
        <w:t>示。</w:t>
      </w:r>
    </w:p>
    <w:p w14:paraId="0DA070A0">
      <w:pPr>
        <w:pStyle w:val="16"/>
        <w:rPr>
          <w:rFonts w:hint="eastAsia" w:ascii="宋体" w:hAnsi="宋体" w:eastAsia="宋体" w:cs="宋体"/>
          <w:lang w:eastAsia="zh-CN"/>
        </w:rPr>
      </w:pPr>
    </w:p>
    <w:tbl>
      <w:tblPr>
        <w:tblStyle w:val="24"/>
        <w:tblW w:w="86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8"/>
        <w:gridCol w:w="3135"/>
        <w:gridCol w:w="1332"/>
        <w:gridCol w:w="3069"/>
      </w:tblGrid>
      <w:tr w14:paraId="2B4CB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078" w:type="dxa"/>
            <w:noWrap/>
            <w:vAlign w:val="center"/>
          </w:tcPr>
          <w:p w14:paraId="09FEC7D7">
            <w:pPr>
              <w:widowControl/>
              <w:jc w:val="center"/>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序号</w:t>
            </w:r>
          </w:p>
        </w:tc>
        <w:tc>
          <w:tcPr>
            <w:tcW w:w="3135" w:type="dxa"/>
            <w:noWrap/>
            <w:vAlign w:val="center"/>
          </w:tcPr>
          <w:p w14:paraId="0D7B26D4">
            <w:pPr>
              <w:widowControl/>
              <w:jc w:val="center"/>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建筑物名称</w:t>
            </w:r>
          </w:p>
        </w:tc>
        <w:tc>
          <w:tcPr>
            <w:tcW w:w="1332" w:type="dxa"/>
            <w:noWrap w:val="0"/>
            <w:vAlign w:val="center"/>
          </w:tcPr>
          <w:p w14:paraId="7C332F86">
            <w:pPr>
              <w:widowControl/>
              <w:jc w:val="center"/>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耐火等级</w:t>
            </w:r>
          </w:p>
        </w:tc>
        <w:tc>
          <w:tcPr>
            <w:tcW w:w="3069" w:type="dxa"/>
            <w:noWrap w:val="0"/>
            <w:vAlign w:val="center"/>
          </w:tcPr>
          <w:p w14:paraId="36F1830B">
            <w:pPr>
              <w:spacing w:line="276" w:lineRule="auto"/>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火灾危险性</w:t>
            </w:r>
          </w:p>
          <w:p w14:paraId="76C06F70">
            <w:pPr>
              <w:widowControl/>
              <w:jc w:val="center"/>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依据《建筑设计防火规范[2018版]》（GB50016-2014）</w:t>
            </w:r>
          </w:p>
        </w:tc>
      </w:tr>
      <w:tr w14:paraId="4422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078" w:type="dxa"/>
            <w:noWrap/>
            <w:vAlign w:val="center"/>
          </w:tcPr>
          <w:p w14:paraId="02D3CCDF">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p>
        </w:tc>
        <w:tc>
          <w:tcPr>
            <w:tcW w:w="3135" w:type="dxa"/>
            <w:noWrap/>
            <w:vAlign w:val="center"/>
          </w:tcPr>
          <w:p w14:paraId="71577081">
            <w:pPr>
              <w:widowControl/>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生产装配区</w:t>
            </w:r>
          </w:p>
        </w:tc>
        <w:tc>
          <w:tcPr>
            <w:tcW w:w="1332" w:type="dxa"/>
            <w:noWrap w:val="0"/>
            <w:vAlign w:val="top"/>
          </w:tcPr>
          <w:p w14:paraId="1D0187BA">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二级</w:t>
            </w:r>
          </w:p>
        </w:tc>
        <w:tc>
          <w:tcPr>
            <w:tcW w:w="3069" w:type="dxa"/>
            <w:noWrap w:val="0"/>
            <w:vAlign w:val="top"/>
          </w:tcPr>
          <w:p w14:paraId="389F547E">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hAnsi="宋体" w:cs="宋体"/>
                <w:color w:val="000000" w:themeColor="text1"/>
                <w:kern w:val="0"/>
                <w:szCs w:val="21"/>
                <w:lang w:val="en-US" w:eastAsia="zh-CN"/>
                <w14:textFill>
                  <w14:solidFill>
                    <w14:schemeClr w14:val="tx1"/>
                  </w14:solidFill>
                </w14:textFill>
              </w:rPr>
              <w:t>戊</w:t>
            </w:r>
            <w:r>
              <w:rPr>
                <w:rFonts w:hint="eastAsia" w:ascii="宋体" w:hAnsi="宋体" w:eastAsia="宋体" w:cs="宋体"/>
                <w:color w:val="000000" w:themeColor="text1"/>
                <w:kern w:val="0"/>
                <w:szCs w:val="21"/>
                <w14:textFill>
                  <w14:solidFill>
                    <w14:schemeClr w14:val="tx1"/>
                  </w14:solidFill>
                </w14:textFill>
              </w:rPr>
              <w:t>类</w:t>
            </w:r>
          </w:p>
        </w:tc>
      </w:tr>
      <w:tr w14:paraId="5451E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1078" w:type="dxa"/>
            <w:noWrap/>
            <w:vAlign w:val="center"/>
          </w:tcPr>
          <w:p w14:paraId="4E5D6B28">
            <w:pPr>
              <w:widowControl/>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2</w:t>
            </w:r>
          </w:p>
        </w:tc>
        <w:tc>
          <w:tcPr>
            <w:tcW w:w="3135" w:type="dxa"/>
            <w:noWrap/>
            <w:vAlign w:val="center"/>
          </w:tcPr>
          <w:p w14:paraId="6A8A3BC0">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办公室</w:t>
            </w:r>
          </w:p>
        </w:tc>
        <w:tc>
          <w:tcPr>
            <w:tcW w:w="1332" w:type="dxa"/>
            <w:noWrap w:val="0"/>
            <w:vAlign w:val="top"/>
          </w:tcPr>
          <w:p w14:paraId="32C12D3C">
            <w:pPr>
              <w:widowControl/>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二级</w:t>
            </w:r>
          </w:p>
        </w:tc>
        <w:tc>
          <w:tcPr>
            <w:tcW w:w="3069" w:type="dxa"/>
            <w:noWrap w:val="0"/>
            <w:vAlign w:val="top"/>
          </w:tcPr>
          <w:p w14:paraId="61405E8D">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戊类</w:t>
            </w:r>
          </w:p>
        </w:tc>
      </w:tr>
      <w:tr w14:paraId="3F37B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1078" w:type="dxa"/>
            <w:noWrap/>
            <w:vAlign w:val="center"/>
          </w:tcPr>
          <w:p w14:paraId="17666EF1">
            <w:pPr>
              <w:widowControl/>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3</w:t>
            </w:r>
          </w:p>
        </w:tc>
        <w:tc>
          <w:tcPr>
            <w:tcW w:w="3135" w:type="dxa"/>
            <w:noWrap/>
            <w:vAlign w:val="center"/>
          </w:tcPr>
          <w:p w14:paraId="68A1C9C7">
            <w:pPr>
              <w:widowControl/>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仓库区</w:t>
            </w:r>
          </w:p>
        </w:tc>
        <w:tc>
          <w:tcPr>
            <w:tcW w:w="1332" w:type="dxa"/>
            <w:noWrap w:val="0"/>
            <w:vAlign w:val="top"/>
          </w:tcPr>
          <w:p w14:paraId="3F1F34B5">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二级</w:t>
            </w:r>
          </w:p>
        </w:tc>
        <w:tc>
          <w:tcPr>
            <w:tcW w:w="3069" w:type="dxa"/>
            <w:noWrap w:val="0"/>
            <w:vAlign w:val="top"/>
          </w:tcPr>
          <w:p w14:paraId="01725BA4">
            <w:pPr>
              <w:widowControl/>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hAnsi="宋体" w:cs="宋体"/>
                <w:color w:val="000000" w:themeColor="text1"/>
                <w:kern w:val="0"/>
                <w:szCs w:val="21"/>
                <w:lang w:val="en-US" w:eastAsia="zh-CN"/>
                <w14:textFill>
                  <w14:solidFill>
                    <w14:schemeClr w14:val="tx1"/>
                  </w14:solidFill>
                </w14:textFill>
              </w:rPr>
              <w:t>戊</w:t>
            </w:r>
            <w:r>
              <w:rPr>
                <w:rFonts w:hint="eastAsia" w:ascii="宋体" w:hAnsi="宋体" w:eastAsia="宋体" w:cs="宋体"/>
                <w:color w:val="000000" w:themeColor="text1"/>
                <w:kern w:val="0"/>
                <w:szCs w:val="21"/>
                <w:lang w:val="en-US" w:eastAsia="zh-CN"/>
                <w14:textFill>
                  <w14:solidFill>
                    <w14:schemeClr w14:val="tx1"/>
                  </w14:solidFill>
                </w14:textFill>
              </w:rPr>
              <w:t>类</w:t>
            </w:r>
          </w:p>
        </w:tc>
      </w:tr>
    </w:tbl>
    <w:p w14:paraId="32802646">
      <w:pPr>
        <w:bidi w:val="0"/>
        <w:rPr>
          <w:rFonts w:hint="eastAsia" w:ascii="宋体" w:hAnsi="宋体" w:eastAsia="宋体" w:cs="宋体"/>
          <w:lang w:eastAsia="zh-CN"/>
        </w:rPr>
      </w:pPr>
    </w:p>
    <w:p w14:paraId="1F0BF473">
      <w:pPr>
        <w:pStyle w:val="7"/>
        <w:ind w:left="0" w:leftChars="0"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 xml:space="preserve">表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STYLEREF 1 \s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z w:val="21"/>
          <w:szCs w:val="21"/>
          <w:lang w:eastAsia="zh-CN"/>
        </w:rPr>
        <w:t>-</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SEQ 表 \* ARABIC \s 1 </w:instrText>
      </w:r>
      <w:r>
        <w:rPr>
          <w:rFonts w:hint="eastAsia" w:ascii="宋体" w:hAnsi="宋体" w:eastAsia="宋体" w:cs="宋体"/>
          <w:sz w:val="21"/>
          <w:szCs w:val="21"/>
        </w:rPr>
        <w:fldChar w:fldCharType="separate"/>
      </w:r>
      <w:r>
        <w:rPr>
          <w:rFonts w:hint="eastAsia" w:ascii="宋体" w:hAnsi="宋体" w:eastAsia="宋体" w:cs="宋体"/>
          <w:sz w:val="21"/>
          <w:szCs w:val="21"/>
        </w:rPr>
        <w:t>5</w:t>
      </w:r>
      <w:r>
        <w:rPr>
          <w:rFonts w:hint="eastAsia" w:ascii="宋体" w:hAnsi="宋体" w:eastAsia="宋体" w:cs="宋体"/>
          <w:sz w:val="21"/>
          <w:szCs w:val="21"/>
        </w:rPr>
        <w:fldChar w:fldCharType="end"/>
      </w:r>
      <w:r>
        <w:rPr>
          <w:rFonts w:hint="eastAsia" w:ascii="宋体" w:hAnsi="宋体" w:eastAsia="宋体" w:cs="宋体"/>
          <w:sz w:val="21"/>
          <w:szCs w:val="21"/>
          <w:lang w:eastAsia="zh-CN"/>
        </w:rPr>
        <w:t xml:space="preserve"> </w:t>
      </w:r>
      <w:r>
        <w:rPr>
          <w:rFonts w:hint="eastAsia" w:ascii="宋体" w:hAnsi="宋体" w:eastAsia="宋体" w:cs="宋体"/>
          <w:sz w:val="21"/>
          <w:szCs w:val="21"/>
          <w:lang w:val="en-US" w:eastAsia="zh-CN"/>
        </w:rPr>
        <w:t>主要</w:t>
      </w:r>
      <w:r>
        <w:rPr>
          <w:rFonts w:hint="eastAsia" w:ascii="宋体" w:hAnsi="宋体" w:eastAsia="宋体" w:cs="宋体"/>
          <w:sz w:val="21"/>
          <w:szCs w:val="21"/>
          <w:lang w:eastAsia="zh-CN"/>
        </w:rPr>
        <w:t>建（</w:t>
      </w:r>
      <w:r>
        <w:rPr>
          <w:rFonts w:hint="eastAsia" w:ascii="宋体" w:hAnsi="宋体" w:eastAsia="宋体" w:cs="宋体"/>
          <w:sz w:val="21"/>
          <w:szCs w:val="21"/>
          <w:lang w:val="en-US" w:eastAsia="zh-CN"/>
        </w:rPr>
        <w:t>构</w:t>
      </w:r>
      <w:r>
        <w:rPr>
          <w:rFonts w:hint="eastAsia" w:ascii="宋体" w:hAnsi="宋体" w:eastAsia="宋体" w:cs="宋体"/>
          <w:sz w:val="21"/>
          <w:szCs w:val="21"/>
          <w:lang w:eastAsia="zh-CN"/>
        </w:rPr>
        <w:t>）筑</w:t>
      </w:r>
      <w:r>
        <w:rPr>
          <w:rFonts w:hint="eastAsia" w:ascii="宋体" w:hAnsi="宋体" w:eastAsia="宋体" w:cs="宋体"/>
          <w:sz w:val="21"/>
          <w:szCs w:val="21"/>
          <w:lang w:val="en-US" w:eastAsia="zh-CN"/>
        </w:rPr>
        <w:t>物防火间距</w:t>
      </w:r>
      <w:r>
        <w:rPr>
          <w:rFonts w:hint="eastAsia" w:ascii="宋体" w:hAnsi="宋体" w:eastAsia="宋体" w:cs="宋体"/>
          <w:sz w:val="21"/>
          <w:szCs w:val="21"/>
          <w:lang w:eastAsia="zh-CN"/>
        </w:rPr>
        <w:t>表（</w:t>
      </w:r>
      <w:r>
        <w:rPr>
          <w:rFonts w:hint="eastAsia" w:ascii="宋体" w:hAnsi="宋体" w:eastAsia="宋体" w:cs="宋体"/>
          <w:sz w:val="21"/>
          <w:szCs w:val="21"/>
          <w:lang w:val="en-US" w:eastAsia="zh-CN"/>
        </w:rPr>
        <w:t>单位：m</w:t>
      </w:r>
      <w:r>
        <w:rPr>
          <w:rFonts w:hint="eastAsia" w:ascii="宋体" w:hAnsi="宋体" w:eastAsia="宋体" w:cs="宋体"/>
          <w:sz w:val="21"/>
          <w:szCs w:val="21"/>
          <w:lang w:eastAsia="zh-CN"/>
        </w:rPr>
        <w:t>）</w:t>
      </w:r>
    </w:p>
    <w:tbl>
      <w:tblPr>
        <w:tblStyle w:val="24"/>
        <w:tblW w:w="45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2208"/>
        <w:gridCol w:w="905"/>
        <w:gridCol w:w="902"/>
        <w:gridCol w:w="789"/>
        <w:gridCol w:w="2293"/>
      </w:tblGrid>
      <w:tr w14:paraId="5606C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noWrap w:val="0"/>
            <w:vAlign w:val="center"/>
          </w:tcPr>
          <w:p w14:paraId="0A0B142D">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建（构）物名称</w:t>
            </w:r>
          </w:p>
        </w:tc>
        <w:tc>
          <w:tcPr>
            <w:tcW w:w="1300" w:type="pct"/>
            <w:noWrap w:val="0"/>
            <w:vAlign w:val="center"/>
          </w:tcPr>
          <w:p w14:paraId="36A83195">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周边建（筑）物</w:t>
            </w:r>
          </w:p>
        </w:tc>
        <w:tc>
          <w:tcPr>
            <w:tcW w:w="532" w:type="pct"/>
            <w:noWrap w:val="0"/>
            <w:vAlign w:val="center"/>
          </w:tcPr>
          <w:p w14:paraId="4A8FD820">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规范要求（m）</w:t>
            </w:r>
          </w:p>
        </w:tc>
        <w:tc>
          <w:tcPr>
            <w:tcW w:w="531" w:type="pct"/>
            <w:shd w:val="clear" w:color="auto" w:fill="auto"/>
            <w:noWrap w:val="0"/>
            <w:vAlign w:val="center"/>
          </w:tcPr>
          <w:p w14:paraId="5A978040">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实际</w:t>
            </w:r>
            <w:r>
              <w:rPr>
                <w:rFonts w:hint="eastAsia" w:ascii="宋体" w:hAnsi="宋体" w:eastAsia="宋体" w:cs="宋体"/>
                <w:b/>
                <w:color w:val="000000" w:themeColor="text1"/>
                <w14:textFill>
                  <w14:solidFill>
                    <w14:schemeClr w14:val="tx1"/>
                  </w14:solidFill>
                </w14:textFill>
              </w:rPr>
              <w:t>距离（m）</w:t>
            </w:r>
          </w:p>
        </w:tc>
        <w:tc>
          <w:tcPr>
            <w:tcW w:w="464" w:type="pct"/>
            <w:noWrap w:val="0"/>
            <w:vAlign w:val="center"/>
          </w:tcPr>
          <w:p w14:paraId="0F6D4AE4">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结论</w:t>
            </w:r>
          </w:p>
        </w:tc>
        <w:tc>
          <w:tcPr>
            <w:tcW w:w="1350" w:type="pct"/>
            <w:noWrap w:val="0"/>
            <w:vAlign w:val="center"/>
          </w:tcPr>
          <w:p w14:paraId="436D2532">
            <w:pP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《建筑设计防火规范[2018版]》（GB50016-2014）条文号</w:t>
            </w:r>
          </w:p>
        </w:tc>
      </w:tr>
      <w:tr w14:paraId="3CFD1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restart"/>
            <w:noWrap w:val="0"/>
            <w:vAlign w:val="center"/>
          </w:tcPr>
          <w:p w14:paraId="78135A15">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val="0"/>
                <w:bCs/>
                <w:color w:val="000000" w:themeColor="text1"/>
                <w:lang w:val="en-US" w:eastAsia="zh-CN"/>
                <w14:textFill>
                  <w14:solidFill>
                    <w14:schemeClr w14:val="tx1"/>
                  </w14:solidFill>
                </w14:textFill>
              </w:rPr>
              <w:t>生产装配区</w:t>
            </w:r>
          </w:p>
        </w:tc>
        <w:tc>
          <w:tcPr>
            <w:tcW w:w="1300" w:type="pct"/>
            <w:noWrap w:val="0"/>
            <w:vAlign w:val="center"/>
          </w:tcPr>
          <w:p w14:paraId="61448E39">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办公室</w:t>
            </w:r>
          </w:p>
        </w:tc>
        <w:tc>
          <w:tcPr>
            <w:tcW w:w="532" w:type="pct"/>
            <w:noWrap w:val="0"/>
            <w:vAlign w:val="center"/>
          </w:tcPr>
          <w:p w14:paraId="23F0ED21">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7628B838">
            <w:pPr>
              <w:jc w:val="center"/>
              <w:rPr>
                <w:rFonts w:hint="default"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sz w:val="24"/>
                <w:lang w:val="en-US" w:eastAsia="zh-CN" w:bidi="ar-SA"/>
                <w14:textFill>
                  <w14:solidFill>
                    <w14:schemeClr w14:val="tx1"/>
                  </w14:solidFill>
                </w14:textFill>
              </w:rPr>
              <w:t>35</w:t>
            </w:r>
          </w:p>
        </w:tc>
        <w:tc>
          <w:tcPr>
            <w:tcW w:w="464" w:type="pct"/>
            <w:noWrap w:val="0"/>
            <w:vAlign w:val="top"/>
          </w:tcPr>
          <w:p w14:paraId="57AB66F4">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noWrap w:val="0"/>
            <w:vAlign w:val="top"/>
          </w:tcPr>
          <w:p w14:paraId="21414D48">
            <w:pPr>
              <w:jc w:val="center"/>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2C1BF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642D3D16">
            <w:pPr>
              <w:jc w:val="center"/>
              <w:rPr>
                <w:rFonts w:hint="eastAsia" w:ascii="宋体" w:hAnsi="宋体" w:eastAsia="宋体" w:cs="宋体"/>
                <w:color w:val="000000" w:themeColor="text1"/>
                <w:kern w:val="0"/>
                <w:szCs w:val="21"/>
                <w14:textFill>
                  <w14:solidFill>
                    <w14:schemeClr w14:val="tx1"/>
                  </w14:solidFill>
                </w14:textFill>
              </w:rPr>
            </w:pPr>
          </w:p>
        </w:tc>
        <w:tc>
          <w:tcPr>
            <w:tcW w:w="1300" w:type="pct"/>
            <w:noWrap w:val="0"/>
            <w:vAlign w:val="center"/>
          </w:tcPr>
          <w:p w14:paraId="5533B325">
            <w:pPr>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仓库区</w:t>
            </w:r>
          </w:p>
        </w:tc>
        <w:tc>
          <w:tcPr>
            <w:tcW w:w="532" w:type="pct"/>
            <w:noWrap w:val="0"/>
            <w:vAlign w:val="center"/>
          </w:tcPr>
          <w:p w14:paraId="3356F8BD">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6C7ABD24">
            <w:pPr>
              <w:jc w:val="center"/>
              <w:rPr>
                <w:rFonts w:hint="eastAsia"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25</w:t>
            </w:r>
          </w:p>
        </w:tc>
        <w:tc>
          <w:tcPr>
            <w:tcW w:w="464" w:type="pct"/>
            <w:noWrap w:val="0"/>
            <w:vAlign w:val="top"/>
          </w:tcPr>
          <w:p w14:paraId="62DBDDE1">
            <w:pPr>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noWrap w:val="0"/>
            <w:vAlign w:val="top"/>
          </w:tcPr>
          <w:p w14:paraId="6E59BAEB">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53644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restart"/>
            <w:noWrap w:val="0"/>
            <w:vAlign w:val="center"/>
          </w:tcPr>
          <w:p w14:paraId="093E5269">
            <w:pPr>
              <w:jc w:val="both"/>
              <w:rPr>
                <w:rFonts w:hint="eastAsia" w:ascii="宋体" w:hAnsi="宋体" w:eastAsia="宋体" w:cs="宋体"/>
                <w:color w:val="000000" w:themeColor="text1"/>
                <w:kern w:val="0"/>
                <w:szCs w:val="21"/>
                <w:lang w:val="en-US" w:eastAsia="zh-CN"/>
                <w14:textFill>
                  <w14:solidFill>
                    <w14:schemeClr w14:val="tx1"/>
                  </w14:solidFill>
                </w14:textFill>
              </w:rPr>
            </w:pPr>
          </w:p>
          <w:p w14:paraId="4C575EF0">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办公室</w:t>
            </w:r>
          </w:p>
        </w:tc>
        <w:tc>
          <w:tcPr>
            <w:tcW w:w="1300" w:type="pct"/>
            <w:noWrap w:val="0"/>
            <w:vAlign w:val="center"/>
          </w:tcPr>
          <w:p w14:paraId="6BBC0EDF">
            <w:pPr>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生产装配区</w:t>
            </w:r>
          </w:p>
        </w:tc>
        <w:tc>
          <w:tcPr>
            <w:tcW w:w="532" w:type="pct"/>
            <w:noWrap w:val="0"/>
            <w:vAlign w:val="center"/>
          </w:tcPr>
          <w:p w14:paraId="39C92D72">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51AC9C68">
            <w:pPr>
              <w:jc w:val="center"/>
              <w:rPr>
                <w:rFonts w:hint="default"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sz w:val="24"/>
                <w:lang w:val="en-US" w:eastAsia="zh-CN" w:bidi="ar-SA"/>
                <w14:textFill>
                  <w14:solidFill>
                    <w14:schemeClr w14:val="tx1"/>
                  </w14:solidFill>
                </w14:textFill>
              </w:rPr>
              <w:t>35</w:t>
            </w:r>
          </w:p>
        </w:tc>
        <w:tc>
          <w:tcPr>
            <w:tcW w:w="464" w:type="pct"/>
            <w:shd w:val="clear" w:color="auto" w:fill="auto"/>
            <w:noWrap w:val="0"/>
            <w:vAlign w:val="top"/>
          </w:tcPr>
          <w:p w14:paraId="516A0C2B">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7FE6BA43">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6F54D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5F397E0E">
            <w:pPr>
              <w:jc w:val="center"/>
              <w:rPr>
                <w:rFonts w:hint="eastAsia" w:ascii="宋体" w:hAnsi="宋体" w:eastAsia="宋体" w:cs="宋体"/>
                <w:color w:val="000000" w:themeColor="text1"/>
                <w:kern w:val="0"/>
                <w:szCs w:val="21"/>
                <w14:textFill>
                  <w14:solidFill>
                    <w14:schemeClr w14:val="tx1"/>
                  </w14:solidFill>
                </w14:textFill>
              </w:rPr>
            </w:pPr>
          </w:p>
        </w:tc>
        <w:tc>
          <w:tcPr>
            <w:tcW w:w="1300" w:type="pct"/>
            <w:noWrap w:val="0"/>
            <w:vAlign w:val="center"/>
          </w:tcPr>
          <w:p w14:paraId="36169AF3">
            <w:pPr>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仓库区</w:t>
            </w:r>
          </w:p>
        </w:tc>
        <w:tc>
          <w:tcPr>
            <w:tcW w:w="532" w:type="pct"/>
            <w:noWrap w:val="0"/>
            <w:vAlign w:val="center"/>
          </w:tcPr>
          <w:p w14:paraId="0A6E9AB8">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2B87787C">
            <w:pPr>
              <w:jc w:val="center"/>
              <w:rPr>
                <w:rFonts w:hint="default" w:ascii="宋体" w:hAnsi="宋体" w:eastAsia="宋体" w:cs="宋体"/>
                <w:b/>
                <w:color w:val="000000" w:themeColor="text1"/>
                <w:sz w:val="24"/>
                <w:lang w:val="en-US" w:eastAsia="zh-CN" w:bidi="ar-SA"/>
                <w14:textFill>
                  <w14:solidFill>
                    <w14:schemeClr w14:val="tx1"/>
                  </w14:solidFill>
                </w14:textFill>
              </w:rPr>
            </w:pPr>
            <w:r>
              <w:rPr>
                <w:rFonts w:hint="eastAsia" w:ascii="宋体" w:hAnsi="宋体" w:eastAsia="宋体" w:cs="宋体"/>
                <w:b/>
                <w:color w:val="000000" w:themeColor="text1"/>
                <w:sz w:val="24"/>
                <w:lang w:val="en-US" w:eastAsia="zh-CN" w:bidi="ar-SA"/>
                <w14:textFill>
                  <w14:solidFill>
                    <w14:schemeClr w14:val="tx1"/>
                  </w14:solidFill>
                </w14:textFill>
              </w:rPr>
              <w:t>15</w:t>
            </w:r>
          </w:p>
        </w:tc>
        <w:tc>
          <w:tcPr>
            <w:tcW w:w="464" w:type="pct"/>
            <w:shd w:val="clear" w:color="auto" w:fill="auto"/>
            <w:noWrap w:val="0"/>
            <w:vAlign w:val="top"/>
          </w:tcPr>
          <w:p w14:paraId="59892D39">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06F7125C">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22A78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restart"/>
            <w:noWrap w:val="0"/>
            <w:vAlign w:val="center"/>
          </w:tcPr>
          <w:p w14:paraId="29F934DD">
            <w:pPr>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仓库区</w:t>
            </w:r>
          </w:p>
        </w:tc>
        <w:tc>
          <w:tcPr>
            <w:tcW w:w="1300" w:type="pct"/>
            <w:noWrap w:val="0"/>
            <w:vAlign w:val="center"/>
          </w:tcPr>
          <w:p w14:paraId="5AF71721">
            <w:pPr>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生产装配区</w:t>
            </w:r>
          </w:p>
        </w:tc>
        <w:tc>
          <w:tcPr>
            <w:tcW w:w="532" w:type="pct"/>
            <w:noWrap w:val="0"/>
            <w:vAlign w:val="center"/>
          </w:tcPr>
          <w:p w14:paraId="22093827">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01F978F0">
            <w:pPr>
              <w:jc w:val="center"/>
              <w:rPr>
                <w:rFonts w:hint="default"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25</w:t>
            </w:r>
          </w:p>
        </w:tc>
        <w:tc>
          <w:tcPr>
            <w:tcW w:w="464" w:type="pct"/>
            <w:shd w:val="clear" w:color="auto" w:fill="auto"/>
            <w:noWrap w:val="0"/>
            <w:vAlign w:val="top"/>
          </w:tcPr>
          <w:p w14:paraId="18E349BF">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216F7A13">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r w14:paraId="2CE2F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1" w:type="pct"/>
            <w:vMerge w:val="continue"/>
            <w:noWrap w:val="0"/>
            <w:vAlign w:val="center"/>
          </w:tcPr>
          <w:p w14:paraId="0C82E8EC">
            <w:pPr>
              <w:jc w:val="center"/>
              <w:rPr>
                <w:rFonts w:hint="eastAsia" w:ascii="宋体" w:hAnsi="宋体" w:eastAsia="宋体" w:cs="宋体"/>
                <w:color w:val="000000" w:themeColor="text1"/>
                <w:kern w:val="0"/>
                <w:szCs w:val="21"/>
                <w:lang w:val="en-US" w:eastAsia="zh-CN"/>
                <w14:textFill>
                  <w14:solidFill>
                    <w14:schemeClr w14:val="tx1"/>
                  </w14:solidFill>
                </w14:textFill>
              </w:rPr>
            </w:pPr>
          </w:p>
        </w:tc>
        <w:tc>
          <w:tcPr>
            <w:tcW w:w="1300" w:type="pct"/>
            <w:noWrap w:val="0"/>
            <w:vAlign w:val="center"/>
          </w:tcPr>
          <w:p w14:paraId="2AE5DC2B">
            <w:pPr>
              <w:jc w:val="center"/>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办公室</w:t>
            </w:r>
          </w:p>
        </w:tc>
        <w:tc>
          <w:tcPr>
            <w:tcW w:w="532" w:type="pct"/>
            <w:noWrap w:val="0"/>
            <w:vAlign w:val="center"/>
          </w:tcPr>
          <w:p w14:paraId="532C91C0">
            <w:pPr>
              <w:jc w:val="center"/>
              <w:rPr>
                <w:rFonts w:hint="eastAsia"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10</w:t>
            </w:r>
          </w:p>
        </w:tc>
        <w:tc>
          <w:tcPr>
            <w:tcW w:w="531" w:type="pct"/>
            <w:shd w:val="clear" w:color="auto" w:fill="auto"/>
            <w:noWrap w:val="0"/>
            <w:vAlign w:val="center"/>
          </w:tcPr>
          <w:p w14:paraId="7474AED6">
            <w:pPr>
              <w:jc w:val="center"/>
              <w:rPr>
                <w:rFonts w:hint="default" w:ascii="宋体" w:hAnsi="宋体" w:eastAsia="宋体" w:cs="宋体"/>
                <w:b/>
                <w:color w:val="000000" w:themeColor="text1"/>
                <w:lang w:val="en-US" w:eastAsia="zh-CN"/>
                <w14:textFill>
                  <w14:solidFill>
                    <w14:schemeClr w14:val="tx1"/>
                  </w14:solidFill>
                </w14:textFill>
              </w:rPr>
            </w:pPr>
            <w:r>
              <w:rPr>
                <w:rFonts w:hint="eastAsia" w:ascii="宋体" w:hAnsi="宋体" w:eastAsia="宋体" w:cs="宋体"/>
                <w:b/>
                <w:color w:val="000000" w:themeColor="text1"/>
                <w:lang w:val="en-US" w:eastAsia="zh-CN"/>
                <w14:textFill>
                  <w14:solidFill>
                    <w14:schemeClr w14:val="tx1"/>
                  </w14:solidFill>
                </w14:textFill>
              </w:rPr>
              <w:t>15</w:t>
            </w:r>
          </w:p>
        </w:tc>
        <w:tc>
          <w:tcPr>
            <w:tcW w:w="464" w:type="pct"/>
            <w:shd w:val="clear" w:color="auto" w:fill="auto"/>
            <w:noWrap w:val="0"/>
            <w:vAlign w:val="top"/>
          </w:tcPr>
          <w:p w14:paraId="466A7A54">
            <w:pPr>
              <w:jc w:val="center"/>
              <w:rPr>
                <w:rFonts w:hint="eastAsia" w:ascii="宋体" w:hAnsi="宋体" w:eastAsia="宋体" w:cs="宋体"/>
                <w:color w:val="000000" w:themeColor="text1"/>
                <w:sz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符合</w:t>
            </w:r>
          </w:p>
        </w:tc>
        <w:tc>
          <w:tcPr>
            <w:tcW w:w="1350" w:type="pct"/>
            <w:shd w:val="clear" w:color="auto" w:fill="auto"/>
            <w:noWrap w:val="0"/>
            <w:vAlign w:val="top"/>
          </w:tcPr>
          <w:p w14:paraId="632F4113">
            <w:pPr>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3.4.1</w:t>
            </w:r>
          </w:p>
        </w:tc>
      </w:tr>
    </w:tbl>
    <w:p w14:paraId="45FBCB68">
      <w:pPr>
        <w:pStyle w:val="22"/>
        <w:ind w:left="0" w:leftChars="0" w:firstLine="0" w:firstLineChars="0"/>
        <w:jc w:val="both"/>
        <w:rPr>
          <w:rFonts w:hint="eastAsia" w:ascii="宋体" w:hAnsi="宋体" w:eastAsia="宋体" w:cs="宋体"/>
          <w:b/>
          <w:bCs/>
          <w:color w:val="auto"/>
          <w:sz w:val="24"/>
          <w:szCs w:val="24"/>
        </w:rPr>
      </w:pPr>
    </w:p>
    <w:p w14:paraId="6F714F15">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22" w:name="_Toc19100"/>
      <w:bookmarkStart w:id="123" w:name="_Toc9459"/>
      <w:bookmarkStart w:id="124" w:name="_Toc20682"/>
      <w:bookmarkStart w:id="125" w:name="_Toc22895"/>
      <w:r>
        <w:rPr>
          <w:rFonts w:hint="eastAsia" w:ascii="宋体" w:hAnsi="宋体" w:eastAsia="宋体" w:cs="宋体"/>
          <w:snapToGrid w:val="0"/>
          <w:color w:val="000000" w:themeColor="text1"/>
          <w:kern w:val="0"/>
          <w:sz w:val="28"/>
          <w:szCs w:val="28"/>
          <w14:textFill>
            <w14:solidFill>
              <w14:schemeClr w14:val="tx1"/>
            </w14:solidFill>
          </w14:textFill>
        </w:rPr>
        <w:t>2.3.</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 xml:space="preserve">3 </w:t>
      </w:r>
      <w:r>
        <w:rPr>
          <w:rFonts w:hint="eastAsia" w:ascii="宋体" w:hAnsi="宋体" w:eastAsia="宋体" w:cs="宋体"/>
          <w:snapToGrid w:val="0"/>
          <w:color w:val="000000" w:themeColor="text1"/>
          <w:kern w:val="0"/>
          <w:sz w:val="28"/>
          <w:szCs w:val="28"/>
          <w14:textFill>
            <w14:solidFill>
              <w14:schemeClr w14:val="tx1"/>
            </w14:solidFill>
          </w14:textFill>
        </w:rPr>
        <w:t>厂内</w:t>
      </w:r>
      <w:bookmarkEnd w:id="122"/>
      <w:r>
        <w:rPr>
          <w:rFonts w:hint="eastAsia" w:ascii="宋体" w:hAnsi="宋体" w:eastAsia="宋体" w:cs="宋体"/>
          <w:snapToGrid w:val="0"/>
          <w:color w:val="000000" w:themeColor="text1"/>
          <w:kern w:val="0"/>
          <w:sz w:val="28"/>
          <w:szCs w:val="28"/>
          <w14:textFill>
            <w14:solidFill>
              <w14:schemeClr w14:val="tx1"/>
            </w14:solidFill>
          </w14:textFill>
        </w:rPr>
        <w:t>运输</w:t>
      </w:r>
      <w:bookmarkEnd w:id="123"/>
      <w:bookmarkEnd w:id="124"/>
      <w:bookmarkEnd w:id="125"/>
    </w:p>
    <w:p w14:paraId="2212BB2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lang w:val="en-US" w:eastAsia="zh-CN"/>
          <w14:textFill>
            <w14:solidFill>
              <w14:schemeClr w14:val="tx1"/>
            </w14:solidFill>
          </w14:textFill>
        </w:rPr>
      </w:pPr>
      <w:r>
        <w:rPr>
          <w:rFonts w:hint="eastAsia" w:ascii="宋体" w:hAnsi="宋体" w:eastAsia="宋体" w:cs="宋体"/>
          <w:color w:val="000000" w:themeColor="text1"/>
          <w:sz w:val="28"/>
          <w:lang w:val="en-US" w:eastAsia="zh-CN"/>
          <w14:textFill>
            <w14:solidFill>
              <w14:schemeClr w14:val="tx1"/>
            </w14:solidFill>
          </w14:textFill>
        </w:rPr>
        <w:t>项目主要为生产、销售中大型机床，厂房区域内的现有道路实现了整个厂区的贯通，厂内道路道宽约4米，为混凝土路面。成品运输使用行车吊装，后汽车运输出厂。</w:t>
      </w:r>
    </w:p>
    <w:p w14:paraId="71501FE6">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14:textFill>
            <w14:solidFill>
              <w14:schemeClr w14:val="tx1"/>
            </w14:solidFill>
          </w14:textFill>
        </w:rPr>
      </w:pPr>
      <w:bookmarkStart w:id="126" w:name="_Toc27078"/>
      <w:bookmarkStart w:id="127" w:name="_Toc30220"/>
      <w:bookmarkStart w:id="128" w:name="_Toc12134"/>
      <w:bookmarkStart w:id="129" w:name="_Toc16920"/>
      <w:bookmarkStart w:id="130" w:name="_Toc3421"/>
      <w:r>
        <w:rPr>
          <w:rFonts w:hint="eastAsia" w:ascii="宋体" w:hAnsi="宋体" w:eastAsia="宋体" w:cs="宋体"/>
          <w:snapToGrid w:val="0"/>
          <w:color w:val="000000" w:themeColor="text1"/>
          <w:kern w:val="0"/>
          <w:sz w:val="28"/>
          <w:szCs w:val="28"/>
          <w14:textFill>
            <w14:solidFill>
              <w14:schemeClr w14:val="tx1"/>
            </w14:solidFill>
          </w14:textFill>
        </w:rPr>
        <w:t>2.</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w:t>
      </w:r>
      <w:r>
        <w:rPr>
          <w:rFonts w:hint="eastAsia" w:ascii="宋体" w:hAnsi="宋体" w:eastAsia="宋体" w:cs="宋体"/>
          <w:snapToGrid w:val="0"/>
          <w:color w:val="000000" w:themeColor="text1"/>
          <w:kern w:val="0"/>
          <w:sz w:val="28"/>
          <w:szCs w:val="28"/>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4</w:t>
      </w:r>
      <w:r>
        <w:rPr>
          <w:rFonts w:hint="eastAsia" w:ascii="宋体" w:hAnsi="宋体" w:eastAsia="宋体" w:cs="宋体"/>
          <w:snapToGrid w:val="0"/>
          <w:color w:val="000000" w:themeColor="text1"/>
          <w:kern w:val="0"/>
          <w:sz w:val="28"/>
          <w:szCs w:val="28"/>
          <w14:textFill>
            <w14:solidFill>
              <w14:schemeClr w14:val="tx1"/>
            </w14:solidFill>
          </w14:textFill>
        </w:rPr>
        <w:t>厂</w:t>
      </w:r>
      <w:bookmarkEnd w:id="126"/>
      <w:r>
        <w:rPr>
          <w:rFonts w:hint="eastAsia" w:ascii="宋体" w:hAnsi="宋体" w:eastAsia="宋体" w:cs="宋体"/>
          <w:snapToGrid w:val="0"/>
          <w:color w:val="000000" w:themeColor="text1"/>
          <w:kern w:val="0"/>
          <w:sz w:val="28"/>
          <w:szCs w:val="28"/>
          <w14:textFill>
            <w14:solidFill>
              <w14:schemeClr w14:val="tx1"/>
            </w14:solidFill>
          </w14:textFill>
        </w:rPr>
        <w:t>外运输</w:t>
      </w:r>
      <w:bookmarkEnd w:id="127"/>
      <w:bookmarkEnd w:id="128"/>
      <w:bookmarkEnd w:id="129"/>
    </w:p>
    <w:p w14:paraId="0F0BB20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厂外运输主要是原材料的运输和产成品的运输，以社会运输力量为主。</w:t>
      </w:r>
      <w:bookmarkEnd w:id="130"/>
    </w:p>
    <w:p w14:paraId="6BF28C48">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131" w:name="_Toc8969"/>
      <w:bookmarkStart w:id="132" w:name="_Toc5774"/>
      <w:r>
        <w:rPr>
          <w:rFonts w:hint="eastAsia" w:ascii="宋体" w:hAnsi="宋体" w:eastAsia="宋体" w:cs="宋体"/>
          <w:color w:val="000000" w:themeColor="text1"/>
          <w:kern w:val="0"/>
          <w14:textFill>
            <w14:solidFill>
              <w14:schemeClr w14:val="tx1"/>
            </w14:solidFill>
          </w14:textFill>
        </w:rPr>
        <w:t>2.4</w:t>
      </w:r>
      <w:r>
        <w:rPr>
          <w:rFonts w:hint="eastAsia" w:ascii="宋体" w:hAnsi="宋体" w:eastAsia="宋体" w:cs="宋体"/>
          <w:color w:val="000000" w:themeColor="text1"/>
          <w:kern w:val="0"/>
          <w:lang w:val="en-US" w:eastAsia="zh-CN"/>
          <w14:textFill>
            <w14:solidFill>
              <w14:schemeClr w14:val="tx1"/>
            </w14:solidFill>
          </w14:textFill>
        </w:rPr>
        <w:t xml:space="preserve"> </w:t>
      </w:r>
      <w:r>
        <w:rPr>
          <w:rFonts w:hint="eastAsia" w:ascii="宋体" w:hAnsi="宋体" w:eastAsia="宋体" w:cs="宋体"/>
          <w:color w:val="000000" w:themeColor="text1"/>
          <w:kern w:val="0"/>
          <w14:textFill>
            <w14:solidFill>
              <w14:schemeClr w14:val="tx1"/>
            </w14:solidFill>
          </w14:textFill>
        </w:rPr>
        <w:t>生产工艺</w:t>
      </w:r>
      <w:bookmarkEnd w:id="131"/>
      <w:bookmarkEnd w:id="132"/>
    </w:p>
    <w:p w14:paraId="3A1C7566">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14:textFill>
            <w14:solidFill>
              <w14:schemeClr w14:val="tx1"/>
            </w14:solidFill>
          </w14:textFill>
        </w:rPr>
      </w:pPr>
      <w:bookmarkStart w:id="133" w:name="_Toc27916"/>
      <w:bookmarkStart w:id="134" w:name="_Toc18735"/>
      <w:bookmarkStart w:id="135" w:name="_Toc4646"/>
      <w:r>
        <w:rPr>
          <w:rFonts w:hint="eastAsia" w:ascii="宋体" w:hAnsi="宋体" w:eastAsia="宋体" w:cs="宋体"/>
          <w:snapToGrid w:val="0"/>
          <w:color w:val="000000" w:themeColor="text1"/>
          <w:kern w:val="0"/>
          <w:sz w:val="28"/>
          <w:szCs w:val="28"/>
          <w14:textFill>
            <w14:solidFill>
              <w14:schemeClr w14:val="tx1"/>
            </w14:solidFill>
          </w14:textFill>
        </w:rPr>
        <w:t>2.4.1</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 xml:space="preserve"> </w:t>
      </w:r>
      <w:r>
        <w:rPr>
          <w:rFonts w:hint="eastAsia" w:ascii="宋体" w:hAnsi="宋体" w:eastAsia="宋体" w:cs="宋体"/>
          <w:snapToGrid w:val="0"/>
          <w:color w:val="000000" w:themeColor="text1"/>
          <w:kern w:val="0"/>
          <w:sz w:val="28"/>
          <w:szCs w:val="28"/>
          <w14:textFill>
            <w14:solidFill>
              <w14:schemeClr w14:val="tx1"/>
            </w14:solidFill>
          </w14:textFill>
        </w:rPr>
        <w:t>产品</w:t>
      </w:r>
      <w:bookmarkEnd w:id="133"/>
      <w:bookmarkEnd w:id="134"/>
      <w:bookmarkEnd w:id="135"/>
    </w:p>
    <w:p w14:paraId="3E985D6F">
      <w:pPr>
        <w:pStyle w:val="41"/>
        <w:keepNext w:val="0"/>
        <w:keepLines w:val="0"/>
        <w:pageBreakBefore w:val="0"/>
        <w:widowControl w:val="0"/>
        <w:kinsoku/>
        <w:wordWrap/>
        <w:overflowPunct/>
        <w:topLinePunct w:val="0"/>
        <w:autoSpaceDE/>
        <w:autoSpaceDN/>
        <w:bidi w:val="0"/>
        <w:adjustRightInd/>
        <w:snapToGrid/>
        <w:spacing w:after="0" w:line="520" w:lineRule="exact"/>
        <w:ind w:firstLine="560" w:firstLineChars="200"/>
        <w:jc w:val="both"/>
        <w:textAlignment w:val="baseline"/>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产品：</w:t>
      </w:r>
      <w:r>
        <w:rPr>
          <w:rFonts w:hint="eastAsia" w:ascii="宋体" w:hAnsi="宋体" w:eastAsia="宋体" w:cs="宋体"/>
          <w:color w:val="000000" w:themeColor="text1"/>
          <w:sz w:val="28"/>
          <w:szCs w:val="28"/>
          <w:lang w:val="en-US" w:eastAsia="zh-CN"/>
          <w14:textFill>
            <w14:solidFill>
              <w14:schemeClr w14:val="tx1"/>
            </w14:solidFill>
          </w14:textFill>
        </w:rPr>
        <w:t>数控机床的组装、销售。</w:t>
      </w:r>
    </w:p>
    <w:p w14:paraId="56F1D5C7">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b/>
          <w:bCs/>
          <w:color w:val="auto"/>
          <w:sz w:val="24"/>
          <w:szCs w:val="24"/>
        </w:rPr>
      </w:pPr>
      <w:bookmarkStart w:id="136" w:name="_Toc313453465"/>
      <w:bookmarkStart w:id="137" w:name="_Toc24061"/>
      <w:bookmarkStart w:id="138" w:name="_Toc335926151"/>
      <w:bookmarkStart w:id="139" w:name="_Toc14895"/>
      <w:bookmarkStart w:id="140" w:name="_Toc32361"/>
      <w:bookmarkStart w:id="141" w:name="_Toc7617"/>
      <w:r>
        <w:rPr>
          <w:rFonts w:hint="eastAsia" w:ascii="宋体" w:hAnsi="宋体" w:eastAsia="宋体" w:cs="宋体"/>
          <w:snapToGrid w:val="0"/>
          <w:color w:val="000000" w:themeColor="text1"/>
          <w:kern w:val="0"/>
          <w:sz w:val="28"/>
          <w:szCs w:val="28"/>
          <w14:textFill>
            <w14:solidFill>
              <w14:schemeClr w14:val="tx1"/>
            </w14:solidFill>
          </w14:textFill>
        </w:rPr>
        <w:t>2.4.</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 xml:space="preserve">2 </w:t>
      </w:r>
      <w:r>
        <w:rPr>
          <w:rFonts w:hint="eastAsia" w:ascii="宋体" w:hAnsi="宋体" w:eastAsia="宋体" w:cs="宋体"/>
          <w:snapToGrid w:val="0"/>
          <w:color w:val="000000" w:themeColor="text1"/>
          <w:kern w:val="0"/>
          <w:sz w:val="28"/>
          <w:szCs w:val="28"/>
          <w14:textFill>
            <w14:solidFill>
              <w14:schemeClr w14:val="tx1"/>
            </w14:solidFill>
          </w14:textFill>
        </w:rPr>
        <w:t>生产工艺</w:t>
      </w:r>
      <w:bookmarkEnd w:id="136"/>
      <w:r>
        <w:rPr>
          <w:rFonts w:hint="eastAsia" w:ascii="宋体" w:hAnsi="宋体" w:eastAsia="宋体" w:cs="宋体"/>
          <w:snapToGrid w:val="0"/>
          <w:color w:val="000000" w:themeColor="text1"/>
          <w:kern w:val="0"/>
          <w:sz w:val="28"/>
          <w:szCs w:val="28"/>
          <w14:textFill>
            <w14:solidFill>
              <w14:schemeClr w14:val="tx1"/>
            </w14:solidFill>
          </w14:textFill>
        </w:rPr>
        <w:t>简述</w:t>
      </w:r>
      <w:bookmarkEnd w:id="137"/>
      <w:bookmarkEnd w:id="138"/>
      <w:bookmarkEnd w:id="139"/>
      <w:bookmarkEnd w:id="140"/>
      <w:bookmarkEnd w:id="141"/>
    </w:p>
    <w:p w14:paraId="1FCA6E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机床生产是一个复杂而精细的过程，涉及多个环节和工序。本项目生产工艺采用国际上发达国家机床制造工艺技术，进行装配、检测等工序组合而成的专业化生产线，具体生产工艺流程简介如下：</w:t>
      </w:r>
    </w:p>
    <w:p w14:paraId="313D04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（1）原材料采购、验收</w:t>
      </w:r>
    </w:p>
    <w:p w14:paraId="2FE29A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项目所需原材料为机体及功能部件。机体、功能部件均为对外采购，将外购的原材料送检验员验收，主要是目测主机及功能部件的规格、类型是否符合要求，符合要求的各部件用于加工组装。</w:t>
      </w:r>
    </w:p>
    <w:p w14:paraId="4927E2C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生产部门根据生产计划和技术要求，确定所需原材料的种类、规格和数量。采购部门收到需求后，会进一步核实并转化为具体的采购计划。接着选择合适的供应商，签订采购合同，明确原材料的数量、质量标准和到货日期等。保证生产计划如期进行。材料到货后，由仓库进行数量核对和质量检</w:t>
      </w:r>
      <w:r>
        <w:rPr>
          <w:rFonts w:hint="eastAsia" w:hAnsi="宋体" w:cs="宋体"/>
          <w:sz w:val="28"/>
          <w:szCs w:val="28"/>
        </w:rPr>
        <w:t>验，</w:t>
      </w:r>
      <w:r>
        <w:rPr>
          <w:rFonts w:hint="eastAsia" w:ascii="宋体" w:hAnsi="宋体" w:eastAsia="宋体" w:cs="宋体"/>
          <w:snapToGrid w:val="0"/>
          <w:color w:val="000000" w:themeColor="text1"/>
          <w:kern w:val="0"/>
          <w:sz w:val="28"/>
          <w:lang w:val="en-US" w:eastAsia="zh-CN"/>
          <w14:textFill>
            <w14:solidFill>
              <w14:schemeClr w14:val="tx1"/>
            </w14:solidFill>
          </w14:textFill>
        </w:rPr>
        <w:t>然后进行材料入库。</w:t>
      </w:r>
    </w:p>
    <w:p w14:paraId="078934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功能部件按照工作原理划分，一般包含大件部件的数控系统、刀库、高压中水出水过滤系统、水泵、照明灯具、空调或热交换机、水冷机或油冷机、面板手轮、液压站、润滑泵和气动元件等。小件部件一般包括整套配电所需的数种低压电器元件，不同规格的线材、管具，螺栓、接头等。实际配备依据光机机体基础和客户所需产品性能进行选取。</w:t>
      </w:r>
    </w:p>
    <w:p w14:paraId="2B03AE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（2）低压配电盘安装</w:t>
      </w:r>
    </w:p>
    <w:p w14:paraId="474A6BE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此步骤为主机进行数控机床的电力基础设施搭建。这包括将低压配电盘安装在指定位置，确保电源稳定且符合设备要求，同时完成所有必要的电气连接和接地工作，为后续设备的运行提供安全可靠的电力支持。</w:t>
      </w:r>
    </w:p>
    <w:p w14:paraId="6F864E8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首先，按照低压配电盘的具体图纸，从仓库领取所需的低压电器元件（如断路器、接触器、继电器等）、配电盘箱体、连接线材等物料。其次，在专门的装配车间，工人根据图纸将各种电器元件按照预定的布局安装在配电盘箱体上。这个过程包括元件的固定、接线端子的连接等。待完成元件安装后，工人会根据电气接线图进行线路的布置和接线工作。这包括主电路和控制电路的接线，以及接地线的连接，确保所有连接牢固可靠，符合电气安全规范。</w:t>
      </w:r>
    </w:p>
    <w:p w14:paraId="034BC7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在配电盘组装完成后，会进行一系列的功能测试，包括绝缘电阻测试、短路保护测试、过载保护测试等，以确保配电盘的性能符合设计要求。</w:t>
      </w:r>
    </w:p>
    <w:p w14:paraId="0D1A12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（3）伺服电机安装</w:t>
      </w:r>
    </w:p>
    <w:p w14:paraId="3C4A37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此步骤进行伺服电机的精确安装。伺服电机是数控机床的关键部件之一，负责驱动各轴的运动。在安装过程中，需要确保电机与机械部分的精准对接，调整并固定好传动装置，如联轴器或皮带轮等，以保证运动精度和平稳性。</w:t>
      </w:r>
    </w:p>
    <w:p w14:paraId="48B8A8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过程包括前期准备、机械安装、电气安装、精度校正、液体防护和安装后检查六个步骤。</w:t>
      </w:r>
    </w:p>
    <w:p w14:paraId="2937906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前期准备包括界定主要参数，根据机床的规格和功能需求，选择型号规格与机床需求相匹配伺服电机。对驱动轴进行方案设计，并选择合适的轴承尺寸及配合方式。并准备所需的安装工具。（如螺丝刀、扳手、扭矩扳手、防静电手环等）。</w:t>
      </w:r>
    </w:p>
    <w:p w14:paraId="247417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机械安装包括在金属底板上垂直安装（安装稳固，不易松动）、联轴器的安装（安装时，平行导入连轴器，避免敲打轴套，确保轴伸面对中的精度要求）和电机的固定（使用合适的螺钉和扭矩对角锁紧固定，确保与相连各部位尺寸匹配，符合安装要求。）</w:t>
      </w:r>
    </w:p>
    <w:p w14:paraId="38D584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电气安装包括连接电缆（按照先编码器电缆、后动力电缆的顺序进行）、接线端子保护（使用带有绝缘保护的接线端子，确保电气安全。）和电源接入（确保伺服驱动器与电源的连接正确，且驱动器安装在干燥且通风良好的场所）。</w:t>
      </w:r>
    </w:p>
    <w:p w14:paraId="3B3347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精度校正包括校正安装精度（检查电机安装座的精度、丝杆圆周跳动、联轴器圆周跳动以及丝杠与电机轴芯的偏差，确保这些参数均符合规定的精度要求）和轴端同心度对齐（确保伺服电机轴与机床主轴的同心度对齐到最佳状态，以避免振动或轴承损坏）。</w:t>
      </w:r>
    </w:p>
    <w:p w14:paraId="75CEAF1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液体防护包括预留溢液孔防止液体在电机轴端堆积并浸蚀电机、安装防护罩以防止液体渗入和设置电缆弯管（当电机为垂直或倾斜安装时，为防止液体通过电缆由连接器进入电机内部引起故障）。</w:t>
      </w:r>
    </w:p>
    <w:p w14:paraId="25111B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安装完成后的检查包括功能测试，确保电机能够正常启动和运行。检查所有电气连接是否牢固可靠，确保没有裸露的电线或接线端子。并记录安装信息，以便后续维护和保养。</w:t>
      </w:r>
    </w:p>
    <w:p w14:paraId="0647E6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（4）数控系统安装</w:t>
      </w:r>
    </w:p>
    <w:p w14:paraId="0F65B51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接下来，安装数控系统及其相关硬件。包括控制单元、显示器、键盘、接口板卡等组件的布置与连接。在此阶段，还需根据机床的具体型号和功能需求，配置相应的软件系统和参数设置，为后续的调试工作打下基础。</w:t>
      </w:r>
    </w:p>
    <w:p w14:paraId="5CF78B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过程包括前期准备、系统安装、布线和连接三个步骤，依次进行。</w:t>
      </w:r>
    </w:p>
    <w:p w14:paraId="6DD46C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准备工作包括确认安装计划与图纸、检查与准备工具（螺丝刀、扳手、剥线钳、压线钳、测试仪）和确保安装环境符合安装要求。</w:t>
      </w:r>
    </w:p>
    <w:p w14:paraId="40AD5A4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数控系统安装包括控制单元安装（将控制单元固定在机床内部的指定位置，确保稳定且易于散热；根据图纸连接控制单元的电源线和信号线，注意接线的正确性和牢固性）、显示器与键盘安装（显示器装在机床操作面板的合适位置，确保视角良好且不易受到干扰；键盘应安装在便于操作的位置，确保按键灵活、反应迅速；连接显示器和键盘与控制单元的相应接口，确保信号传输正常）。接口板卡安装（根据机床功能需求，将所需的接口板卡，如I/O板卡、通信板卡等，安装在控制单元内部或扩展槽中；连接接口板卡与外部设备的线缆，如传感器、执行器等，确保信号传输的准确性和可靠性）。</w:t>
      </w:r>
    </w:p>
    <w:p w14:paraId="107B89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布线与连接包括线缆整理（确保走向合理、不交叉、不扭曲，且固定牢固）、屏蔽与接地（对敏感信号线进行屏蔽处理，并确保接地良好，以减少干扰和噪声）、连接测试（使用测试仪对所有连接点进行测试，确保接线正确、信号传输正常）。</w:t>
      </w:r>
    </w:p>
    <w:p w14:paraId="4BE076A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（5）数控系统调试</w:t>
      </w:r>
    </w:p>
    <w:p w14:paraId="7D352CA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完成数控系统的安装后，进入调试阶段。调试工作主要包括检查各硬件部件的连接情况、测试控制系统的功能是否正常、优化机床的运行参数等。通过反复试验和调整，确保数控系统能够准确、高效地控制机床的各项动作。</w:t>
      </w:r>
    </w:p>
    <w:p w14:paraId="598293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过程主要包括调试前准备、硬件连接检查、控制系统功能测试、机床运行参数优化、反复试验与调整和调试总结。</w:t>
      </w:r>
    </w:p>
    <w:p w14:paraId="7AA444E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调试前准备包括确认调试计划、检查硬件部件（包括控制单元、显示器、键盘、接口板卡、传感器、执行器等，确保所有部件已正确安装且连接牢固。）准备调试工具（如测试仪、示波器、逻辑分析仪、电源供应器等，以及相关的调试软件和文档）。</w:t>
      </w:r>
    </w:p>
    <w:p w14:paraId="66469D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硬件连接检查包括电源连接检查（连接是否正确，电压和电流是否符合要求）、信号线连接检查（连接是否正确，包括传感器与执行器之间的连接、控制单元与显示器、键盘之间的连接等，确保信号传输正常）和接地检查（确保接地良好以减少干扰和噪声）。</w:t>
      </w:r>
    </w:p>
    <w:p w14:paraId="56DEA3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控制系统功能测试包括基本功能测试（启动数控系统，测试其基本功能是否正常，如手动操作、自动加工、故障诊断等）、通信功能测试（测试数控系统与其他设备，如PLC、传感器等，之间的通信是否正常，确保信息传输无误）。以及输入输出测试（测试数控系统的输入输出功能，包括模拟量输入、数字量输入输出等，确保系统能够准确接收和发送信号）。</w:t>
      </w:r>
    </w:p>
    <w:p w14:paraId="08B7685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机床运行参数优化包括运动参数优化（根据机床的实际情况和加工要求，调整各轴的运动参数，如速度、加速度、减速度等，确保机床能够平稳、准确地运动）、加工参数优化（根据加工材料和工艺要求，调整切削参数、进给速度等加工参数，以提高加工效率和加工质量）和安全参数设置（根据安全规范，设置机床的安全参数，如急停、限位、超程等保护功能，确保机床在异常情况下能够迅速停机，保护人员和设备安全）。</w:t>
      </w:r>
    </w:p>
    <w:p w14:paraId="0882D61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反复试验与调整包括模拟加工试验（进行模拟加工试验，观察机床的运行情况和加工效果，记录数据并进行分析）、问题排查与调整（根据试验结果，排查机床运行过程中出现的问题，如振动、噪音、精度不足等，并进行相应的调整和优化）、性能验证（在调整和优化后，再次进行性能验证，确保机床数控系统能够准确、高效地控制机床的各项动作，满足设计要求和客户期望）。</w:t>
      </w:r>
    </w:p>
    <w:p w14:paraId="6FE2D4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调试总结即记录调试过程中的问题、解决方法和经验教训，为今后的生产提供参考。</w:t>
      </w:r>
    </w:p>
    <w:p w14:paraId="7BFED4C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hAnsi="宋体" w:cs="宋体"/>
          <w:snapToGrid w:val="0"/>
          <w:color w:val="000000" w:themeColor="text1"/>
          <w:kern w:val="0"/>
          <w:sz w:val="28"/>
          <w:lang w:val="en-US" w:eastAsia="zh-CN"/>
          <w14:textFill>
            <w14:solidFill>
              <w14:schemeClr w14:val="tx1"/>
            </w14:solidFill>
          </w14:textFill>
        </w:rPr>
        <w:t>（6）</w:t>
      </w:r>
      <w:r>
        <w:rPr>
          <w:rFonts w:hint="eastAsia" w:ascii="宋体" w:hAnsi="宋体" w:eastAsia="宋体" w:cs="宋体"/>
          <w:snapToGrid w:val="0"/>
          <w:color w:val="000000" w:themeColor="text1"/>
          <w:kern w:val="0"/>
          <w:sz w:val="28"/>
          <w:lang w:val="en-US" w:eastAsia="zh-CN"/>
          <w14:textFill>
            <w14:solidFill>
              <w14:schemeClr w14:val="tx1"/>
            </w14:solidFill>
          </w14:textFill>
        </w:rPr>
        <w:t>数控机床检验测试</w:t>
      </w:r>
    </w:p>
    <w:p w14:paraId="5A20A01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在数控系统调试完成后，进行全面的机床检验测试。这包括对机床的加工精度、重复定位精度、动态响应性能等进行严格的测试和评估。同时，还需要检查机床的安全防护装置是否完好有效，以确保机床在使用过程中的人机安全。</w:t>
      </w:r>
    </w:p>
    <w:p w14:paraId="3EEA49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数控机床检验测试包括预测试准备、功能测试、软件与程序验证、安全与环保测试以及记录和报告。</w:t>
      </w:r>
    </w:p>
    <w:p w14:paraId="55FF7C4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预测试准备主要为在数控机床完成组装后，首先由技术人员进行外观检查，确认无明显损伤、紧固件松动等问题。检查所有电气连接、液压或气压系统是否安装正确且无泄漏。确保所有防护装置安装到位，符合安全标准。</w:t>
      </w:r>
    </w:p>
    <w:p w14:paraId="33CD11E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功能测试包括控制系统测试（启动机床，通过控制面板或编程界面输入指令，测试数控系统的响应速度、准确性及稳定性）、驱动系统测试（运行各轴X、Y、Z等，进行快速移动和定位测试，检查伺服电机、导轨及丝杠的工作状态，确保无异常噪音、振动）和刀具库与换刀装置测试（验证自动换刀系统的准确性和可靠性）。</w:t>
      </w:r>
    </w:p>
    <w:p w14:paraId="2A3BAA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精度校验包括几何精度测试（使用激光干涉仪等工具测量机床各轴的定位精度、重复定位精度以及直线度、垂直度等几何误差）和加工精度测试（通过试切削标准工件，如圆、方、锥等工件形状，测量工件的尺寸精度、形状精度和表面粗糙度，以评估机床的实际加工能力）。</w:t>
      </w:r>
    </w:p>
    <w:p w14:paraId="17A0ECF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软件与程序验证主要为加载不同类型的加工程序，测试机床对G代码、M代码的执行能力，确保软件兼容性及程序无误。进行模拟加工测试，检查碰撞检测、刀具路径优化等功能的有效性。</w:t>
      </w:r>
    </w:p>
    <w:p w14:paraId="7CE82E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安全与环保测试主要为验证紧急停止按钮、防护门联锁等安全装置的有效性。检查机床运行时噪音、冷却液排放等是否符合环保标准。</w:t>
      </w:r>
    </w:p>
    <w:p w14:paraId="50E59F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记录与报告主要为测试过程中，技术人员需详细记录各项测试结果，包括数据、观察到的现象及任何潜在问题。编写最终的检验测试报告，总结机床性能，指出任何不符合项，并提出改进措施。</w:t>
      </w:r>
    </w:p>
    <w:p w14:paraId="0A650E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（7）交付发货</w:t>
      </w:r>
    </w:p>
    <w:p w14:paraId="61E1B53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lang w:val="en-US" w:eastAsia="zh-CN"/>
          <w14:textFill>
            <w14:solidFill>
              <w14:schemeClr w14:val="tx1"/>
            </w14:solidFill>
          </w14:textFill>
        </w:rPr>
      </w:pPr>
      <w:r>
        <w:rPr>
          <w:rFonts w:hint="eastAsia" w:ascii="宋体" w:hAnsi="宋体" w:eastAsia="宋体" w:cs="宋体"/>
          <w:snapToGrid w:val="0"/>
          <w:color w:val="000000" w:themeColor="text1"/>
          <w:kern w:val="0"/>
          <w:sz w:val="28"/>
          <w:lang w:val="en-US" w:eastAsia="zh-CN"/>
          <w14:textFill>
            <w14:solidFill>
              <w14:schemeClr w14:val="tx1"/>
            </w14:solidFill>
          </w14:textFill>
        </w:rPr>
        <w:t>当数控机床经过全面检验测试并确认无误后，即可进行交付发货。在发货前，需做好包装保护工作以防止运输过程中的损坏，并向用户提供详细的操作手册和维护指南以便用户正确使用和维护机床。</w:t>
      </w:r>
    </w:p>
    <w:p w14:paraId="61C00EF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hAnsi="宋体" w:cs="宋体"/>
          <w:sz w:val="28"/>
          <w:szCs w:val="28"/>
        </w:rPr>
      </w:pPr>
      <w:r>
        <w:rPr>
          <w:rFonts w:hint="eastAsia" w:ascii="宋体" w:hAnsi="宋体" w:eastAsia="宋体" w:cs="宋体"/>
          <w:snapToGrid w:val="0"/>
          <w:color w:val="000000" w:themeColor="text1"/>
          <w:kern w:val="0"/>
          <w:sz w:val="28"/>
          <w:lang w:val="en-US" w:eastAsia="zh-CN"/>
          <w14:textFill>
            <w14:solidFill>
              <w14:schemeClr w14:val="tx1"/>
            </w14:solidFill>
          </w14:textFill>
        </w:rPr>
        <w:t>发货前准备发货文件（发货清单）、进行产品发货包装和安排运输等工作；产品发出后需进行运输跟踪，直至产品到达客户手中，进而进行交货确认和文件签收返回。最后是售后服务与支持，产品交付后收集客户的反馈。如果客户在使用过程中遇到任何问题，将会协调技术团队提供必要的支持和解决方案，便于客户拥有更好的产品体验。</w:t>
      </w:r>
    </w:p>
    <w:p w14:paraId="1B8B0447">
      <w:pPr>
        <w:spacing w:line="600" w:lineRule="exact"/>
        <w:ind w:firstLine="560" w:firstLineChars="200"/>
        <w:rPr>
          <w:rFonts w:hint="eastAsia" w:hAnsi="宋体" w:cs="宋体"/>
          <w:sz w:val="28"/>
          <w:szCs w:val="28"/>
        </w:rPr>
      </w:pPr>
    </w:p>
    <w:p w14:paraId="6B26EA1E">
      <w:pPr>
        <w:spacing w:line="600" w:lineRule="exact"/>
        <w:ind w:firstLine="560" w:firstLineChars="200"/>
        <w:rPr>
          <w:rFonts w:hint="eastAsia" w:hAnsi="宋体" w:cs="宋体"/>
          <w:sz w:val="28"/>
          <w:szCs w:val="28"/>
        </w:rPr>
      </w:pPr>
    </w:p>
    <w:p w14:paraId="652FE13B">
      <w:pPr>
        <w:spacing w:line="600" w:lineRule="exact"/>
        <w:ind w:firstLine="560" w:firstLineChars="200"/>
        <w:rPr>
          <w:rFonts w:hint="eastAsia" w:hAnsi="宋体" w:cs="宋体"/>
          <w:sz w:val="28"/>
          <w:szCs w:val="28"/>
        </w:rPr>
      </w:pPr>
    </w:p>
    <w:p w14:paraId="2AF14596">
      <w:pPr>
        <w:spacing w:line="600" w:lineRule="exact"/>
        <w:ind w:firstLine="560" w:firstLineChars="200"/>
        <w:rPr>
          <w:rFonts w:hint="eastAsia" w:hAnsi="宋体" w:eastAsia="宋体" w:cs="宋体"/>
          <w:sz w:val="28"/>
          <w:szCs w:val="28"/>
          <w:lang w:eastAsia="zh-CN"/>
        </w:rPr>
      </w:pPr>
      <w:r>
        <w:rPr>
          <w:rFonts w:hint="eastAsia" w:hAnsi="宋体" w:cs="宋体"/>
          <w:sz w:val="28"/>
          <w:szCs w:val="28"/>
        </w:rPr>
        <w:t>工艺流程图如下：</w:t>
      </w:r>
    </w:p>
    <w:p w14:paraId="2CA763F8">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8"/>
          <w:szCs w:val="28"/>
          <w:highlight w:val="yellow"/>
          <w:lang w:val="en-US" w:eastAsia="zh-CN"/>
        </w:rPr>
      </w:pPr>
      <w:r>
        <w:rPr>
          <w:rFonts w:hint="default"/>
          <w:lang w:val="en-US" w:eastAsia="zh-CN"/>
        </w:rPr>
        <w:pict>
          <v:shape id="_x0000_s1031" o:spid="_x0000_s1031" o:spt="75" type="#_x0000_t75" style="position:absolute;left:0pt;margin-left:101.85pt;margin-top:8.25pt;height:301.45pt;width:210.2pt;z-index:251661312;mso-width-relative:page;mso-height-relative:page;" o:ole="t" filled="f" o:preferrelative="t" stroked="f" coordsize="21600,21600">
            <v:path/>
            <v:fill on="f" focussize="0,0"/>
            <v:stroke on="f"/>
            <v:imagedata r:id="rId23" o:title=""/>
            <o:lock v:ext="edit" aspectratio="f"/>
          </v:shape>
          <o:OLEObject Type="Embed" ProgID="Visio.Drawing.11" ShapeID="_x0000_s1031" DrawAspect="Content" ObjectID="_1468075726" r:id="rId22">
            <o:LockedField>false</o:LockedField>
          </o:OLEObject>
        </w:pict>
      </w:r>
    </w:p>
    <w:p w14:paraId="52280B48">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highlight w:val="yellow"/>
          <w:lang w:val="en-US" w:eastAsia="zh-CN"/>
        </w:rPr>
      </w:pPr>
    </w:p>
    <w:p w14:paraId="3443EAB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highlight w:val="yellow"/>
          <w:lang w:val="en-US" w:eastAsia="zh-CN"/>
        </w:rPr>
      </w:pPr>
    </w:p>
    <w:p w14:paraId="639B789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highlight w:val="yellow"/>
          <w:lang w:val="en-US" w:eastAsia="zh-CN"/>
        </w:rPr>
      </w:pPr>
    </w:p>
    <w:p w14:paraId="108161ED">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highlight w:val="yellow"/>
          <w:lang w:val="en-US" w:eastAsia="zh-CN"/>
        </w:rPr>
      </w:pPr>
    </w:p>
    <w:p w14:paraId="3060937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highlight w:val="yellow"/>
          <w:lang w:val="en-US" w:eastAsia="zh-CN"/>
        </w:rPr>
      </w:pPr>
    </w:p>
    <w:p w14:paraId="74D0567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highlight w:val="yellow"/>
          <w:lang w:val="en-US" w:eastAsia="zh-CN"/>
        </w:rPr>
      </w:pPr>
    </w:p>
    <w:p w14:paraId="1FD3B0E9">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highlight w:val="yellow"/>
          <w:lang w:val="en-US" w:eastAsia="zh-CN"/>
        </w:rPr>
      </w:pPr>
    </w:p>
    <w:p w14:paraId="62C12DEE">
      <w:pPr>
        <w:bidi w:val="0"/>
        <w:rPr>
          <w:rFonts w:hint="eastAsia"/>
          <w:lang w:val="en-US" w:eastAsia="zh-CN"/>
        </w:rPr>
      </w:pPr>
    </w:p>
    <w:p w14:paraId="043AAEA6">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b/>
          <w:bCs/>
          <w:sz w:val="28"/>
          <w:szCs w:val="28"/>
          <w:lang w:val="en-US" w:eastAsia="zh-CN"/>
        </w:rPr>
      </w:pPr>
      <w:bookmarkStart w:id="142" w:name="_Toc32396"/>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2.4.3主要设备设施</w:t>
      </w:r>
      <w:bookmarkEnd w:id="142"/>
    </w:p>
    <w:p w14:paraId="1A235667">
      <w:pPr>
        <w:spacing w:line="520" w:lineRule="exact"/>
        <w:jc w:val="center"/>
        <w:rPr>
          <w:b/>
          <w:sz w:val="24"/>
        </w:rPr>
      </w:pPr>
      <w:r>
        <w:rPr>
          <w:b/>
          <w:sz w:val="24"/>
        </w:rPr>
        <w:t>主要生产设备一览表</w:t>
      </w:r>
    </w:p>
    <w:tbl>
      <w:tblPr>
        <w:tblStyle w:val="24"/>
        <w:tblW w:w="47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3720"/>
        <w:gridCol w:w="1551"/>
        <w:gridCol w:w="2609"/>
      </w:tblGrid>
      <w:tr w14:paraId="32E4B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058" w:type="dxa"/>
            <w:noWrap w:val="0"/>
            <w:vAlign w:val="center"/>
          </w:tcPr>
          <w:p w14:paraId="223A7155">
            <w:pPr>
              <w:pStyle w:val="31"/>
              <w:rPr>
                <w:rFonts w:ascii="Times New Roman" w:hAnsi="Times New Roman"/>
                <w:szCs w:val="21"/>
              </w:rPr>
            </w:pPr>
            <w:r>
              <w:rPr>
                <w:rFonts w:ascii="Times New Roman" w:hAnsi="Times New Roman"/>
                <w:szCs w:val="21"/>
              </w:rPr>
              <w:t>序号</w:t>
            </w:r>
          </w:p>
        </w:tc>
        <w:tc>
          <w:tcPr>
            <w:tcW w:w="3721" w:type="dxa"/>
            <w:noWrap w:val="0"/>
            <w:vAlign w:val="center"/>
          </w:tcPr>
          <w:p w14:paraId="1237F7CD">
            <w:pPr>
              <w:pStyle w:val="31"/>
              <w:rPr>
                <w:rFonts w:ascii="Times New Roman" w:hAnsi="Times New Roman"/>
                <w:szCs w:val="21"/>
              </w:rPr>
            </w:pPr>
            <w:r>
              <w:rPr>
                <w:rFonts w:ascii="Times New Roman" w:hAnsi="Times New Roman"/>
                <w:szCs w:val="21"/>
              </w:rPr>
              <w:t>设备名称</w:t>
            </w:r>
          </w:p>
        </w:tc>
        <w:tc>
          <w:tcPr>
            <w:tcW w:w="1551" w:type="dxa"/>
            <w:noWrap w:val="0"/>
            <w:vAlign w:val="center"/>
          </w:tcPr>
          <w:p w14:paraId="172E1E13">
            <w:pPr>
              <w:pStyle w:val="31"/>
              <w:rPr>
                <w:rFonts w:ascii="Times New Roman" w:hAnsi="Times New Roman"/>
                <w:szCs w:val="21"/>
              </w:rPr>
            </w:pPr>
            <w:r>
              <w:rPr>
                <w:rFonts w:ascii="Times New Roman" w:hAnsi="Times New Roman"/>
                <w:szCs w:val="21"/>
              </w:rPr>
              <w:t>数量（台）</w:t>
            </w:r>
          </w:p>
        </w:tc>
        <w:tc>
          <w:tcPr>
            <w:tcW w:w="2610" w:type="dxa"/>
            <w:noWrap w:val="0"/>
            <w:vAlign w:val="center"/>
          </w:tcPr>
          <w:p w14:paraId="2466B98F">
            <w:pPr>
              <w:pStyle w:val="31"/>
              <w:rPr>
                <w:rFonts w:hint="eastAsia" w:ascii="Times New Roman" w:hAnsi="Times New Roman" w:eastAsia="宋体"/>
                <w:szCs w:val="21"/>
                <w:lang w:val="en-US" w:eastAsia="zh-CN"/>
              </w:rPr>
            </w:pPr>
            <w:r>
              <w:rPr>
                <w:rFonts w:hint="eastAsia" w:ascii="Times New Roman" w:hAnsi="Times New Roman"/>
                <w:szCs w:val="21"/>
                <w:lang w:val="en-US" w:eastAsia="zh-CN"/>
              </w:rPr>
              <w:t>备注</w:t>
            </w:r>
          </w:p>
        </w:tc>
      </w:tr>
      <w:tr w14:paraId="65C78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058" w:type="dxa"/>
            <w:noWrap w:val="0"/>
            <w:vAlign w:val="center"/>
          </w:tcPr>
          <w:p w14:paraId="70DA1B79">
            <w:pPr>
              <w:pStyle w:val="31"/>
              <w:rPr>
                <w:rFonts w:ascii="Times New Roman" w:hAnsi="Times New Roman"/>
                <w:b/>
                <w:szCs w:val="21"/>
              </w:rPr>
            </w:pPr>
            <w:r>
              <w:rPr>
                <w:rFonts w:ascii="Times New Roman" w:hAnsi="Times New Roman"/>
                <w:szCs w:val="21"/>
              </w:rPr>
              <w:t>1</w:t>
            </w:r>
          </w:p>
        </w:tc>
        <w:tc>
          <w:tcPr>
            <w:tcW w:w="3721" w:type="dxa"/>
            <w:shd w:val="clear" w:color="auto" w:fill="auto"/>
            <w:noWrap w:val="0"/>
            <w:vAlign w:val="center"/>
          </w:tcPr>
          <w:p w14:paraId="5766E065">
            <w:pPr>
              <w:jc w:val="center"/>
              <w:rPr>
                <w:rFonts w:hint="eastAsia" w:ascii="仿宋_GB2312" w:eastAsia="仿宋_GB2312"/>
                <w:szCs w:val="21"/>
                <w:lang w:val="en-US" w:eastAsia="zh-CN"/>
              </w:rPr>
            </w:pPr>
            <w:r>
              <w:rPr>
                <w:rFonts w:hint="eastAsia" w:ascii="仿宋_GB2312" w:eastAsia="仿宋_GB2312"/>
                <w:szCs w:val="21"/>
                <w:lang w:val="en-US" w:eastAsia="zh-CN"/>
              </w:rPr>
              <w:t>行车（BRIMA(16/10T)</w:t>
            </w:r>
          </w:p>
          <w:p w14:paraId="1C5B4264">
            <w:pPr>
              <w:jc w:val="center"/>
              <w:rPr>
                <w:rFonts w:hint="default" w:ascii="仿宋_GB2312" w:hAnsi="Times New Roman" w:eastAsia="仿宋_GB2312" w:cs="Times New Roman"/>
                <w:kern w:val="2"/>
                <w:sz w:val="21"/>
                <w:szCs w:val="21"/>
                <w:lang w:val="en-US" w:eastAsia="zh-CN" w:bidi="ar-SA"/>
              </w:rPr>
            </w:pPr>
            <w:r>
              <w:rPr>
                <w:rFonts w:hint="eastAsia" w:ascii="仿宋_GB2312" w:eastAsia="仿宋_GB2312"/>
                <w:szCs w:val="21"/>
                <w:lang w:val="en-US" w:eastAsia="zh-CN"/>
              </w:rPr>
              <w:t>河南矿山（10t/3.2t））</w:t>
            </w:r>
          </w:p>
        </w:tc>
        <w:tc>
          <w:tcPr>
            <w:tcW w:w="1551" w:type="dxa"/>
            <w:shd w:val="clear" w:color="auto" w:fill="auto"/>
            <w:noWrap w:val="0"/>
            <w:vAlign w:val="center"/>
          </w:tcPr>
          <w:p w14:paraId="27344725">
            <w:pPr>
              <w:jc w:val="center"/>
              <w:rPr>
                <w:rFonts w:hint="default" w:ascii="仿宋_GB2312"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3</w:t>
            </w:r>
          </w:p>
        </w:tc>
        <w:tc>
          <w:tcPr>
            <w:tcW w:w="2610" w:type="dxa"/>
            <w:shd w:val="clear" w:color="auto" w:fill="auto"/>
            <w:noWrap w:val="0"/>
            <w:vAlign w:val="center"/>
          </w:tcPr>
          <w:p w14:paraId="5DB4E32E">
            <w:pPr>
              <w:jc w:val="center"/>
              <w:rPr>
                <w:rFonts w:hint="default" w:ascii="仿宋_GB2312"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特种设备</w:t>
            </w:r>
          </w:p>
        </w:tc>
      </w:tr>
      <w:tr w14:paraId="7893E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14:paraId="2DE6A41F">
            <w:pPr>
              <w:pStyle w:val="31"/>
              <w:rPr>
                <w:rFonts w:ascii="Times New Roman" w:hAnsi="Times New Roman"/>
                <w:b/>
                <w:szCs w:val="21"/>
              </w:rPr>
            </w:pPr>
            <w:r>
              <w:rPr>
                <w:rFonts w:ascii="Times New Roman" w:hAnsi="Times New Roman"/>
                <w:szCs w:val="21"/>
              </w:rPr>
              <w:t>2</w:t>
            </w:r>
          </w:p>
        </w:tc>
        <w:tc>
          <w:tcPr>
            <w:tcW w:w="3721" w:type="dxa"/>
            <w:shd w:val="clear" w:color="auto" w:fill="auto"/>
            <w:noWrap w:val="0"/>
            <w:vAlign w:val="center"/>
          </w:tcPr>
          <w:p w14:paraId="5D91C935">
            <w:pPr>
              <w:jc w:val="center"/>
              <w:rPr>
                <w:rFonts w:hint="eastAsia" w:ascii="仿宋_GB2312" w:hAnsi="Times New Roman" w:eastAsia="仿宋_GB2312" w:cs="Times New Roman"/>
                <w:kern w:val="2"/>
                <w:sz w:val="21"/>
                <w:szCs w:val="21"/>
                <w:lang w:val="en-US" w:eastAsia="zh-CN" w:bidi="ar-SA"/>
              </w:rPr>
            </w:pPr>
            <w:r>
              <w:rPr>
                <w:rFonts w:hint="eastAsia" w:ascii="仿宋_GB2312" w:hAnsi="宋体" w:eastAsia="仿宋_GB2312" w:cs="宋体"/>
                <w:kern w:val="0"/>
                <w:sz w:val="24"/>
                <w:lang w:val="en-US" w:eastAsia="zh-CN"/>
              </w:rPr>
              <w:t>液压搬运车</w:t>
            </w:r>
            <w:r>
              <w:rPr>
                <w:rFonts w:hint="eastAsia" w:ascii="仿宋_GB2312" w:hAnsi="宋体" w:eastAsia="仿宋_GB2312" w:cs="宋体"/>
                <w:kern w:val="0"/>
                <w:sz w:val="24"/>
                <w:lang w:eastAsia="zh-CN"/>
              </w:rPr>
              <w:t>（南京神牛机（3000kg））</w:t>
            </w:r>
          </w:p>
        </w:tc>
        <w:tc>
          <w:tcPr>
            <w:tcW w:w="1551" w:type="dxa"/>
            <w:shd w:val="clear" w:color="auto" w:fill="auto"/>
            <w:noWrap w:val="0"/>
            <w:vAlign w:val="center"/>
          </w:tcPr>
          <w:p w14:paraId="120889AF">
            <w:pPr>
              <w:jc w:val="center"/>
              <w:rPr>
                <w:rFonts w:hint="default" w:ascii="仿宋_GB2312"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3</w:t>
            </w:r>
          </w:p>
        </w:tc>
        <w:tc>
          <w:tcPr>
            <w:tcW w:w="2610" w:type="dxa"/>
            <w:shd w:val="clear" w:color="auto" w:fill="auto"/>
            <w:noWrap w:val="0"/>
            <w:vAlign w:val="center"/>
          </w:tcPr>
          <w:p w14:paraId="2245A001">
            <w:pPr>
              <w:jc w:val="center"/>
              <w:rPr>
                <w:rFonts w:ascii="仿宋_GB2312" w:hAnsi="Times New Roman" w:eastAsia="仿宋_GB2312" w:cs="Times New Roman"/>
                <w:kern w:val="2"/>
                <w:sz w:val="21"/>
                <w:szCs w:val="21"/>
                <w:lang w:val="en-US" w:eastAsia="zh-CN" w:bidi="ar-SA"/>
              </w:rPr>
            </w:pPr>
          </w:p>
        </w:tc>
      </w:tr>
      <w:tr w14:paraId="293C4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14:paraId="21597F85">
            <w:pPr>
              <w:pStyle w:val="31"/>
              <w:rPr>
                <w:rFonts w:hint="eastAsia" w:ascii="Times New Roman" w:hAnsi="Times New Roman" w:eastAsia="宋体"/>
                <w:szCs w:val="21"/>
                <w:lang w:val="en-US" w:eastAsia="zh-CN"/>
              </w:rPr>
            </w:pPr>
            <w:r>
              <w:rPr>
                <w:rFonts w:hint="eastAsia" w:ascii="Times New Roman" w:hAnsi="Times New Roman"/>
                <w:szCs w:val="21"/>
                <w:lang w:val="en-US" w:eastAsia="zh-CN"/>
              </w:rPr>
              <w:t>3</w:t>
            </w:r>
          </w:p>
        </w:tc>
        <w:tc>
          <w:tcPr>
            <w:tcW w:w="3721" w:type="dxa"/>
            <w:shd w:val="clear" w:color="auto" w:fill="auto"/>
            <w:noWrap w:val="0"/>
            <w:vAlign w:val="center"/>
          </w:tcPr>
          <w:p w14:paraId="0D550556">
            <w:pPr>
              <w:jc w:val="center"/>
              <w:rPr>
                <w:rFonts w:hint="eastAsia" w:ascii="仿宋_GB2312" w:hAnsi="宋体" w:eastAsia="仿宋_GB2312" w:cs="宋体"/>
                <w:kern w:val="0"/>
                <w:sz w:val="24"/>
              </w:rPr>
            </w:pPr>
            <w:r>
              <w:rPr>
                <w:rFonts w:hint="eastAsia" w:ascii="仿宋_GB2312" w:hAnsi="宋体" w:eastAsia="仿宋_GB2312" w:cs="宋体"/>
                <w:kern w:val="0"/>
                <w:sz w:val="24"/>
              </w:rPr>
              <w:t>锁管机</w:t>
            </w:r>
          </w:p>
        </w:tc>
        <w:tc>
          <w:tcPr>
            <w:tcW w:w="1551" w:type="dxa"/>
            <w:shd w:val="clear" w:color="auto" w:fill="auto"/>
            <w:noWrap w:val="0"/>
            <w:vAlign w:val="center"/>
          </w:tcPr>
          <w:p w14:paraId="1325042E">
            <w:pPr>
              <w:jc w:val="center"/>
              <w:rPr>
                <w:rFonts w:hint="default" w:ascii="仿宋_GB2312"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1</w:t>
            </w:r>
          </w:p>
        </w:tc>
        <w:tc>
          <w:tcPr>
            <w:tcW w:w="2610" w:type="dxa"/>
            <w:shd w:val="clear" w:color="auto" w:fill="auto"/>
            <w:noWrap w:val="0"/>
            <w:vAlign w:val="center"/>
          </w:tcPr>
          <w:p w14:paraId="4299EC7F">
            <w:pPr>
              <w:jc w:val="center"/>
              <w:rPr>
                <w:rFonts w:ascii="仿宋_GB2312" w:hAnsi="Times New Roman" w:eastAsia="仿宋_GB2312" w:cs="Times New Roman"/>
                <w:kern w:val="2"/>
                <w:sz w:val="21"/>
                <w:szCs w:val="21"/>
                <w:lang w:val="en-US" w:eastAsia="zh-CN" w:bidi="ar-SA"/>
              </w:rPr>
            </w:pPr>
          </w:p>
        </w:tc>
      </w:tr>
      <w:tr w14:paraId="4C11C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14:paraId="43619DE8">
            <w:pPr>
              <w:pStyle w:val="31"/>
              <w:rPr>
                <w:rFonts w:hint="eastAsia" w:ascii="Times New Roman" w:hAnsi="Times New Roman" w:eastAsia="宋体"/>
                <w:szCs w:val="21"/>
                <w:lang w:val="en-US" w:eastAsia="zh-CN"/>
              </w:rPr>
            </w:pPr>
            <w:r>
              <w:rPr>
                <w:rFonts w:hint="eastAsia" w:ascii="Times New Roman" w:hAnsi="Times New Roman"/>
                <w:szCs w:val="21"/>
                <w:lang w:val="en-US" w:eastAsia="zh-CN"/>
              </w:rPr>
              <w:t>4</w:t>
            </w:r>
          </w:p>
        </w:tc>
        <w:tc>
          <w:tcPr>
            <w:tcW w:w="3721" w:type="dxa"/>
            <w:shd w:val="clear" w:color="auto" w:fill="auto"/>
            <w:noWrap w:val="0"/>
            <w:vAlign w:val="center"/>
          </w:tcPr>
          <w:p w14:paraId="550E81F2">
            <w:pPr>
              <w:jc w:val="center"/>
              <w:rPr>
                <w:rFonts w:hint="eastAsia" w:ascii="仿宋_GB2312" w:hAnsi="宋体" w:eastAsia="仿宋_GB2312" w:cs="宋体"/>
                <w:kern w:val="0"/>
                <w:sz w:val="24"/>
              </w:rPr>
            </w:pPr>
            <w:r>
              <w:rPr>
                <w:rFonts w:hint="eastAsia" w:ascii="仿宋_GB2312" w:hAnsi="宋体" w:eastAsia="仿宋_GB2312" w:cs="宋体"/>
                <w:kern w:val="0"/>
                <w:sz w:val="24"/>
              </w:rPr>
              <w:t>型材切割机</w:t>
            </w:r>
          </w:p>
        </w:tc>
        <w:tc>
          <w:tcPr>
            <w:tcW w:w="1551" w:type="dxa"/>
            <w:shd w:val="clear" w:color="auto" w:fill="auto"/>
            <w:noWrap w:val="0"/>
            <w:vAlign w:val="center"/>
          </w:tcPr>
          <w:p w14:paraId="0218F071">
            <w:pPr>
              <w:jc w:val="center"/>
              <w:rPr>
                <w:rFonts w:hint="default" w:ascii="仿宋_GB2312"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2</w:t>
            </w:r>
          </w:p>
        </w:tc>
        <w:tc>
          <w:tcPr>
            <w:tcW w:w="2610" w:type="dxa"/>
            <w:shd w:val="clear" w:color="auto" w:fill="auto"/>
            <w:noWrap w:val="0"/>
            <w:vAlign w:val="center"/>
          </w:tcPr>
          <w:p w14:paraId="089E952E">
            <w:pPr>
              <w:jc w:val="center"/>
              <w:rPr>
                <w:rFonts w:ascii="仿宋_GB2312" w:hAnsi="Times New Roman" w:eastAsia="仿宋_GB2312" w:cs="Times New Roman"/>
                <w:kern w:val="2"/>
                <w:sz w:val="21"/>
                <w:szCs w:val="21"/>
                <w:lang w:val="en-US" w:eastAsia="zh-CN" w:bidi="ar-SA"/>
              </w:rPr>
            </w:pPr>
          </w:p>
        </w:tc>
      </w:tr>
      <w:tr w14:paraId="6BECE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14:paraId="45DBDC80">
            <w:pPr>
              <w:pStyle w:val="31"/>
              <w:rPr>
                <w:rFonts w:hint="eastAsia" w:ascii="Times New Roman" w:hAnsi="Times New Roman" w:eastAsia="宋体"/>
                <w:b/>
                <w:szCs w:val="21"/>
                <w:lang w:eastAsia="zh-CN"/>
              </w:rPr>
            </w:pPr>
            <w:r>
              <w:rPr>
                <w:rFonts w:hint="eastAsia" w:ascii="Times New Roman" w:hAnsi="Times New Roman"/>
                <w:szCs w:val="21"/>
                <w:lang w:val="en-US" w:eastAsia="zh-CN"/>
              </w:rPr>
              <w:t>5</w:t>
            </w:r>
          </w:p>
        </w:tc>
        <w:tc>
          <w:tcPr>
            <w:tcW w:w="3721" w:type="dxa"/>
            <w:noWrap w:val="0"/>
            <w:vAlign w:val="center"/>
          </w:tcPr>
          <w:p w14:paraId="5EA06680">
            <w:pPr>
              <w:pStyle w:val="31"/>
              <w:rPr>
                <w:rFonts w:hint="default" w:ascii="Times New Roman" w:hAnsi="Times New Roman" w:eastAsia="宋体"/>
                <w:b/>
                <w:szCs w:val="21"/>
                <w:lang w:val="en-US" w:eastAsia="zh-CN"/>
              </w:rPr>
            </w:pPr>
            <w:r>
              <w:rPr>
                <w:rFonts w:hint="eastAsia" w:ascii="仿宋_GB2312" w:hAnsi="宋体" w:eastAsia="仿宋_GB2312" w:cs="宋体"/>
                <w:kern w:val="0"/>
                <w:sz w:val="24"/>
              </w:rPr>
              <w:t>电动攻丝机</w:t>
            </w:r>
          </w:p>
        </w:tc>
        <w:tc>
          <w:tcPr>
            <w:tcW w:w="1551" w:type="dxa"/>
            <w:noWrap w:val="0"/>
            <w:vAlign w:val="center"/>
          </w:tcPr>
          <w:p w14:paraId="0671A788">
            <w:pPr>
              <w:jc w:val="center"/>
              <w:rPr>
                <w:rFonts w:hint="eastAsia" w:ascii="仿宋_GB2312"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若干</w:t>
            </w:r>
          </w:p>
        </w:tc>
        <w:tc>
          <w:tcPr>
            <w:tcW w:w="2610" w:type="dxa"/>
            <w:noWrap w:val="0"/>
            <w:vAlign w:val="center"/>
          </w:tcPr>
          <w:p w14:paraId="10CA8A4B">
            <w:pPr>
              <w:pStyle w:val="31"/>
              <w:rPr>
                <w:rFonts w:ascii="Times New Roman" w:hAnsi="Times New Roman"/>
                <w:b/>
                <w:szCs w:val="21"/>
              </w:rPr>
            </w:pPr>
          </w:p>
        </w:tc>
      </w:tr>
      <w:tr w14:paraId="6F87C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14:paraId="47C4B2A2">
            <w:pPr>
              <w:pStyle w:val="31"/>
              <w:rPr>
                <w:rFonts w:hint="eastAsia" w:ascii="Times New Roman" w:hAnsi="Times New Roman" w:eastAsia="宋体"/>
                <w:szCs w:val="21"/>
                <w:lang w:val="en-US" w:eastAsia="zh-CN"/>
              </w:rPr>
            </w:pPr>
            <w:r>
              <w:rPr>
                <w:rFonts w:hint="eastAsia" w:ascii="Times New Roman" w:hAnsi="Times New Roman"/>
                <w:szCs w:val="21"/>
                <w:lang w:val="en-US" w:eastAsia="zh-CN"/>
              </w:rPr>
              <w:t>6</w:t>
            </w:r>
          </w:p>
        </w:tc>
        <w:tc>
          <w:tcPr>
            <w:tcW w:w="3721" w:type="dxa"/>
            <w:noWrap w:val="0"/>
            <w:vAlign w:val="center"/>
          </w:tcPr>
          <w:p w14:paraId="06BDA051">
            <w:pPr>
              <w:pStyle w:val="31"/>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角磨机</w:t>
            </w:r>
          </w:p>
        </w:tc>
        <w:tc>
          <w:tcPr>
            <w:tcW w:w="1551" w:type="dxa"/>
            <w:noWrap w:val="0"/>
            <w:vAlign w:val="center"/>
          </w:tcPr>
          <w:p w14:paraId="16F7CA78">
            <w:pPr>
              <w:jc w:val="center"/>
              <w:rPr>
                <w:rFonts w:hint="default" w:ascii="Times New Roman" w:hAnsi="Times New Roman"/>
                <w:b/>
                <w:szCs w:val="21"/>
                <w:lang w:val="en-US" w:eastAsia="zh-CN"/>
              </w:rPr>
            </w:pPr>
            <w:r>
              <w:rPr>
                <w:rFonts w:hint="eastAsia" w:ascii="仿宋_GB2312" w:eastAsia="仿宋_GB2312" w:cs="Times New Roman"/>
                <w:kern w:val="2"/>
                <w:sz w:val="21"/>
                <w:szCs w:val="21"/>
                <w:lang w:val="en-US" w:eastAsia="zh-CN" w:bidi="ar-SA"/>
              </w:rPr>
              <w:t>若干</w:t>
            </w:r>
          </w:p>
        </w:tc>
        <w:tc>
          <w:tcPr>
            <w:tcW w:w="2610" w:type="dxa"/>
            <w:noWrap w:val="0"/>
            <w:vAlign w:val="center"/>
          </w:tcPr>
          <w:p w14:paraId="19FED428">
            <w:pPr>
              <w:pStyle w:val="31"/>
              <w:rPr>
                <w:rFonts w:ascii="Times New Roman" w:hAnsi="Times New Roman"/>
                <w:b/>
                <w:szCs w:val="21"/>
              </w:rPr>
            </w:pPr>
          </w:p>
        </w:tc>
      </w:tr>
      <w:tr w14:paraId="0B404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14:paraId="1824580A">
            <w:pPr>
              <w:pStyle w:val="31"/>
              <w:rPr>
                <w:rFonts w:hint="eastAsia" w:ascii="Times New Roman" w:hAnsi="Times New Roman" w:eastAsia="宋体"/>
                <w:szCs w:val="21"/>
                <w:lang w:val="en-US" w:eastAsia="zh-CN"/>
              </w:rPr>
            </w:pPr>
            <w:r>
              <w:rPr>
                <w:rFonts w:hint="eastAsia" w:ascii="Times New Roman" w:hAnsi="Times New Roman"/>
                <w:szCs w:val="21"/>
                <w:lang w:val="en-US" w:eastAsia="zh-CN"/>
              </w:rPr>
              <w:t>7</w:t>
            </w:r>
          </w:p>
        </w:tc>
        <w:tc>
          <w:tcPr>
            <w:tcW w:w="3721" w:type="dxa"/>
            <w:noWrap w:val="0"/>
            <w:vAlign w:val="center"/>
          </w:tcPr>
          <w:p w14:paraId="68D7D99B">
            <w:pPr>
              <w:pStyle w:val="31"/>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磨光机</w:t>
            </w:r>
          </w:p>
        </w:tc>
        <w:tc>
          <w:tcPr>
            <w:tcW w:w="1551" w:type="dxa"/>
            <w:noWrap w:val="0"/>
            <w:vAlign w:val="center"/>
          </w:tcPr>
          <w:p w14:paraId="12B1EC76">
            <w:pPr>
              <w:jc w:val="center"/>
              <w:rPr>
                <w:rFonts w:hint="eastAsia" w:ascii="Times New Roman" w:hAnsi="Times New Roman"/>
                <w:b/>
                <w:szCs w:val="21"/>
                <w:lang w:val="en-US" w:eastAsia="zh-CN"/>
              </w:rPr>
            </w:pPr>
            <w:r>
              <w:rPr>
                <w:rFonts w:hint="eastAsia" w:ascii="仿宋_GB2312" w:eastAsia="仿宋_GB2312" w:cs="Times New Roman"/>
                <w:kern w:val="2"/>
                <w:sz w:val="21"/>
                <w:szCs w:val="21"/>
                <w:lang w:val="en-US" w:eastAsia="zh-CN" w:bidi="ar-SA"/>
              </w:rPr>
              <w:t>若干</w:t>
            </w:r>
          </w:p>
        </w:tc>
        <w:tc>
          <w:tcPr>
            <w:tcW w:w="2610" w:type="dxa"/>
            <w:noWrap w:val="0"/>
            <w:vAlign w:val="center"/>
          </w:tcPr>
          <w:p w14:paraId="7A4CF95A">
            <w:pPr>
              <w:pStyle w:val="31"/>
              <w:rPr>
                <w:rFonts w:ascii="Times New Roman" w:hAnsi="Times New Roman"/>
                <w:b/>
                <w:szCs w:val="21"/>
              </w:rPr>
            </w:pPr>
          </w:p>
        </w:tc>
      </w:tr>
      <w:tr w14:paraId="380E4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14:paraId="1746A63C">
            <w:pPr>
              <w:pStyle w:val="31"/>
              <w:rPr>
                <w:rFonts w:hint="eastAsia" w:ascii="Times New Roman" w:hAnsi="Times New Roman" w:eastAsia="宋体"/>
                <w:szCs w:val="21"/>
                <w:lang w:val="en-US" w:eastAsia="zh-CN"/>
              </w:rPr>
            </w:pPr>
            <w:r>
              <w:rPr>
                <w:rFonts w:hint="eastAsia" w:ascii="Times New Roman" w:hAnsi="Times New Roman"/>
                <w:szCs w:val="21"/>
                <w:lang w:val="en-US" w:eastAsia="zh-CN"/>
              </w:rPr>
              <w:t>8</w:t>
            </w:r>
          </w:p>
        </w:tc>
        <w:tc>
          <w:tcPr>
            <w:tcW w:w="3721" w:type="dxa"/>
            <w:noWrap w:val="0"/>
            <w:vAlign w:val="center"/>
          </w:tcPr>
          <w:p w14:paraId="310A41AE">
            <w:pPr>
              <w:pStyle w:val="31"/>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工器具</w:t>
            </w:r>
          </w:p>
        </w:tc>
        <w:tc>
          <w:tcPr>
            <w:tcW w:w="1551" w:type="dxa"/>
            <w:noWrap w:val="0"/>
            <w:vAlign w:val="center"/>
          </w:tcPr>
          <w:p w14:paraId="0E43A43E">
            <w:pPr>
              <w:jc w:val="center"/>
              <w:rPr>
                <w:rFonts w:hint="default" w:ascii="仿宋_GB2312"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若干</w:t>
            </w:r>
          </w:p>
        </w:tc>
        <w:tc>
          <w:tcPr>
            <w:tcW w:w="2610" w:type="dxa"/>
            <w:noWrap w:val="0"/>
            <w:vAlign w:val="center"/>
          </w:tcPr>
          <w:p w14:paraId="007A92CA">
            <w:pPr>
              <w:pStyle w:val="31"/>
              <w:rPr>
                <w:rFonts w:ascii="Times New Roman" w:hAnsi="Times New Roman"/>
                <w:b/>
                <w:szCs w:val="21"/>
              </w:rPr>
            </w:pPr>
          </w:p>
        </w:tc>
      </w:tr>
    </w:tbl>
    <w:p w14:paraId="48D8703B">
      <w:pPr>
        <w:tabs>
          <w:tab w:val="left" w:pos="2700"/>
        </w:tabs>
        <w:adjustRightInd w:val="0"/>
        <w:snapToGrid w:val="0"/>
        <w:spacing w:line="500" w:lineRule="exact"/>
        <w:ind w:firstLine="560" w:firstLineChars="200"/>
        <w:rPr>
          <w:rFonts w:hint="default"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行车已向红塔区市场监督管理局申请登记，并取得特种设备使用登记证，登记证见附件11；并按相关规范要求对行车进行了定期检验，行车于2025年7月进行检验，检验有效期至2027年7月，检验报告见附件12。</w:t>
      </w:r>
    </w:p>
    <w:p w14:paraId="76D5B5ED">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143" w:name="_Toc26116"/>
      <w:r>
        <w:rPr>
          <w:rFonts w:hint="eastAsia" w:ascii="宋体" w:hAnsi="宋体" w:eastAsia="宋体" w:cs="宋体"/>
          <w:color w:val="000000" w:themeColor="text1"/>
          <w:kern w:val="0"/>
          <w:lang w:val="en-US" w:eastAsia="zh-CN"/>
          <w14:textFill>
            <w14:solidFill>
              <w14:schemeClr w14:val="tx1"/>
            </w14:solidFill>
          </w14:textFill>
        </w:rPr>
        <w:t>2.5公用工程及辅助生产设施</w:t>
      </w:r>
      <w:bookmarkEnd w:id="143"/>
    </w:p>
    <w:p w14:paraId="68FF14B3">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44" w:name="_Toc5126"/>
      <w:bookmarkStart w:id="145" w:name="_Toc16987"/>
      <w:bookmarkStart w:id="146" w:name="_Toc5146"/>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2.5.1 给排水</w:t>
      </w:r>
      <w:bookmarkEnd w:id="144"/>
      <w:bookmarkEnd w:id="145"/>
      <w:bookmarkEnd w:id="146"/>
    </w:p>
    <w:p w14:paraId="78E6F538">
      <w:pPr>
        <w:pStyle w:val="5"/>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2.5.1.1 给水</w:t>
      </w:r>
    </w:p>
    <w:p w14:paraId="1B1AEA2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本项目生产、生活用水由研和街道自来水厂通过工业园区城市供水管网提供。</w:t>
      </w:r>
      <w:r>
        <w:rPr>
          <w:rFonts w:hint="eastAsia" w:ascii="宋体" w:hAnsi="宋体" w:eastAsia="宋体" w:cs="宋体"/>
          <w:color w:val="000000"/>
          <w:sz w:val="28"/>
          <w:szCs w:val="28"/>
          <w:lang w:bidi="ar"/>
        </w:rPr>
        <w:t>消防</w:t>
      </w:r>
      <w:r>
        <w:rPr>
          <w:rFonts w:hint="eastAsia" w:ascii="宋体" w:hAnsi="宋体" w:eastAsia="宋体" w:cs="宋体"/>
          <w:color w:val="000000"/>
          <w:sz w:val="28"/>
          <w:szCs w:val="28"/>
          <w:lang w:val="en-US" w:eastAsia="zh-CN" w:bidi="ar"/>
        </w:rPr>
        <w:t>用</w:t>
      </w:r>
      <w:r>
        <w:rPr>
          <w:rFonts w:hint="eastAsia" w:ascii="宋体" w:hAnsi="宋体" w:eastAsia="宋体" w:cs="宋体"/>
          <w:color w:val="000000"/>
          <w:sz w:val="28"/>
          <w:szCs w:val="28"/>
          <w:lang w:bidi="ar"/>
        </w:rPr>
        <w:t>水由园区消防水管网供给。</w:t>
      </w:r>
    </w:p>
    <w:p w14:paraId="6371CF6D">
      <w:pPr>
        <w:pStyle w:val="5"/>
        <w:keepNext w:val="0"/>
        <w:keepLines w:val="0"/>
        <w:pageBreakBefore w:val="0"/>
        <w:widowControl w:val="0"/>
        <w:kinsoku/>
        <w:wordWrap/>
        <w:overflowPunct/>
        <w:topLinePunct w:val="0"/>
        <w:autoSpaceDE/>
        <w:autoSpaceDN/>
        <w:bidi w:val="0"/>
        <w:adjustRightInd/>
        <w:snapToGrid w:val="0"/>
        <w:spacing w:line="520" w:lineRule="exact"/>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2.5.1.2 排水</w:t>
      </w:r>
    </w:p>
    <w:p w14:paraId="7ABF379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bookmarkStart w:id="147" w:name="_Toc2481"/>
      <w:bookmarkStart w:id="148" w:name="_Toc934"/>
      <w:r>
        <w:rPr>
          <w:rFonts w:hint="eastAsia" w:ascii="宋体" w:hAnsi="宋体" w:eastAsia="宋体" w:cs="宋体"/>
          <w:color w:val="000000" w:themeColor="text1"/>
          <w:sz w:val="28"/>
          <w:szCs w:val="28"/>
          <w:highlight w:val="none"/>
          <w:lang w:val="en-US" w:eastAsia="zh-CN"/>
          <w14:textFill>
            <w14:solidFill>
              <w14:schemeClr w14:val="tx1"/>
            </w14:solidFill>
          </w14:textFill>
        </w:rPr>
        <w:t>1.生产排水：生产无用水。</w:t>
      </w:r>
    </w:p>
    <w:p w14:paraId="0CD530A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2.生活污水排放：生活废水经园区污水管网统一收集处理，用于园区绿化和园区洒水降尘，不外排。</w:t>
      </w:r>
    </w:p>
    <w:p w14:paraId="75423F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3.雨水排放：厂区的地面及道路为已硬化的道路，厂区围墙外设置了雨水排水沟。</w:t>
      </w:r>
    </w:p>
    <w:p w14:paraId="5A016980">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49" w:name="_Toc26890"/>
      <w:bookmarkStart w:id="150" w:name="_Toc5877"/>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2.5.2 供配电</w:t>
      </w:r>
      <w:bookmarkEnd w:id="147"/>
      <w:bookmarkEnd w:id="148"/>
      <w:bookmarkEnd w:id="149"/>
      <w:bookmarkEnd w:id="150"/>
    </w:p>
    <w:p w14:paraId="69CE42A4">
      <w:pPr>
        <w:tabs>
          <w:tab w:val="left" w:pos="2700"/>
        </w:tabs>
        <w:adjustRightInd w:val="0"/>
        <w:snapToGrid w:val="0"/>
        <w:spacing w:line="500" w:lineRule="exact"/>
        <w:ind w:firstLine="560" w:firstLineChars="200"/>
        <w:rPr>
          <w:rFonts w:hint="eastAsia" w:ascii="宋体" w:hAnsi="宋体" w:eastAsia="宋体" w:cs="宋体"/>
          <w:color w:val="000000" w:themeColor="text1"/>
          <w:sz w:val="28"/>
          <w:szCs w:val="28"/>
          <w:highlight w:val="none"/>
          <w:lang w:val="en-US" w:eastAsia="zh-CN"/>
          <w14:textFill>
            <w14:solidFill>
              <w14:schemeClr w14:val="tx1"/>
            </w14:solidFill>
          </w14:textFill>
        </w:rPr>
      </w:pPr>
      <w:bookmarkStart w:id="151" w:name="_Toc21017"/>
      <w:bookmarkStart w:id="152" w:name="_Toc14522"/>
      <w:r>
        <w:rPr>
          <w:rFonts w:hint="eastAsia" w:ascii="宋体" w:hAnsi="宋体" w:eastAsia="宋体" w:cs="宋体"/>
          <w:color w:val="000000" w:themeColor="text1"/>
          <w:sz w:val="28"/>
          <w:szCs w:val="28"/>
          <w:highlight w:val="none"/>
          <w:lang w:val="en-US" w:eastAsia="zh-CN"/>
          <w14:textFill>
            <w14:solidFill>
              <w14:schemeClr w14:val="tx1"/>
            </w14:solidFill>
          </w14:textFill>
        </w:rPr>
        <w:t>该项目用电负荷为三级用电负荷，</w:t>
      </w:r>
      <w:r>
        <w:rPr>
          <w:rFonts w:hint="eastAsia" w:hAnsi="宋体" w:cs="宋体"/>
          <w:color w:val="000000" w:themeColor="text1"/>
          <w:sz w:val="28"/>
          <w:szCs w:val="28"/>
          <w:highlight w:val="none"/>
          <w:lang w:val="en-US" w:eastAsia="zh-CN"/>
          <w14:textFill>
            <w14:solidFill>
              <w14:schemeClr w14:val="tx1"/>
            </w14:solidFill>
          </w14:textFill>
        </w:rPr>
        <w:t>园</w:t>
      </w:r>
      <w:r>
        <w:rPr>
          <w:rFonts w:hint="eastAsia" w:ascii="宋体" w:hAnsi="宋体" w:eastAsia="宋体" w:cs="宋体"/>
          <w:color w:val="000000" w:themeColor="text1"/>
          <w:sz w:val="28"/>
          <w:szCs w:val="28"/>
          <w:highlight w:val="none"/>
          <w:lang w:val="en-US" w:eastAsia="zh-CN"/>
          <w14:textFill>
            <w14:solidFill>
              <w14:schemeClr w14:val="tx1"/>
            </w14:solidFill>
          </w14:textFill>
        </w:rPr>
        <w:t>区东南侧设有变压器一座，项目供电线路由玉溪市供电局 110kV 研和变电站供给，由外电10kV供电线引入厂区油浸式变压器，经过厂区变压器降压后，接入生产车间各配电柜，在通过配电柜分别接至各开关箱，通过开关箱向用电设备供电，该项目的供电方式采用放散式供电方式。</w:t>
      </w:r>
    </w:p>
    <w:p w14:paraId="10651EEA">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53" w:name="_Toc30903"/>
      <w:bookmarkStart w:id="154" w:name="_Toc2322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2.5.3 防雷防静电</w:t>
      </w:r>
      <w:bookmarkEnd w:id="151"/>
      <w:bookmarkEnd w:id="152"/>
      <w:bookmarkEnd w:id="153"/>
      <w:bookmarkEnd w:id="154"/>
    </w:p>
    <w:p w14:paraId="75F69352">
      <w:pPr>
        <w:tabs>
          <w:tab w:val="left" w:pos="2700"/>
        </w:tabs>
        <w:adjustRightInd w:val="0"/>
        <w:snapToGrid w:val="0"/>
        <w:spacing w:line="500" w:lineRule="exact"/>
        <w:ind w:firstLine="560" w:firstLineChars="200"/>
        <w:rPr>
          <w:rFonts w:hint="eastAsia" w:ascii="宋体" w:hAnsi="宋体" w:eastAsia="宋体" w:cs="宋体"/>
          <w:color w:val="000000" w:themeColor="text1"/>
          <w:sz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项目范围内的建（构）筑物均已按第三类防雷建筑物建设防雷接地装置，生产车间、办公室等建（构）筑物均进行了相应的防雷接地。</w:t>
      </w:r>
      <w:r>
        <w:rPr>
          <w:rFonts w:hint="eastAsia" w:ascii="宋体" w:hAnsi="宋体" w:eastAsia="宋体" w:cs="宋体"/>
          <w:color w:val="000000" w:themeColor="text1"/>
          <w:sz w:val="28"/>
          <w:highlight w:val="none"/>
          <w14:textFill>
            <w14:solidFill>
              <w14:schemeClr w14:val="tx1"/>
            </w14:solidFill>
          </w14:textFill>
        </w:rPr>
        <w:t>于202</w:t>
      </w:r>
      <w:r>
        <w:rPr>
          <w:rFonts w:hint="eastAsia" w:ascii="宋体" w:hAnsi="宋体" w:eastAsia="宋体" w:cs="宋体"/>
          <w:color w:val="000000" w:themeColor="text1"/>
          <w:sz w:val="28"/>
          <w:highlight w:val="none"/>
          <w:lang w:val="en-US" w:eastAsia="zh-CN"/>
          <w14:textFill>
            <w14:solidFill>
              <w14:schemeClr w14:val="tx1"/>
            </w14:solidFill>
          </w14:textFill>
        </w:rPr>
        <w:t>4</w:t>
      </w:r>
      <w:r>
        <w:rPr>
          <w:rFonts w:hint="eastAsia" w:ascii="宋体" w:hAnsi="宋体" w:eastAsia="宋体" w:cs="宋体"/>
          <w:color w:val="000000" w:themeColor="text1"/>
          <w:sz w:val="28"/>
          <w:highlight w:val="none"/>
          <w14:textFill>
            <w14:solidFill>
              <w14:schemeClr w14:val="tx1"/>
            </w14:solidFill>
          </w14:textFill>
        </w:rPr>
        <w:t>年</w:t>
      </w:r>
      <w:r>
        <w:rPr>
          <w:rFonts w:hint="eastAsia" w:hAnsi="宋体" w:cs="宋体"/>
          <w:color w:val="000000" w:themeColor="text1"/>
          <w:sz w:val="28"/>
          <w:highlight w:val="none"/>
          <w:lang w:val="en-US" w:eastAsia="zh-CN"/>
          <w14:textFill>
            <w14:solidFill>
              <w14:schemeClr w14:val="tx1"/>
            </w14:solidFill>
          </w14:textFill>
        </w:rPr>
        <w:t>8</w:t>
      </w:r>
      <w:r>
        <w:rPr>
          <w:rFonts w:hint="eastAsia" w:ascii="宋体" w:hAnsi="宋体" w:eastAsia="宋体" w:cs="宋体"/>
          <w:color w:val="000000" w:themeColor="text1"/>
          <w:sz w:val="28"/>
          <w:highlight w:val="none"/>
          <w14:textFill>
            <w14:solidFill>
              <w14:schemeClr w14:val="tx1"/>
            </w14:solidFill>
          </w14:textFill>
        </w:rPr>
        <w:t>月</w:t>
      </w:r>
      <w:r>
        <w:rPr>
          <w:rFonts w:hint="eastAsia" w:hAnsi="宋体" w:cs="宋体"/>
          <w:color w:val="000000" w:themeColor="text1"/>
          <w:sz w:val="28"/>
          <w:highlight w:val="none"/>
          <w:lang w:val="en-US" w:eastAsia="zh-CN"/>
          <w14:textFill>
            <w14:solidFill>
              <w14:schemeClr w14:val="tx1"/>
            </w14:solidFill>
          </w14:textFill>
        </w:rPr>
        <w:t>7</w:t>
      </w:r>
      <w:r>
        <w:rPr>
          <w:rFonts w:hint="eastAsia" w:ascii="宋体" w:hAnsi="宋体" w:eastAsia="宋体" w:cs="宋体"/>
          <w:color w:val="000000" w:themeColor="text1"/>
          <w:sz w:val="28"/>
          <w:highlight w:val="none"/>
          <w14:textFill>
            <w14:solidFill>
              <w14:schemeClr w14:val="tx1"/>
            </w14:solidFill>
          </w14:textFill>
        </w:rPr>
        <w:t>日委托</w:t>
      </w:r>
      <w:r>
        <w:rPr>
          <w:rFonts w:hint="eastAsia" w:ascii="宋体" w:hAnsi="宋体" w:eastAsia="宋体" w:cs="宋体"/>
          <w:color w:val="000000" w:themeColor="text1"/>
          <w:sz w:val="28"/>
          <w:highlight w:val="none"/>
          <w:lang w:val="en-US" w:eastAsia="zh-CN"/>
          <w14:textFill>
            <w14:solidFill>
              <w14:schemeClr w14:val="tx1"/>
            </w14:solidFill>
          </w14:textFill>
        </w:rPr>
        <w:t>云南标普电气检测技术有限公司对</w:t>
      </w:r>
      <w:r>
        <w:rPr>
          <w:rFonts w:hint="eastAsia" w:ascii="宋体" w:hAnsi="宋体" w:eastAsia="宋体" w:cs="宋体"/>
          <w:color w:val="000000" w:themeColor="text1"/>
          <w:sz w:val="28"/>
          <w:highlight w:val="none"/>
          <w14:textFill>
            <w14:solidFill>
              <w14:schemeClr w14:val="tx1"/>
            </w14:solidFill>
          </w14:textFill>
        </w:rPr>
        <w:t>防雷装置进行检测，检测结果均为合格，报告编号：</w:t>
      </w:r>
      <w:r>
        <w:rPr>
          <w:rFonts w:hint="eastAsia" w:ascii="宋体" w:hAnsi="宋体" w:eastAsia="宋体" w:cs="宋体"/>
          <w:color w:val="000000" w:themeColor="text1"/>
          <w:sz w:val="28"/>
          <w:highlight w:val="none"/>
          <w:lang w:eastAsia="zh-CN"/>
          <w14:textFill>
            <w14:solidFill>
              <w14:schemeClr w14:val="tx1"/>
            </w14:solidFill>
          </w14:textFill>
        </w:rPr>
        <w:t>（</w:t>
      </w:r>
      <w:r>
        <w:rPr>
          <w:rFonts w:hint="eastAsia" w:ascii="宋体" w:hAnsi="宋体" w:eastAsia="宋体" w:cs="宋体"/>
          <w:color w:val="000000" w:themeColor="text1"/>
          <w:sz w:val="28"/>
          <w:highlight w:val="none"/>
          <w:lang w:val="en-US" w:eastAsia="zh-CN"/>
          <w14:textFill>
            <w14:solidFill>
              <w14:schemeClr w14:val="tx1"/>
            </w14:solidFill>
          </w14:textFill>
        </w:rPr>
        <w:t>1252022002</w:t>
      </w:r>
      <w:r>
        <w:rPr>
          <w:rFonts w:hint="eastAsia" w:ascii="宋体" w:hAnsi="宋体" w:eastAsia="宋体" w:cs="宋体"/>
          <w:color w:val="000000" w:themeColor="text1"/>
          <w:sz w:val="28"/>
          <w:highlight w:val="none"/>
          <w:lang w:eastAsia="zh-CN"/>
          <w14:textFill>
            <w14:solidFill>
              <w14:schemeClr w14:val="tx1"/>
            </w14:solidFill>
          </w14:textFill>
        </w:rPr>
        <w:t>）</w:t>
      </w:r>
      <w:r>
        <w:rPr>
          <w:rFonts w:hint="eastAsia" w:ascii="宋体" w:hAnsi="宋体" w:eastAsia="宋体" w:cs="宋体"/>
          <w:color w:val="000000" w:themeColor="text1"/>
          <w:sz w:val="28"/>
          <w:highlight w:val="none"/>
          <w:lang w:val="en-US" w:eastAsia="zh-CN"/>
          <w14:textFill>
            <w14:solidFill>
              <w14:schemeClr w14:val="tx1"/>
            </w14:solidFill>
          </w14:textFill>
        </w:rPr>
        <w:t>[2024]0</w:t>
      </w:r>
      <w:r>
        <w:rPr>
          <w:rFonts w:hint="eastAsia" w:hAnsi="宋体" w:cs="宋体"/>
          <w:color w:val="000000" w:themeColor="text1"/>
          <w:sz w:val="28"/>
          <w:highlight w:val="none"/>
          <w:lang w:val="en-US" w:eastAsia="zh-CN"/>
          <w14:textFill>
            <w14:solidFill>
              <w14:schemeClr w14:val="tx1"/>
            </w14:solidFill>
          </w14:textFill>
        </w:rPr>
        <w:t>509</w:t>
      </w:r>
      <w:r>
        <w:rPr>
          <w:rFonts w:hint="eastAsia" w:ascii="宋体" w:hAnsi="宋体" w:eastAsia="宋体" w:cs="宋体"/>
          <w:color w:val="000000" w:themeColor="text1"/>
          <w:sz w:val="28"/>
          <w:highlight w:val="none"/>
          <w:lang w:val="en-US" w:eastAsia="zh-CN"/>
          <w14:textFill>
            <w14:solidFill>
              <w14:schemeClr w14:val="tx1"/>
            </w14:solidFill>
          </w14:textFill>
        </w:rPr>
        <w:t>号</w:t>
      </w:r>
      <w:r>
        <w:rPr>
          <w:rFonts w:hint="eastAsia" w:ascii="宋体" w:hAnsi="宋体" w:eastAsia="宋体" w:cs="宋体"/>
          <w:color w:val="000000" w:themeColor="text1"/>
          <w:sz w:val="28"/>
          <w:highlight w:val="none"/>
          <w14:textFill>
            <w14:solidFill>
              <w14:schemeClr w14:val="tx1"/>
            </w14:solidFill>
          </w14:textFill>
        </w:rPr>
        <w:t>。有效期至：202</w:t>
      </w:r>
      <w:r>
        <w:rPr>
          <w:rFonts w:hint="eastAsia" w:ascii="宋体" w:hAnsi="宋体" w:eastAsia="宋体" w:cs="宋体"/>
          <w:color w:val="000000" w:themeColor="text1"/>
          <w:sz w:val="28"/>
          <w:highlight w:val="none"/>
          <w:lang w:val="en-US" w:eastAsia="zh-CN"/>
          <w14:textFill>
            <w14:solidFill>
              <w14:schemeClr w14:val="tx1"/>
            </w14:solidFill>
          </w14:textFill>
        </w:rPr>
        <w:t>5</w:t>
      </w:r>
      <w:r>
        <w:rPr>
          <w:rFonts w:hint="eastAsia" w:ascii="宋体" w:hAnsi="宋体" w:eastAsia="宋体" w:cs="宋体"/>
          <w:color w:val="000000" w:themeColor="text1"/>
          <w:sz w:val="28"/>
          <w:highlight w:val="none"/>
          <w14:textFill>
            <w14:solidFill>
              <w14:schemeClr w14:val="tx1"/>
            </w14:solidFill>
          </w14:textFill>
        </w:rPr>
        <w:t>年</w:t>
      </w:r>
      <w:r>
        <w:rPr>
          <w:rFonts w:hint="eastAsia" w:hAnsi="宋体" w:cs="宋体"/>
          <w:color w:val="000000" w:themeColor="text1"/>
          <w:sz w:val="28"/>
          <w:highlight w:val="none"/>
          <w:lang w:val="en-US" w:eastAsia="zh-CN"/>
          <w14:textFill>
            <w14:solidFill>
              <w14:schemeClr w14:val="tx1"/>
            </w14:solidFill>
          </w14:textFill>
        </w:rPr>
        <w:t>8</w:t>
      </w:r>
      <w:r>
        <w:rPr>
          <w:rFonts w:hint="eastAsia" w:ascii="宋体" w:hAnsi="宋体" w:eastAsia="宋体" w:cs="宋体"/>
          <w:color w:val="000000" w:themeColor="text1"/>
          <w:sz w:val="28"/>
          <w:highlight w:val="none"/>
          <w14:textFill>
            <w14:solidFill>
              <w14:schemeClr w14:val="tx1"/>
            </w14:solidFill>
          </w14:textFill>
        </w:rPr>
        <w:t>月</w:t>
      </w:r>
      <w:r>
        <w:rPr>
          <w:rFonts w:hint="eastAsia" w:hAnsi="宋体" w:cs="宋体"/>
          <w:color w:val="000000" w:themeColor="text1"/>
          <w:sz w:val="28"/>
          <w:highlight w:val="none"/>
          <w:lang w:val="en-US" w:eastAsia="zh-CN"/>
          <w14:textFill>
            <w14:solidFill>
              <w14:schemeClr w14:val="tx1"/>
            </w14:solidFill>
          </w14:textFill>
        </w:rPr>
        <w:t>6</w:t>
      </w:r>
      <w:r>
        <w:rPr>
          <w:rFonts w:hint="eastAsia" w:ascii="宋体" w:hAnsi="宋体" w:eastAsia="宋体" w:cs="宋体"/>
          <w:color w:val="000000" w:themeColor="text1"/>
          <w:sz w:val="28"/>
          <w:highlight w:val="none"/>
          <w14:textFill>
            <w14:solidFill>
              <w14:schemeClr w14:val="tx1"/>
            </w14:solidFill>
          </w14:textFill>
        </w:rPr>
        <w:t>日，防雷检测报告见附件</w:t>
      </w:r>
      <w:r>
        <w:rPr>
          <w:rFonts w:hint="eastAsia" w:hAnsi="宋体" w:cs="宋体"/>
          <w:color w:val="000000" w:themeColor="text1"/>
          <w:sz w:val="28"/>
          <w:highlight w:val="none"/>
          <w:lang w:val="en-US" w:eastAsia="zh-CN"/>
          <w14:textFill>
            <w14:solidFill>
              <w14:schemeClr w14:val="tx1"/>
            </w14:solidFill>
          </w14:textFill>
        </w:rPr>
        <w:t>22</w:t>
      </w:r>
      <w:r>
        <w:rPr>
          <w:rFonts w:hint="eastAsia" w:ascii="宋体" w:hAnsi="宋体" w:eastAsia="宋体" w:cs="宋体"/>
          <w:color w:val="000000" w:themeColor="text1"/>
          <w:sz w:val="28"/>
          <w:highlight w:val="none"/>
          <w14:textFill>
            <w14:solidFill>
              <w14:schemeClr w14:val="tx1"/>
            </w14:solidFill>
          </w14:textFill>
        </w:rPr>
        <w:t>。</w:t>
      </w:r>
    </w:p>
    <w:p w14:paraId="354A6C25">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55" w:name="_Toc8052"/>
      <w:bookmarkStart w:id="156" w:name="_Toc8765"/>
      <w:bookmarkStart w:id="157" w:name="_Toc17830"/>
      <w:bookmarkStart w:id="158" w:name="_Toc26245"/>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2.5.4 消防</w:t>
      </w:r>
      <w:bookmarkEnd w:id="155"/>
      <w:bookmarkEnd w:id="156"/>
      <w:bookmarkEnd w:id="157"/>
      <w:bookmarkEnd w:id="158"/>
    </w:p>
    <w:p w14:paraId="6933CFDE">
      <w:pPr>
        <w:tabs>
          <w:tab w:val="left" w:pos="2700"/>
        </w:tabs>
        <w:adjustRightInd w:val="0"/>
        <w:snapToGrid w:val="0"/>
        <w:spacing w:line="500" w:lineRule="exact"/>
        <w:ind w:firstLine="560" w:firstLineChars="200"/>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公司按照《建筑设计防火规范》（GB50016-2014）中安全疏散通道设置情况的相关要求，设有3个安全出口。已在办公区、生产区、装配区、仓库旁等位置，设置了手提式干粉灭火器，防止建筑物及电气火灾。主要消防设置见表2-4。</w:t>
      </w:r>
    </w:p>
    <w:p w14:paraId="7F014B2D">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表2-</w:t>
      </w:r>
      <w:r>
        <w:rPr>
          <w:rFonts w:hint="eastAsia" w:ascii="宋体" w:hAnsi="宋体" w:eastAsia="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14:textFill>
            <w14:solidFill>
              <w14:schemeClr w14:val="tx1"/>
            </w14:solidFill>
          </w14:textFill>
        </w:rPr>
        <w:t>主要消防设施一览表</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2"/>
        <w:gridCol w:w="2171"/>
        <w:gridCol w:w="2839"/>
      </w:tblGrid>
      <w:tr w14:paraId="31DCF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vAlign w:val="center"/>
          </w:tcPr>
          <w:p w14:paraId="3062D5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设备名称</w:t>
            </w:r>
          </w:p>
        </w:tc>
        <w:tc>
          <w:tcPr>
            <w:tcW w:w="2171" w:type="dxa"/>
            <w:vAlign w:val="center"/>
          </w:tcPr>
          <w:p w14:paraId="10B5DA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设备</w:t>
            </w:r>
            <w:r>
              <w:rPr>
                <w:rFonts w:hint="eastAsia" w:ascii="宋体" w:hAnsi="宋体" w:eastAsia="宋体" w:cs="宋体"/>
                <w:b w:val="0"/>
                <w:bCs w:val="0"/>
                <w:color w:val="000000" w:themeColor="text1"/>
                <w:sz w:val="21"/>
                <w:szCs w:val="21"/>
                <w:lang w:val="en-US" w:eastAsia="zh-CN"/>
                <w14:textFill>
                  <w14:solidFill>
                    <w14:schemeClr w14:val="tx1"/>
                  </w14:solidFill>
                </w14:textFill>
              </w:rPr>
              <w:t>规格、</w:t>
            </w:r>
            <w:r>
              <w:rPr>
                <w:rFonts w:hint="eastAsia" w:ascii="宋体" w:hAnsi="宋体" w:eastAsia="宋体" w:cs="宋体"/>
                <w:b w:val="0"/>
                <w:bCs w:val="0"/>
                <w:color w:val="000000" w:themeColor="text1"/>
                <w:sz w:val="21"/>
                <w:szCs w:val="21"/>
                <w14:textFill>
                  <w14:solidFill>
                    <w14:schemeClr w14:val="tx1"/>
                  </w14:solidFill>
                </w14:textFill>
              </w:rPr>
              <w:t>数量</w:t>
            </w:r>
          </w:p>
        </w:tc>
        <w:tc>
          <w:tcPr>
            <w:tcW w:w="2839" w:type="dxa"/>
            <w:vAlign w:val="center"/>
          </w:tcPr>
          <w:p w14:paraId="6FD73C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设置位置</w:t>
            </w:r>
          </w:p>
        </w:tc>
      </w:tr>
      <w:tr w14:paraId="674A5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vAlign w:val="center"/>
          </w:tcPr>
          <w:p w14:paraId="1E038E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171" w:type="dxa"/>
            <w:vAlign w:val="center"/>
          </w:tcPr>
          <w:p w14:paraId="1AA1C9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ABC5型、4</w:t>
            </w:r>
            <w:r>
              <w:rPr>
                <w:rFonts w:hint="eastAsia" w:ascii="宋体" w:hAnsi="宋体" w:eastAsia="宋体" w:cs="宋体"/>
                <w:color w:val="000000" w:themeColor="text1"/>
                <w:sz w:val="21"/>
                <w:szCs w:val="21"/>
                <w14:textFill>
                  <w14:solidFill>
                    <w14:schemeClr w14:val="tx1"/>
                  </w14:solidFill>
                </w14:textFill>
              </w:rPr>
              <w:t>具</w:t>
            </w:r>
          </w:p>
        </w:tc>
        <w:tc>
          <w:tcPr>
            <w:tcW w:w="2839" w:type="dxa"/>
            <w:vAlign w:val="center"/>
          </w:tcPr>
          <w:p w14:paraId="45F9C9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办公区</w:t>
            </w:r>
          </w:p>
        </w:tc>
      </w:tr>
      <w:tr w14:paraId="4A60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vAlign w:val="center"/>
          </w:tcPr>
          <w:p w14:paraId="2F6612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171" w:type="dxa"/>
            <w:vAlign w:val="center"/>
          </w:tcPr>
          <w:p w14:paraId="4FB3C7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ABC5型、6</w:t>
            </w:r>
            <w:r>
              <w:rPr>
                <w:rFonts w:hint="eastAsia" w:ascii="宋体" w:hAnsi="宋体" w:eastAsia="宋体" w:cs="宋体"/>
                <w:color w:val="000000" w:themeColor="text1"/>
                <w:sz w:val="21"/>
                <w:szCs w:val="21"/>
                <w14:textFill>
                  <w14:solidFill>
                    <w14:schemeClr w14:val="tx1"/>
                  </w14:solidFill>
                </w14:textFill>
              </w:rPr>
              <w:t>具</w:t>
            </w:r>
          </w:p>
        </w:tc>
        <w:tc>
          <w:tcPr>
            <w:tcW w:w="2839" w:type="dxa"/>
            <w:vAlign w:val="center"/>
          </w:tcPr>
          <w:p w14:paraId="16496A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生产区</w:t>
            </w:r>
          </w:p>
        </w:tc>
      </w:tr>
      <w:tr w14:paraId="4810B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shd w:val="clear" w:color="auto" w:fill="auto"/>
            <w:vAlign w:val="center"/>
          </w:tcPr>
          <w:p w14:paraId="7D3BF0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171" w:type="dxa"/>
            <w:shd w:val="clear" w:color="auto" w:fill="auto"/>
            <w:vAlign w:val="center"/>
          </w:tcPr>
          <w:p w14:paraId="1E2A77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ABC5型、6</w:t>
            </w:r>
            <w:r>
              <w:rPr>
                <w:rFonts w:hint="eastAsia" w:ascii="宋体" w:hAnsi="宋体" w:eastAsia="宋体" w:cs="宋体"/>
                <w:color w:val="000000" w:themeColor="text1"/>
                <w:sz w:val="21"/>
                <w:szCs w:val="21"/>
                <w14:textFill>
                  <w14:solidFill>
                    <w14:schemeClr w14:val="tx1"/>
                  </w14:solidFill>
                </w14:textFill>
              </w:rPr>
              <w:t>具</w:t>
            </w:r>
          </w:p>
        </w:tc>
        <w:tc>
          <w:tcPr>
            <w:tcW w:w="2839" w:type="dxa"/>
            <w:shd w:val="clear" w:color="auto" w:fill="auto"/>
            <w:vAlign w:val="center"/>
          </w:tcPr>
          <w:p w14:paraId="300DB6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装配区</w:t>
            </w:r>
          </w:p>
        </w:tc>
      </w:tr>
      <w:tr w14:paraId="64331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shd w:val="clear" w:color="auto" w:fill="auto"/>
            <w:vAlign w:val="center"/>
          </w:tcPr>
          <w:p w14:paraId="73D251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w:t>
            </w:r>
          </w:p>
        </w:tc>
        <w:tc>
          <w:tcPr>
            <w:tcW w:w="2171" w:type="dxa"/>
            <w:shd w:val="clear" w:color="auto" w:fill="auto"/>
            <w:vAlign w:val="center"/>
          </w:tcPr>
          <w:p w14:paraId="261B29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ABC5型、4</w:t>
            </w:r>
            <w:r>
              <w:rPr>
                <w:rFonts w:hint="eastAsia" w:ascii="宋体" w:hAnsi="宋体" w:eastAsia="宋体" w:cs="宋体"/>
                <w:color w:val="000000" w:themeColor="text1"/>
                <w:sz w:val="21"/>
                <w:szCs w:val="21"/>
                <w14:textFill>
                  <w14:solidFill>
                    <w14:schemeClr w14:val="tx1"/>
                  </w14:solidFill>
                </w14:textFill>
              </w:rPr>
              <w:t>具</w:t>
            </w:r>
          </w:p>
        </w:tc>
        <w:tc>
          <w:tcPr>
            <w:tcW w:w="2839" w:type="dxa"/>
            <w:shd w:val="clear" w:color="auto" w:fill="auto"/>
            <w:vAlign w:val="center"/>
          </w:tcPr>
          <w:p w14:paraId="206DCA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仓库区</w:t>
            </w:r>
          </w:p>
        </w:tc>
      </w:tr>
      <w:tr w14:paraId="3368B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12" w:type="dxa"/>
            <w:shd w:val="clear" w:color="auto" w:fill="auto"/>
            <w:vAlign w:val="center"/>
          </w:tcPr>
          <w:p w14:paraId="6B9080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消防栓</w:t>
            </w:r>
          </w:p>
        </w:tc>
        <w:tc>
          <w:tcPr>
            <w:tcW w:w="2171" w:type="dxa"/>
            <w:shd w:val="clear" w:color="auto" w:fill="auto"/>
            <w:vAlign w:val="center"/>
          </w:tcPr>
          <w:p w14:paraId="29AD56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5套</w:t>
            </w:r>
          </w:p>
        </w:tc>
        <w:tc>
          <w:tcPr>
            <w:tcW w:w="2839" w:type="dxa"/>
            <w:shd w:val="clear" w:color="auto" w:fill="auto"/>
            <w:vAlign w:val="center"/>
          </w:tcPr>
          <w:p w14:paraId="35C50D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生产区</w:t>
            </w:r>
          </w:p>
        </w:tc>
      </w:tr>
    </w:tbl>
    <w:p w14:paraId="2E4E0666">
      <w:pPr>
        <w:pStyle w:val="10"/>
        <w:rPr>
          <w:rFonts w:hint="eastAsia" w:ascii="宋体" w:hAnsi="宋体" w:eastAsia="宋体" w:cs="宋体"/>
          <w:color w:val="000000" w:themeColor="text1"/>
          <w:lang w:val="en-US" w:eastAsia="zh-CN"/>
          <w14:textFill>
            <w14:solidFill>
              <w14:schemeClr w14:val="tx1"/>
            </w14:solidFill>
          </w14:textFill>
        </w:rPr>
      </w:pPr>
    </w:p>
    <w:p w14:paraId="596C370C">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59" w:name="_Toc25637"/>
      <w:bookmarkStart w:id="160" w:name="_Toc19708"/>
      <w:bookmarkStart w:id="161" w:name="_Toc11646"/>
      <w:bookmarkStart w:id="162" w:name="_Toc8335"/>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2.5.5供气情况</w:t>
      </w:r>
      <w:bookmarkEnd w:id="159"/>
      <w:bookmarkEnd w:id="160"/>
    </w:p>
    <w:bookmarkEnd w:id="161"/>
    <w:p w14:paraId="70F7ADBE">
      <w:pPr>
        <w:pStyle w:val="23"/>
        <w:spacing w:line="500" w:lineRule="exact"/>
        <w:ind w:left="0" w:leftChars="0"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bookmarkStart w:id="163" w:name="_Toc306"/>
      <w:bookmarkStart w:id="164" w:name="_Toc1008"/>
      <w:r>
        <w:rPr>
          <w:rFonts w:hint="eastAsia" w:ascii="宋体" w:hAnsi="宋体" w:eastAsia="宋体" w:cs="宋体"/>
          <w:sz w:val="28"/>
          <w:szCs w:val="28"/>
        </w:rPr>
        <w:t>本项目</w:t>
      </w:r>
      <w:r>
        <w:rPr>
          <w:rFonts w:hint="eastAsia" w:eastAsia="宋体" w:cs="宋体"/>
          <w:sz w:val="28"/>
          <w:szCs w:val="28"/>
          <w:lang w:val="en-US" w:eastAsia="zh-CN"/>
        </w:rPr>
        <w:t>生产区</w:t>
      </w:r>
      <w:r>
        <w:rPr>
          <w:rFonts w:hint="eastAsia" w:ascii="宋体" w:hAnsi="宋体" w:eastAsia="宋体" w:cs="宋体"/>
          <w:sz w:val="28"/>
          <w:szCs w:val="28"/>
        </w:rPr>
        <w:t>设置</w:t>
      </w:r>
      <w:r>
        <w:rPr>
          <w:rFonts w:hint="eastAsia" w:ascii="宋体" w:hAnsi="宋体" w:eastAsia="宋体" w:cs="宋体"/>
          <w:sz w:val="28"/>
          <w:szCs w:val="28"/>
          <w:lang w:val="en-US" w:eastAsia="zh-CN"/>
        </w:rPr>
        <w:t>1</w:t>
      </w:r>
      <w:r>
        <w:rPr>
          <w:rFonts w:hint="eastAsia" w:ascii="宋体" w:hAnsi="宋体" w:eastAsia="宋体" w:cs="宋体"/>
          <w:sz w:val="28"/>
          <w:szCs w:val="28"/>
        </w:rPr>
        <w:t>台空压机，配置1台空气储气罐</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设计压力1.05Mpa、容积0.3m³，</w:t>
      </w:r>
      <w:r>
        <w:rPr>
          <w:rFonts w:hint="eastAsia" w:ascii="宋体" w:hAnsi="宋体" w:eastAsia="宋体" w:cs="宋体"/>
          <w:sz w:val="28"/>
          <w:szCs w:val="28"/>
        </w:rPr>
        <w:t>通过管道送至车间装置和工艺使用点，供气系统能满足压缩空气供气量的要求</w:t>
      </w:r>
      <w:r>
        <w:rPr>
          <w:rFonts w:hint="eastAsia" w:ascii="宋体" w:hAnsi="宋体" w:eastAsia="宋体" w:cs="宋体"/>
          <w:sz w:val="28"/>
          <w:szCs w:val="28"/>
          <w:lang w:eastAsia="zh-CN"/>
        </w:rPr>
        <w:t>。</w:t>
      </w:r>
      <w:r>
        <w:rPr>
          <w:rFonts w:hint="eastAsia" w:ascii="宋体" w:hAnsi="宋体" w:eastAsia="宋体" w:cs="宋体"/>
          <w:color w:val="000000" w:themeColor="text1"/>
          <w:sz w:val="28"/>
          <w:szCs w:val="28"/>
          <w:lang w:val="en-US" w:eastAsia="zh-CN"/>
          <w14:textFill>
            <w14:solidFill>
              <w14:schemeClr w14:val="tx1"/>
            </w14:solidFill>
          </w14:textFill>
        </w:rPr>
        <w:t>空压机品牌：上海</w:t>
      </w:r>
      <w:r>
        <w:rPr>
          <w:rFonts w:hint="eastAsia" w:cs="宋体"/>
          <w:color w:val="000000" w:themeColor="text1"/>
          <w:sz w:val="28"/>
          <w:szCs w:val="28"/>
          <w:lang w:val="en-US" w:eastAsia="zh-CN"/>
          <w14:textFill>
            <w14:solidFill>
              <w14:schemeClr w14:val="tx1"/>
            </w14:solidFill>
          </w14:textFill>
        </w:rPr>
        <w:t>捷豹</w:t>
      </w:r>
      <w:r>
        <w:rPr>
          <w:rFonts w:hint="eastAsia" w:ascii="宋体" w:hAnsi="宋体" w:eastAsia="宋体" w:cs="宋体"/>
          <w:color w:val="000000" w:themeColor="text1"/>
          <w:sz w:val="28"/>
          <w:szCs w:val="28"/>
          <w:lang w:val="en-US" w:eastAsia="zh-CN"/>
          <w14:textFill>
            <w14:solidFill>
              <w14:schemeClr w14:val="tx1"/>
            </w14:solidFill>
          </w14:textFill>
        </w:rPr>
        <w:t>空压机，</w:t>
      </w:r>
      <w:r>
        <w:rPr>
          <w:rFonts w:hint="eastAsia" w:cs="宋体"/>
          <w:color w:val="000000" w:themeColor="text1"/>
          <w:sz w:val="28"/>
          <w:szCs w:val="28"/>
          <w:lang w:val="en-US" w:eastAsia="zh-CN"/>
          <w14:textFill>
            <w14:solidFill>
              <w14:schemeClr w14:val="tx1"/>
            </w14:solidFill>
          </w14:textFill>
        </w:rPr>
        <w:t>设计</w:t>
      </w:r>
      <w:r>
        <w:rPr>
          <w:rFonts w:hint="eastAsia" w:ascii="宋体" w:hAnsi="宋体" w:eastAsia="宋体" w:cs="宋体"/>
          <w:color w:val="000000" w:themeColor="text1"/>
          <w:sz w:val="28"/>
          <w:szCs w:val="28"/>
          <w:lang w:val="en-US" w:eastAsia="zh-CN"/>
          <w14:textFill>
            <w14:solidFill>
              <w14:schemeClr w14:val="tx1"/>
            </w14:solidFill>
          </w14:textFill>
        </w:rPr>
        <w:t>压力1.05MPa，储气罐容积0.</w:t>
      </w:r>
      <w:r>
        <w:rPr>
          <w:rFonts w:hint="eastAsia"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lang w:val="en-US" w:eastAsia="zh-CN"/>
          <w14:textFill>
            <w14:solidFill>
              <w14:schemeClr w14:val="tx1"/>
            </w14:solidFill>
          </w14:textFill>
        </w:rPr>
        <w:t>m³。</w:t>
      </w:r>
    </w:p>
    <w:p w14:paraId="6D8E8277">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65" w:name="_Toc21640"/>
      <w:bookmarkStart w:id="166" w:name="_Toc2285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2.5.6通风除尘</w:t>
      </w:r>
      <w:bookmarkEnd w:id="165"/>
      <w:bookmarkEnd w:id="166"/>
    </w:p>
    <w:p w14:paraId="4646B2E0">
      <w:pPr>
        <w:pStyle w:val="23"/>
        <w:spacing w:line="500" w:lineRule="exact"/>
        <w:ind w:left="0" w:leftChars="0" w:firstLine="560" w:firstLineChars="200"/>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sz w:val="28"/>
          <w:szCs w:val="28"/>
          <w:lang w:val="en-US" w:eastAsia="zh-CN"/>
        </w:rPr>
        <w:t>本项目</w:t>
      </w:r>
      <w:r>
        <w:rPr>
          <w:rFonts w:hint="eastAsia" w:eastAsia="宋体" w:cs="宋体"/>
          <w:sz w:val="28"/>
          <w:szCs w:val="28"/>
          <w:lang w:val="en-US" w:eastAsia="zh-CN"/>
        </w:rPr>
        <w:t>主要为机床组装销售，无机加工等产生粉尘工艺，通风为自然通风方式。</w:t>
      </w:r>
    </w:p>
    <w:p w14:paraId="4FD2AD81">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67" w:name="_Toc19563"/>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2.5.</w:t>
      </w:r>
      <w:bookmarkEnd w:id="16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7其他</w:t>
      </w:r>
      <w:bookmarkEnd w:id="163"/>
      <w:bookmarkEnd w:id="164"/>
      <w:bookmarkEnd w:id="167"/>
    </w:p>
    <w:p w14:paraId="386358E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1</w:t>
      </w:r>
      <w:r>
        <w:rPr>
          <w:rFonts w:hint="eastAsia" w:ascii="宋体" w:hAnsi="宋体" w:eastAsia="宋体" w:cs="宋体"/>
          <w:b/>
          <w:bCs/>
          <w:color w:val="000000" w:themeColor="text1"/>
          <w:sz w:val="28"/>
          <w:szCs w:val="28"/>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危险物质</w:t>
      </w:r>
      <w:r>
        <w:rPr>
          <w:rFonts w:hint="eastAsia" w:ascii="宋体" w:hAnsi="宋体" w:eastAsia="宋体" w:cs="宋体"/>
          <w:b/>
          <w:bCs/>
          <w:color w:val="000000" w:themeColor="text1"/>
          <w:sz w:val="28"/>
          <w:szCs w:val="28"/>
          <w14:textFill>
            <w14:solidFill>
              <w14:schemeClr w14:val="tx1"/>
            </w14:solidFill>
          </w14:textFill>
        </w:rPr>
        <w:t>储存</w:t>
      </w:r>
    </w:p>
    <w:p w14:paraId="154D81B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通过对本项目生产工艺、原料、辅助材料、产品进行分析后，本项目生产过程中未产生危险物质。</w:t>
      </w:r>
    </w:p>
    <w:p w14:paraId="78909581">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2</w:t>
      </w:r>
      <w:r>
        <w:rPr>
          <w:rFonts w:hint="eastAsia" w:ascii="宋体" w:hAnsi="宋体" w:eastAsia="宋体" w:cs="宋体"/>
          <w:b/>
          <w:bCs/>
          <w:color w:val="000000" w:themeColor="text1"/>
          <w:sz w:val="28"/>
          <w:szCs w:val="28"/>
          <w14:textFill>
            <w14:solidFill>
              <w14:schemeClr w14:val="tx1"/>
            </w14:solidFill>
          </w14:textFill>
        </w:rPr>
        <w:t>.仓储物流</w:t>
      </w:r>
    </w:p>
    <w:p w14:paraId="3C8E18F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项目主要包括原料堆放区、成品堆放区，两区独立设置。货运车辆由厂区大门进入，方便物料及成品的运输。</w:t>
      </w:r>
    </w:p>
    <w:p w14:paraId="668344C7">
      <w:pPr>
        <w:rPr>
          <w:rFonts w:hint="eastAsia"/>
        </w:rPr>
      </w:pPr>
    </w:p>
    <w:p w14:paraId="7B465ACE">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168" w:name="_Toc10879"/>
      <w:bookmarkStart w:id="169" w:name="_Toc30117"/>
      <w:bookmarkStart w:id="170" w:name="_Toc3731"/>
      <w:bookmarkStart w:id="171" w:name="_Toc15434"/>
      <w:bookmarkStart w:id="172" w:name="_Toc21"/>
      <w:r>
        <w:rPr>
          <w:rFonts w:hint="eastAsia" w:ascii="宋体" w:hAnsi="宋体" w:eastAsia="宋体" w:cs="宋体"/>
          <w:color w:val="000000" w:themeColor="text1"/>
          <w:kern w:val="0"/>
          <w:lang w:val="en-US" w:eastAsia="zh-CN"/>
          <w14:textFill>
            <w14:solidFill>
              <w14:schemeClr w14:val="tx1"/>
            </w14:solidFill>
          </w14:textFill>
        </w:rPr>
        <w:t>2.6安全管理现状</w:t>
      </w:r>
      <w:bookmarkEnd w:id="168"/>
      <w:bookmarkEnd w:id="169"/>
      <w:bookmarkEnd w:id="170"/>
      <w:bookmarkEnd w:id="171"/>
      <w:bookmarkEnd w:id="172"/>
    </w:p>
    <w:p w14:paraId="6B16CFF9">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73" w:name="_Toc3586"/>
      <w:bookmarkStart w:id="174" w:name="_Toc20831"/>
      <w:r>
        <w:rPr>
          <w:rFonts w:hint="default" w:ascii="宋体" w:hAnsi="宋体" w:eastAsia="宋体" w:cs="宋体"/>
          <w:snapToGrid w:val="0"/>
          <w:color w:val="000000" w:themeColor="text1"/>
          <w:kern w:val="0"/>
          <w:sz w:val="28"/>
          <w:szCs w:val="28"/>
          <w:lang w:val="en-US" w:eastAsia="zh-CN"/>
          <w14:textFill>
            <w14:solidFill>
              <w14:schemeClr w14:val="tx1"/>
            </w14:solidFill>
          </w14:textFill>
        </w:rPr>
        <w:t>2.</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6</w:t>
      </w:r>
      <w:r>
        <w:rPr>
          <w:rFonts w:hint="default" w:ascii="宋体" w:hAnsi="宋体" w:eastAsia="宋体" w:cs="宋体"/>
          <w:snapToGrid w:val="0"/>
          <w:color w:val="000000" w:themeColor="text1"/>
          <w:kern w:val="0"/>
          <w:sz w:val="28"/>
          <w:szCs w:val="28"/>
          <w:lang w:val="en-US" w:eastAsia="zh-CN"/>
          <w14:textFill>
            <w14:solidFill>
              <w14:schemeClr w14:val="tx1"/>
            </w14:solidFill>
          </w14:textFill>
        </w:rPr>
        <w:t xml:space="preserve">.1 </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劳动定员及作业制度</w:t>
      </w:r>
      <w:bookmarkEnd w:id="173"/>
      <w:bookmarkEnd w:id="174"/>
    </w:p>
    <w:p w14:paraId="1FBC9CB7">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玉溪正宇智能科技有限公司劳动定员15人，其中：生产车间11人、管理及后勤人员4人，全年生产天数300天，管理人员、生产人员实行一班工作制、每班8小时。</w:t>
      </w:r>
    </w:p>
    <w:p w14:paraId="45CF6D70">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default" w:ascii="宋体" w:hAnsi="宋体" w:eastAsia="宋体" w:cs="宋体"/>
          <w:snapToGrid w:val="0"/>
          <w:color w:val="000000" w:themeColor="text1"/>
          <w:kern w:val="0"/>
          <w:sz w:val="28"/>
          <w:szCs w:val="28"/>
          <w:lang w:val="en-US" w:eastAsia="zh-CN"/>
          <w14:textFill>
            <w14:solidFill>
              <w14:schemeClr w14:val="tx1"/>
            </w14:solidFill>
          </w14:textFill>
        </w:rPr>
      </w:pPr>
      <w:bookmarkStart w:id="175" w:name="_Toc32014"/>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2.6.2安全生产管理组织机构</w:t>
      </w:r>
      <w:bookmarkEnd w:id="175"/>
    </w:p>
    <w:p w14:paraId="66D76132">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玉溪正宇智能科技有限公司法定代表人为付跃昆，为本公司安全生产主要负责人。安全生产领导小组组长由公司法人付跃昆担任，负责对国家安全生产法律法规的贯彻落实，对公司的安全生产工作全面负责，领导小组副组长由副经理陈熙文担任，负责公司日常生产组织和安全管理的领导工作。</w:t>
      </w:r>
    </w:p>
    <w:p w14:paraId="77AC9710">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组长：付跃昆</w:t>
      </w:r>
    </w:p>
    <w:p w14:paraId="0C954675">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副组长：陈熙文</w:t>
      </w:r>
    </w:p>
    <w:p w14:paraId="46E7C66C">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组员：谭蓉、付丽娟、梁文龙</w:t>
      </w:r>
    </w:p>
    <w:p w14:paraId="74FCCF06">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该公司安全生产领导小组从组长、副组长、组员、负责人等管理层级分明，职责分工明确，安全生产管理措施执行力强，24小时坚持值班（晚上18点至次日8点为电话值班）为实现全公司安全生产管理目标奠定了坚实的基础。该公司安全生产管理组织机构见下图。</w:t>
      </w:r>
    </w:p>
    <w:p w14:paraId="7B6A5847">
      <w:pPr>
        <w:pStyle w:val="23"/>
        <w:spacing w:line="500" w:lineRule="exact"/>
        <w:ind w:left="0" w:leftChars="0" w:firstLine="560" w:firstLineChars="200"/>
        <w:rPr>
          <w:rFonts w:hint="eastAsia" w:ascii="宋体" w:hAnsi="宋体" w:eastAsia="宋体" w:cs="宋体"/>
          <w:sz w:val="28"/>
          <w:szCs w:val="28"/>
          <w:lang w:val="en-US" w:eastAsia="zh-CN"/>
        </w:rPr>
      </w:pPr>
    </w:p>
    <w:p w14:paraId="18F0854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r>
        <w:rPr>
          <w:rFonts w:hint="eastAsia" w:eastAsia="仿宋"/>
          <w:color w:val="auto"/>
          <w:spacing w:val="1"/>
          <w:sz w:val="30"/>
          <w:lang w:eastAsia="zh-CN"/>
        </w:rPr>
        <w:pict>
          <v:shape id="Object 36" o:spid="_x0000_s1032" o:spt="75" type="#_x0000_t75" style="position:absolute;left:0pt;margin-left:68.45pt;margin-top:-4.6pt;height:241.3pt;width:305.8pt;z-index:251662336;mso-width-relative:page;mso-height-relative:page;" o:ole="t" filled="f" o:preferrelative="t" stroked="f" coordsize="21600,21600">
            <v:path/>
            <v:fill on="f" focussize="0,0"/>
            <v:stroke on="f"/>
            <v:imagedata r:id="rId25" croptop="4155f" cropbottom="8421f" o:title=""/>
            <o:lock v:ext="edit" aspectratio="f"/>
          </v:shape>
          <o:OLEObject Type="Embed" ProgID="Visio.Drawing.11" ShapeID="Object 36" DrawAspect="Content" ObjectID="_1468075727" r:id="rId24">
            <o:LockedField>false</o:LockedField>
          </o:OLEObject>
        </w:pict>
      </w:r>
    </w:p>
    <w:p w14:paraId="1B03CDC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2005659B">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2E66B58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2E1E027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1F899BDA">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3895314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662F231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1948D4E1">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76" w:name="_Toc27330"/>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2.6.3安全生产管理制度</w:t>
      </w:r>
      <w:bookmarkEnd w:id="176"/>
    </w:p>
    <w:p w14:paraId="41CAFEC5">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玉溪正宇智能科技有限公司根据《中华人民共和国安全生产法》、《中华人民共和国劳动法》等安全生产法规，制定了安全生产管理制。</w:t>
      </w:r>
    </w:p>
    <w:p w14:paraId="1F0D054E">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一、安全管理制度</w:t>
      </w:r>
    </w:p>
    <w:p w14:paraId="33581E36">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1、安全生产目标管理制度</w:t>
      </w:r>
    </w:p>
    <w:p w14:paraId="7F270CAA">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2、安全管理机构设置及安全管理人员配置管理制度</w:t>
      </w:r>
    </w:p>
    <w:p w14:paraId="073A98E5">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3、文件和档案管理制度</w:t>
      </w:r>
    </w:p>
    <w:p w14:paraId="38782988">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4、领导现场带班管理制度</w:t>
      </w:r>
    </w:p>
    <w:p w14:paraId="0B299663">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5、安全生产责任制管理制度</w:t>
      </w:r>
    </w:p>
    <w:p w14:paraId="08379CC8">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6、安全生产会议管理制度</w:t>
      </w:r>
    </w:p>
    <w:p w14:paraId="69DE42E9">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7、安全投入管理制度</w:t>
      </w:r>
    </w:p>
    <w:p w14:paraId="6E35A71A">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8、工伤保险管理制度</w:t>
      </w:r>
    </w:p>
    <w:p w14:paraId="0926EA95">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9、安全生产法律法规及其他要求管理制度</w:t>
      </w:r>
    </w:p>
    <w:p w14:paraId="7864F3DC">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10、安全教育培训管理制度</w:t>
      </w:r>
    </w:p>
    <w:p w14:paraId="203BD4C1">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11、建设项目“三同时”管理制度</w:t>
      </w:r>
    </w:p>
    <w:p w14:paraId="5141AF17">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12、“三违”行为管理制度</w:t>
      </w:r>
    </w:p>
    <w:p w14:paraId="21D54309">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13、临时用电作业管理制度</w:t>
      </w:r>
    </w:p>
    <w:p w14:paraId="3A8EC51E">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14、吊装作业管理制度</w:t>
      </w:r>
    </w:p>
    <w:p w14:paraId="45EA5CB0">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15、操作牌管理制度</w:t>
      </w:r>
    </w:p>
    <w:p w14:paraId="06092AD8">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16、施工和检维修安全管理制度</w:t>
      </w:r>
    </w:p>
    <w:p w14:paraId="74DA9E5E">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17、安全风险分级管控制度</w:t>
      </w:r>
    </w:p>
    <w:p w14:paraId="31323CA8">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18、设备设施安全管理制度</w:t>
      </w:r>
    </w:p>
    <w:p w14:paraId="3919626C">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19、新设备设施验收管理制度</w:t>
      </w:r>
    </w:p>
    <w:p w14:paraId="290E8B0E">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20、劳动防护用品管理制度</w:t>
      </w:r>
    </w:p>
    <w:p w14:paraId="01F24117">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21、安全警示标志管理制度</w:t>
      </w:r>
    </w:p>
    <w:p w14:paraId="5CF0C0AA">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22、安全设施管理制度</w:t>
      </w:r>
    </w:p>
    <w:p w14:paraId="72F16B03">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23、相关方安全管理制度</w:t>
      </w:r>
    </w:p>
    <w:p w14:paraId="5F796F3E">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24、岗位达标管理制度</w:t>
      </w:r>
    </w:p>
    <w:p w14:paraId="30EF29A6">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25、变更管理制度</w:t>
      </w:r>
    </w:p>
    <w:p w14:paraId="0D235CDD">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26、安全检查与隐患整改管理制度</w:t>
      </w:r>
    </w:p>
    <w:p w14:paraId="6BFD14D3">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27、事故应急救援管理制度</w:t>
      </w:r>
    </w:p>
    <w:p w14:paraId="7DB51E3E">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28、事件、事故管理制度</w:t>
      </w:r>
    </w:p>
    <w:p w14:paraId="4AC645C7">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29、安全生产标准化绩效评定管理制度</w:t>
      </w:r>
    </w:p>
    <w:p w14:paraId="3A766DB8">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30、消防安全管理制度</w:t>
      </w:r>
    </w:p>
    <w:p w14:paraId="09F6613C">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31、安全生产奖惩管理制度</w:t>
      </w:r>
      <w:r>
        <w:rPr>
          <w:rFonts w:hint="eastAsia" w:ascii="宋体" w:hAnsi="宋体" w:eastAsia="宋体" w:cs="宋体"/>
          <w:sz w:val="28"/>
          <w:szCs w:val="28"/>
          <w:lang w:val="en-US" w:eastAsia="zh-CN"/>
        </w:rPr>
        <w:tab/>
      </w:r>
    </w:p>
    <w:p w14:paraId="794EC0EE">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32、人员行为监督控制管理制度</w:t>
      </w:r>
      <w:r>
        <w:rPr>
          <w:rFonts w:hint="eastAsia" w:ascii="宋体" w:hAnsi="宋体" w:eastAsia="宋体" w:cs="宋体"/>
          <w:sz w:val="28"/>
          <w:szCs w:val="28"/>
          <w:lang w:val="en-US" w:eastAsia="zh-CN"/>
        </w:rPr>
        <w:tab/>
      </w:r>
    </w:p>
    <w:p w14:paraId="6B7BC089">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33、安全生产形势预测预警制度</w:t>
      </w:r>
    </w:p>
    <w:p w14:paraId="1D3D8DFE">
      <w:pPr>
        <w:pStyle w:val="23"/>
        <w:spacing w:line="500" w:lineRule="exact"/>
        <w:ind w:left="0" w:leftChars="0"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34、安全生产经费投入使用管理制度</w:t>
      </w:r>
    </w:p>
    <w:p w14:paraId="3FD59234">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二、安全生产责任制</w:t>
      </w:r>
    </w:p>
    <w:p w14:paraId="4317AF78">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1、公司董事长安全生产责任制</w:t>
      </w:r>
    </w:p>
    <w:p w14:paraId="77B564AA">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2、公司车间主管安全生产责任制</w:t>
      </w:r>
    </w:p>
    <w:p w14:paraId="5F60E0B3">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3、公司财务主管安全生产责任制</w:t>
      </w:r>
    </w:p>
    <w:p w14:paraId="07796FD7">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4、生产管理岗安全生产责任制</w:t>
      </w:r>
    </w:p>
    <w:p w14:paraId="5153B7B9">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5、安全管理岗安全生产责任制</w:t>
      </w:r>
    </w:p>
    <w:p w14:paraId="02CAE9FF">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6、技术质量岗安全生产责任制</w:t>
      </w:r>
    </w:p>
    <w:p w14:paraId="109E596E">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7、机械设备管理岗安全生产责任制</w:t>
      </w:r>
    </w:p>
    <w:p w14:paraId="2C233E62">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8、行政岗安全生产责任制</w:t>
      </w:r>
    </w:p>
    <w:p w14:paraId="6F736895">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9、车间小组长安全生产责任制</w:t>
      </w:r>
    </w:p>
    <w:p w14:paraId="04513016">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10、生产操作工人安全生产责任制</w:t>
      </w:r>
    </w:p>
    <w:p w14:paraId="474FF28A">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三、安全操作规程</w:t>
      </w:r>
    </w:p>
    <w:p w14:paraId="445F85D1">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_Toc32646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1、电气操作人员的资格和要求</w:t>
      </w:r>
      <w:r>
        <w:rPr>
          <w:rFonts w:hint="eastAsia" w:ascii="宋体" w:hAnsi="宋体" w:eastAsia="宋体" w:cs="宋体"/>
          <w:sz w:val="28"/>
          <w:szCs w:val="28"/>
          <w:lang w:val="en-US" w:eastAsia="zh-CN"/>
        </w:rPr>
        <w:fldChar w:fldCharType="end"/>
      </w:r>
    </w:p>
    <w:p w14:paraId="14CD03BD">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_Toc9232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2、电气设备检修操作规程</w:t>
      </w:r>
      <w:r>
        <w:rPr>
          <w:rFonts w:hint="eastAsia" w:ascii="宋体" w:hAnsi="宋体" w:eastAsia="宋体" w:cs="宋体"/>
          <w:sz w:val="28"/>
          <w:szCs w:val="28"/>
          <w:lang w:val="en-US" w:eastAsia="zh-CN"/>
        </w:rPr>
        <w:fldChar w:fldCharType="end"/>
      </w:r>
    </w:p>
    <w:p w14:paraId="39E15468">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_Toc31169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3、电气设备安全维护规程</w:t>
      </w:r>
      <w:r>
        <w:rPr>
          <w:rFonts w:hint="eastAsia" w:ascii="宋体" w:hAnsi="宋体" w:eastAsia="宋体" w:cs="宋体"/>
          <w:sz w:val="28"/>
          <w:szCs w:val="28"/>
          <w:lang w:val="en-US" w:eastAsia="zh-CN"/>
        </w:rPr>
        <w:fldChar w:fldCharType="end"/>
      </w:r>
    </w:p>
    <w:p w14:paraId="6D3619A6">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_Toc7602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4、电气设施、设备使用安全操作规程</w:t>
      </w:r>
      <w:r>
        <w:rPr>
          <w:rFonts w:hint="eastAsia" w:ascii="宋体" w:hAnsi="宋体" w:eastAsia="宋体" w:cs="宋体"/>
          <w:sz w:val="28"/>
          <w:szCs w:val="28"/>
          <w:lang w:val="en-US" w:eastAsia="zh-CN"/>
        </w:rPr>
        <w:fldChar w:fldCharType="end"/>
      </w:r>
    </w:p>
    <w:p w14:paraId="15116399">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_Toc13828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5、配电设备安全检修规程</w:t>
      </w:r>
      <w:r>
        <w:rPr>
          <w:rFonts w:hint="eastAsia" w:ascii="宋体" w:hAnsi="宋体" w:eastAsia="宋体" w:cs="宋体"/>
          <w:sz w:val="28"/>
          <w:szCs w:val="28"/>
          <w:lang w:val="en-US" w:eastAsia="zh-CN"/>
        </w:rPr>
        <w:fldChar w:fldCharType="end"/>
      </w:r>
    </w:p>
    <w:p w14:paraId="1AE4BD0C">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_Toc18187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6、三级配电两级保护操作规程</w:t>
      </w:r>
      <w:r>
        <w:rPr>
          <w:rFonts w:hint="eastAsia" w:ascii="宋体" w:hAnsi="宋体" w:eastAsia="宋体" w:cs="宋体"/>
          <w:sz w:val="28"/>
          <w:szCs w:val="28"/>
          <w:lang w:val="en-US" w:eastAsia="zh-CN"/>
        </w:rPr>
        <w:fldChar w:fldCharType="end"/>
      </w:r>
    </w:p>
    <w:p w14:paraId="4E484D11">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_Toc4788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7、电机、电器维修工操作规程</w:t>
      </w:r>
      <w:r>
        <w:rPr>
          <w:rFonts w:hint="eastAsia" w:ascii="宋体" w:hAnsi="宋体" w:eastAsia="宋体" w:cs="宋体"/>
          <w:sz w:val="28"/>
          <w:szCs w:val="28"/>
          <w:lang w:val="en-US" w:eastAsia="zh-CN"/>
        </w:rPr>
        <w:fldChar w:fldCharType="end"/>
      </w:r>
    </w:p>
    <w:p w14:paraId="3339DB8B">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_Toc19822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7、电器装配工安全操作规程</w:t>
      </w:r>
      <w:r>
        <w:rPr>
          <w:rFonts w:hint="eastAsia" w:ascii="宋体" w:hAnsi="宋体" w:eastAsia="宋体" w:cs="宋体"/>
          <w:sz w:val="28"/>
          <w:szCs w:val="28"/>
          <w:lang w:val="en-US" w:eastAsia="zh-CN"/>
        </w:rPr>
        <w:fldChar w:fldCharType="end"/>
      </w:r>
    </w:p>
    <w:p w14:paraId="25C12831">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_Toc13899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9、配电室电器安全操作规程</w:t>
      </w:r>
      <w:r>
        <w:rPr>
          <w:rFonts w:hint="eastAsia" w:ascii="宋体" w:hAnsi="宋体" w:eastAsia="宋体" w:cs="宋体"/>
          <w:sz w:val="28"/>
          <w:szCs w:val="28"/>
          <w:lang w:val="en-US" w:eastAsia="zh-CN"/>
        </w:rPr>
        <w:fldChar w:fldCharType="end"/>
      </w:r>
    </w:p>
    <w:p w14:paraId="54B15F8E">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_Toc6658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10、电工作业安全操作规程</w:t>
      </w:r>
      <w:r>
        <w:rPr>
          <w:rFonts w:hint="eastAsia" w:ascii="宋体" w:hAnsi="宋体" w:eastAsia="宋体" w:cs="宋体"/>
          <w:sz w:val="28"/>
          <w:szCs w:val="28"/>
          <w:lang w:val="en-US" w:eastAsia="zh-CN"/>
        </w:rPr>
        <w:fldChar w:fldCharType="end"/>
      </w:r>
    </w:p>
    <w:p w14:paraId="7429BE83">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_Toc6055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11、维修电工安全操作规程</w:t>
      </w:r>
      <w:r>
        <w:rPr>
          <w:rFonts w:hint="eastAsia" w:ascii="宋体" w:hAnsi="宋体" w:eastAsia="宋体" w:cs="宋体"/>
          <w:sz w:val="28"/>
          <w:szCs w:val="28"/>
          <w:lang w:val="en-US" w:eastAsia="zh-CN"/>
        </w:rPr>
        <w:fldChar w:fldCharType="end"/>
      </w:r>
    </w:p>
    <w:p w14:paraId="106B80CC">
      <w:pPr>
        <w:pStyle w:val="23"/>
        <w:spacing w:line="500" w:lineRule="exact"/>
        <w:ind w:left="0"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_Toc22861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12、行车、电动葫芦工安全操作规程</w:t>
      </w:r>
      <w:r>
        <w:rPr>
          <w:rFonts w:hint="eastAsia" w:ascii="宋体" w:hAnsi="宋体" w:eastAsia="宋体" w:cs="宋体"/>
          <w:sz w:val="28"/>
          <w:szCs w:val="28"/>
          <w:lang w:val="en-US" w:eastAsia="zh-CN"/>
        </w:rPr>
        <w:fldChar w:fldCharType="end"/>
      </w:r>
    </w:p>
    <w:p w14:paraId="6D8E59B6">
      <w:pPr>
        <w:pStyle w:val="23"/>
        <w:spacing w:line="500" w:lineRule="exact"/>
        <w:ind w:left="0" w:leftChars="0" w:firstLine="560" w:firstLineChars="200"/>
        <w:rPr>
          <w:rFonts w:hint="eastAsia" w:ascii="宋体" w:hAnsi="宋体" w:eastAsia="宋体" w:cs="宋体"/>
          <w:sz w:val="28"/>
          <w:szCs w:val="28"/>
          <w:lang w:val="zh-CN"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\l _Toc1481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13、</w:t>
      </w:r>
      <w:r>
        <w:rPr>
          <w:rFonts w:hint="eastAsia" w:ascii="宋体" w:hAnsi="宋体" w:eastAsia="宋体" w:cs="宋体"/>
          <w:sz w:val="28"/>
          <w:szCs w:val="28"/>
          <w:lang w:val="zh-CN" w:eastAsia="zh-CN"/>
        </w:rPr>
        <w:t>角磨机安全操作规程</w:t>
      </w:r>
    </w:p>
    <w:p w14:paraId="1FB823DD">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zh-CN" w:eastAsia="zh-CN"/>
          <w14:textFill>
            <w14:solidFill>
              <w14:schemeClr w14:val="tx1"/>
            </w14:solidFill>
          </w14:textFill>
        </w:rPr>
      </w:pPr>
      <w:bookmarkStart w:id="177" w:name="_Toc20469"/>
      <w:bookmarkStart w:id="178" w:name="_Toc31442"/>
      <w:bookmarkStart w:id="179" w:name="_Toc26892"/>
      <w:r>
        <w:rPr>
          <w:rFonts w:hint="eastAsia" w:ascii="宋体" w:hAnsi="宋体" w:eastAsia="宋体" w:cs="宋体"/>
          <w:snapToGrid w:val="0"/>
          <w:color w:val="000000" w:themeColor="text1"/>
          <w:kern w:val="0"/>
          <w:sz w:val="28"/>
          <w:szCs w:val="28"/>
          <w:lang w:val="zh-CN" w:eastAsia="zh-CN"/>
          <w14:textFill>
            <w14:solidFill>
              <w14:schemeClr w14:val="tx1"/>
            </w14:solidFill>
          </w14:textFill>
        </w:rPr>
        <w:t>2.</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6</w:t>
      </w:r>
      <w:r>
        <w:rPr>
          <w:rFonts w:hint="eastAsia" w:ascii="宋体" w:hAnsi="宋体" w:eastAsia="宋体" w:cs="宋体"/>
          <w:snapToGrid w:val="0"/>
          <w:color w:val="000000" w:themeColor="text1"/>
          <w:kern w:val="0"/>
          <w:sz w:val="28"/>
          <w:szCs w:val="28"/>
          <w:lang w:val="zh-CN" w:eastAsia="zh-CN"/>
          <w14:textFill>
            <w14:solidFill>
              <w14:schemeClr w14:val="tx1"/>
            </w14:solidFill>
          </w14:textFill>
        </w:rPr>
        <w:t>.</w:t>
      </w:r>
      <w:r>
        <w:rPr>
          <w:rFonts w:hint="eastAsia" w:hAnsi="宋体" w:cs="宋体"/>
          <w:snapToGrid w:val="0"/>
          <w:color w:val="000000" w:themeColor="text1"/>
          <w:kern w:val="0"/>
          <w:sz w:val="28"/>
          <w:szCs w:val="28"/>
          <w:lang w:val="en-US" w:eastAsia="zh-CN"/>
          <w14:textFill>
            <w14:solidFill>
              <w14:schemeClr w14:val="tx1"/>
            </w14:solidFill>
          </w14:textFill>
        </w:rPr>
        <w:t>4</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 xml:space="preserve"> 事故</w:t>
      </w:r>
      <w:r>
        <w:rPr>
          <w:rFonts w:hint="eastAsia" w:ascii="宋体" w:hAnsi="宋体" w:eastAsia="宋体" w:cs="宋体"/>
          <w:snapToGrid w:val="0"/>
          <w:color w:val="000000" w:themeColor="text1"/>
          <w:kern w:val="0"/>
          <w:sz w:val="28"/>
          <w:szCs w:val="28"/>
          <w:lang w:val="zh-CN" w:eastAsia="zh-CN"/>
          <w14:textFill>
            <w14:solidFill>
              <w14:schemeClr w14:val="tx1"/>
            </w14:solidFill>
          </w14:textFill>
        </w:rPr>
        <w:t>应急救援预案</w:t>
      </w:r>
      <w:bookmarkEnd w:id="177"/>
      <w:bookmarkEnd w:id="178"/>
      <w:bookmarkEnd w:id="179"/>
    </w:p>
    <w:p w14:paraId="4AB4BF25">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lang w:val="en-US" w:eastAsia="zh-CN"/>
        </w:rPr>
        <w:fldChar w:fldCharType="end"/>
      </w:r>
      <w:r>
        <w:rPr>
          <w:rFonts w:hint="eastAsia" w:ascii="宋体" w:hAnsi="宋体" w:eastAsia="宋体" w:cs="宋体"/>
          <w:sz w:val="28"/>
          <w:szCs w:val="28"/>
          <w:lang w:val="en-US" w:eastAsia="zh-CN" w:bidi="ar-SA"/>
        </w:rPr>
        <w:t>根据国家《安全生产法》等法规的规定，同时为预防事故的发生，企业根据各生产装置的情况，按照事故影响范围和程度制定事故应急预案。该公司已经编制了《玉溪正宇智能科技有限公司生产安全事故应急预案》。</w:t>
      </w:r>
      <w:r>
        <w:rPr>
          <w:rFonts w:hint="eastAsia" w:ascii="宋体" w:hAnsi="宋体" w:eastAsia="宋体" w:cs="宋体"/>
          <w:color w:val="000000" w:themeColor="text1"/>
          <w:sz w:val="28"/>
          <w:szCs w:val="28"/>
          <w14:textFill>
            <w14:solidFill>
              <w14:schemeClr w14:val="tx1"/>
            </w14:solidFill>
          </w14:textFill>
        </w:rPr>
        <w:t>应急预案已经过专家评审</w:t>
      </w:r>
      <w:r>
        <w:rPr>
          <w:rFonts w:hint="eastAsia" w:ascii="宋体" w:hAnsi="宋体" w:eastAsia="宋体" w:cs="宋体"/>
          <w:color w:val="000000" w:themeColor="text1"/>
          <w:sz w:val="28"/>
          <w:szCs w:val="28"/>
          <w:lang w:val="en-US" w:eastAsia="zh-CN"/>
          <w14:textFill>
            <w14:solidFill>
              <w14:schemeClr w14:val="tx1"/>
            </w14:solidFill>
          </w14:textFill>
        </w:rPr>
        <w:t>后</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于202</w:t>
      </w:r>
      <w:r>
        <w:rPr>
          <w:rFonts w:hint="eastAsia" w:ascii="宋体" w:hAnsi="宋体" w:eastAsia="宋体" w:cs="宋体"/>
          <w:color w:val="000000" w:themeColor="text1"/>
          <w:sz w:val="28"/>
          <w:szCs w:val="28"/>
          <w:highlight w:val="none"/>
          <w:lang w:val="en-US" w:eastAsia="zh-CN"/>
          <w14:textFill>
            <w14:solidFill>
              <w14:schemeClr w14:val="tx1"/>
            </w14:solidFill>
          </w14:textFill>
        </w:rPr>
        <w:t>5</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30</w:t>
      </w:r>
      <w:r>
        <w:rPr>
          <w:rFonts w:hint="eastAsia" w:ascii="宋体" w:hAnsi="宋体" w:eastAsia="宋体" w:cs="宋体"/>
          <w:color w:val="auto"/>
          <w:sz w:val="28"/>
          <w:szCs w:val="28"/>
          <w:highlight w:val="none"/>
        </w:rPr>
        <w:t>日</w:t>
      </w:r>
      <w:r>
        <w:rPr>
          <w:rFonts w:hint="eastAsia" w:ascii="宋体" w:hAnsi="宋体" w:eastAsia="宋体" w:cs="宋体"/>
          <w:color w:val="000000" w:themeColor="text1"/>
          <w:sz w:val="28"/>
          <w:szCs w:val="28"/>
          <w:highlight w:val="none"/>
          <w14:textFill>
            <w14:solidFill>
              <w14:schemeClr w14:val="tx1"/>
            </w14:solidFill>
          </w14:textFill>
        </w:rPr>
        <w:t>到</w:t>
      </w:r>
      <w:r>
        <w:rPr>
          <w:rFonts w:hint="eastAsia" w:ascii="宋体" w:hAnsi="宋体" w:eastAsia="宋体" w:cs="宋体"/>
          <w:color w:val="000000" w:themeColor="text1"/>
          <w:sz w:val="28"/>
          <w:szCs w:val="28"/>
          <w:highlight w:val="none"/>
          <w:lang w:val="en-US" w:eastAsia="zh-CN"/>
          <w14:textFill>
            <w14:solidFill>
              <w14:schemeClr w14:val="tx1"/>
            </w14:solidFill>
          </w14:textFill>
        </w:rPr>
        <w:t>红塔区</w:t>
      </w:r>
      <w:r>
        <w:rPr>
          <w:rFonts w:hint="eastAsia" w:ascii="宋体" w:hAnsi="宋体" w:eastAsia="宋体" w:cs="宋体"/>
          <w:color w:val="000000" w:themeColor="text1"/>
          <w:sz w:val="28"/>
          <w:szCs w:val="28"/>
          <w:highlight w:val="none"/>
          <w14:textFill>
            <w14:solidFill>
              <w14:schemeClr w14:val="tx1"/>
            </w14:solidFill>
          </w14:textFill>
        </w:rPr>
        <w:t>应急管理局进行备案，备案编号</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530402-2025-0032，详见附件23</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并开展了应急预案的学习培训和演练，演练记录详见附件19</w:t>
      </w:r>
      <w:r>
        <w:rPr>
          <w:rFonts w:hint="eastAsia" w:ascii="宋体" w:hAnsi="宋体" w:eastAsia="宋体" w:cs="宋体"/>
          <w:color w:val="000000" w:themeColor="text1"/>
          <w:sz w:val="28"/>
          <w:szCs w:val="28"/>
          <w14:textFill>
            <w14:solidFill>
              <w14:schemeClr w14:val="tx1"/>
            </w14:solidFill>
          </w14:textFill>
        </w:rPr>
        <w:t>。</w:t>
      </w:r>
    </w:p>
    <w:p w14:paraId="55C2ED2F">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zh-CN" w:eastAsia="zh-CN"/>
          <w14:textFill>
            <w14:solidFill>
              <w14:schemeClr w14:val="tx1"/>
            </w14:solidFill>
          </w14:textFill>
        </w:rPr>
      </w:pPr>
      <w:bookmarkStart w:id="180" w:name="_Toc2510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2.6.5作业人员培训情况</w:t>
      </w:r>
      <w:bookmarkEnd w:id="180"/>
    </w:p>
    <w:p w14:paraId="601FF089">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1、安全生产管理人员持证情况</w:t>
      </w:r>
    </w:p>
    <w:p w14:paraId="23AD3DF3">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玉溪正宇智能科技有限公司的法人（付跃昆）、安全员（谭蓉）已参加安全培训合格，取得安全合格证。建立了安全教育培训记录台账，持证情况如下表所示：</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1450"/>
        <w:gridCol w:w="2110"/>
        <w:gridCol w:w="2503"/>
        <w:gridCol w:w="1880"/>
      </w:tblGrid>
      <w:tr w14:paraId="16325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4" w:type="dxa"/>
          </w:tcPr>
          <w:p w14:paraId="7762BC0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姓名</w:t>
            </w:r>
          </w:p>
        </w:tc>
        <w:tc>
          <w:tcPr>
            <w:tcW w:w="1450" w:type="dxa"/>
          </w:tcPr>
          <w:p w14:paraId="56CD10C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性别</w:t>
            </w:r>
          </w:p>
        </w:tc>
        <w:tc>
          <w:tcPr>
            <w:tcW w:w="2110" w:type="dxa"/>
          </w:tcPr>
          <w:p w14:paraId="6937357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资格类型</w:t>
            </w:r>
          </w:p>
        </w:tc>
        <w:tc>
          <w:tcPr>
            <w:tcW w:w="2503" w:type="dxa"/>
          </w:tcPr>
          <w:p w14:paraId="143AB90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证书编号</w:t>
            </w:r>
          </w:p>
        </w:tc>
        <w:tc>
          <w:tcPr>
            <w:tcW w:w="1880" w:type="dxa"/>
          </w:tcPr>
          <w:p w14:paraId="6708500E">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有效期</w:t>
            </w:r>
          </w:p>
        </w:tc>
      </w:tr>
      <w:tr w14:paraId="10F0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4" w:type="dxa"/>
          </w:tcPr>
          <w:p w14:paraId="5D81D8C4">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付跃昆</w:t>
            </w:r>
          </w:p>
        </w:tc>
        <w:tc>
          <w:tcPr>
            <w:tcW w:w="1450" w:type="dxa"/>
          </w:tcPr>
          <w:p w14:paraId="6EACAA5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男</w:t>
            </w:r>
          </w:p>
        </w:tc>
        <w:tc>
          <w:tcPr>
            <w:tcW w:w="2110" w:type="dxa"/>
          </w:tcPr>
          <w:p w14:paraId="1EC9D64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主要负责人</w:t>
            </w:r>
          </w:p>
        </w:tc>
        <w:tc>
          <w:tcPr>
            <w:tcW w:w="2503" w:type="dxa"/>
          </w:tcPr>
          <w:p w14:paraId="4245279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FJ7902024FZ3156</w:t>
            </w:r>
          </w:p>
        </w:tc>
        <w:tc>
          <w:tcPr>
            <w:tcW w:w="1880" w:type="dxa"/>
          </w:tcPr>
          <w:p w14:paraId="72B14D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2024-07-24至2027-07-23</w:t>
            </w:r>
          </w:p>
        </w:tc>
      </w:tr>
      <w:tr w14:paraId="29912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4" w:type="dxa"/>
            <w:vAlign w:val="center"/>
          </w:tcPr>
          <w:p w14:paraId="464ACF3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谭蓉</w:t>
            </w:r>
          </w:p>
        </w:tc>
        <w:tc>
          <w:tcPr>
            <w:tcW w:w="1450" w:type="dxa"/>
            <w:vAlign w:val="center"/>
          </w:tcPr>
          <w:p w14:paraId="5FF268B4">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vertAlign w:val="baseline"/>
                <w:lang w:val="en-US" w:eastAsia="zh-CN"/>
              </w:rPr>
            </w:pPr>
            <w:r>
              <w:rPr>
                <w:rFonts w:hint="eastAsia" w:hAnsi="宋体" w:cs="宋体"/>
                <w:sz w:val="24"/>
                <w:szCs w:val="24"/>
                <w:vertAlign w:val="baseline"/>
                <w:lang w:val="en-US" w:eastAsia="zh-CN"/>
              </w:rPr>
              <w:t>女</w:t>
            </w:r>
          </w:p>
        </w:tc>
        <w:tc>
          <w:tcPr>
            <w:tcW w:w="2110" w:type="dxa"/>
            <w:vAlign w:val="center"/>
          </w:tcPr>
          <w:p w14:paraId="6447697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安全生产管理员</w:t>
            </w:r>
          </w:p>
        </w:tc>
        <w:tc>
          <w:tcPr>
            <w:tcW w:w="2503" w:type="dxa"/>
            <w:vAlign w:val="center"/>
          </w:tcPr>
          <w:p w14:paraId="30AD4EF1">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hAnsi="宋体" w:cs="宋体"/>
                <w:sz w:val="24"/>
                <w:szCs w:val="24"/>
                <w:vertAlign w:val="baseline"/>
                <w:lang w:val="en-US" w:eastAsia="zh-CN"/>
              </w:rPr>
              <w:t>F</w:t>
            </w:r>
            <w:r>
              <w:rPr>
                <w:rFonts w:hint="eastAsia" w:ascii="宋体" w:hAnsi="宋体" w:eastAsia="宋体" w:cs="宋体"/>
                <w:sz w:val="24"/>
                <w:szCs w:val="24"/>
                <w:vertAlign w:val="baseline"/>
                <w:lang w:val="en-US" w:eastAsia="zh-CN"/>
              </w:rPr>
              <w:t>J7902024FG3138</w:t>
            </w:r>
          </w:p>
        </w:tc>
        <w:tc>
          <w:tcPr>
            <w:tcW w:w="1880" w:type="dxa"/>
            <w:vAlign w:val="center"/>
          </w:tcPr>
          <w:p w14:paraId="3E0083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2024-07-24至2027-07-23</w:t>
            </w:r>
          </w:p>
        </w:tc>
      </w:tr>
    </w:tbl>
    <w:p w14:paraId="48580912">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2、特种设备作业人员持证情况</w:t>
      </w:r>
    </w:p>
    <w:p w14:paraId="40EF56D1">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玉溪正宇智能科技有限公司桥式起重机等特种作业人员，取得了昆明市市场监督管理局空港经济区分局颁发的操作证书，见附件10。</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1450"/>
        <w:gridCol w:w="2110"/>
        <w:gridCol w:w="2503"/>
        <w:gridCol w:w="1880"/>
      </w:tblGrid>
      <w:tr w14:paraId="63F3F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4" w:type="dxa"/>
          </w:tcPr>
          <w:p w14:paraId="5DA63D7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姓名</w:t>
            </w:r>
          </w:p>
        </w:tc>
        <w:tc>
          <w:tcPr>
            <w:tcW w:w="1450" w:type="dxa"/>
          </w:tcPr>
          <w:p w14:paraId="69C90CF4">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性别</w:t>
            </w:r>
          </w:p>
        </w:tc>
        <w:tc>
          <w:tcPr>
            <w:tcW w:w="2110" w:type="dxa"/>
          </w:tcPr>
          <w:p w14:paraId="70921738">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资格类型</w:t>
            </w:r>
          </w:p>
        </w:tc>
        <w:tc>
          <w:tcPr>
            <w:tcW w:w="2503" w:type="dxa"/>
          </w:tcPr>
          <w:p w14:paraId="0D4B4A48">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证书编号</w:t>
            </w:r>
          </w:p>
        </w:tc>
        <w:tc>
          <w:tcPr>
            <w:tcW w:w="1880" w:type="dxa"/>
          </w:tcPr>
          <w:p w14:paraId="0B1CE9B7">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有效期</w:t>
            </w:r>
          </w:p>
        </w:tc>
      </w:tr>
      <w:tr w14:paraId="6C91E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454" w:type="dxa"/>
          </w:tcPr>
          <w:p w14:paraId="236E01C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vertAlign w:val="baseline"/>
                <w:lang w:val="en-US" w:eastAsia="zh-CN"/>
              </w:rPr>
            </w:pPr>
            <w:r>
              <w:rPr>
                <w:rFonts w:hint="eastAsia" w:hAnsi="宋体" w:cs="宋体"/>
                <w:sz w:val="24"/>
                <w:szCs w:val="24"/>
                <w:lang w:val="en-US" w:eastAsia="zh-CN"/>
              </w:rPr>
              <w:t>陈熙文</w:t>
            </w:r>
          </w:p>
        </w:tc>
        <w:tc>
          <w:tcPr>
            <w:tcW w:w="1450" w:type="dxa"/>
          </w:tcPr>
          <w:p w14:paraId="722EB58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男</w:t>
            </w:r>
          </w:p>
        </w:tc>
        <w:tc>
          <w:tcPr>
            <w:tcW w:w="2110" w:type="dxa"/>
          </w:tcPr>
          <w:p w14:paraId="54C41F4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Q2（限桥式起梁</w:t>
            </w:r>
          </w:p>
          <w:p w14:paraId="148E05E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重机</w:t>
            </w:r>
            <w:r>
              <w:rPr>
                <w:rFonts w:hint="eastAsia" w:hAnsi="宋体" w:cs="宋体"/>
                <w:sz w:val="24"/>
                <w:szCs w:val="24"/>
                <w:vertAlign w:val="baseline"/>
                <w:lang w:val="en-US" w:eastAsia="zh-CN"/>
              </w:rPr>
              <w:t>）</w:t>
            </w:r>
          </w:p>
        </w:tc>
        <w:tc>
          <w:tcPr>
            <w:tcW w:w="2503" w:type="dxa"/>
          </w:tcPr>
          <w:p w14:paraId="727FE1F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530321199705030318</w:t>
            </w:r>
          </w:p>
        </w:tc>
        <w:tc>
          <w:tcPr>
            <w:tcW w:w="1880" w:type="dxa"/>
          </w:tcPr>
          <w:p w14:paraId="56B6D0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202</w:t>
            </w:r>
            <w:r>
              <w:rPr>
                <w:rFonts w:hint="eastAsia" w:hAnsi="宋体" w:cs="宋体"/>
                <w:sz w:val="24"/>
                <w:szCs w:val="24"/>
                <w:vertAlign w:val="baseline"/>
                <w:lang w:val="en-US" w:eastAsia="zh-CN"/>
              </w:rPr>
              <w:t>4年9月</w:t>
            </w:r>
            <w:r>
              <w:rPr>
                <w:rFonts w:hint="eastAsia" w:ascii="宋体" w:hAnsi="宋体" w:eastAsia="宋体" w:cs="宋体"/>
                <w:sz w:val="24"/>
                <w:szCs w:val="24"/>
                <w:vertAlign w:val="baseline"/>
                <w:lang w:val="en-US" w:eastAsia="zh-CN"/>
              </w:rPr>
              <w:t>至</w:t>
            </w:r>
            <w:r>
              <w:rPr>
                <w:rFonts w:hint="eastAsia" w:hAnsi="宋体" w:cs="宋体"/>
                <w:sz w:val="24"/>
                <w:szCs w:val="24"/>
                <w:vertAlign w:val="baseline"/>
                <w:lang w:val="en-US" w:eastAsia="zh-CN"/>
              </w:rPr>
              <w:t>2028年8月</w:t>
            </w:r>
          </w:p>
        </w:tc>
      </w:tr>
    </w:tbl>
    <w:p w14:paraId="4E6C9E92">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81" w:name="_Toc15685"/>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2.6.6劳动防护用品配置</w:t>
      </w:r>
      <w:bookmarkEnd w:id="181"/>
    </w:p>
    <w:p w14:paraId="299BB24B">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玉溪正宇智能科技有限公司制定了《劳动防护用品管理制度》，对劳保用品的发放标准做了规定。《劳动保护用品发放表》见报告附件14。</w:t>
      </w:r>
    </w:p>
    <w:p w14:paraId="54656FD5">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82" w:name="_Toc1313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2.6.7工伤保险购买情况</w:t>
      </w:r>
      <w:bookmarkEnd w:id="182"/>
    </w:p>
    <w:p w14:paraId="7DA153FE">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玉溪正宇智能科技有限公司为员工购买了意外伤害保险及工伤保险，保险购买证明见报告附件13。</w:t>
      </w:r>
    </w:p>
    <w:p w14:paraId="43D933CC">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183" w:name="_Toc1917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2.6.8近期运行情况</w:t>
      </w:r>
      <w:bookmarkEnd w:id="183"/>
    </w:p>
    <w:p w14:paraId="1DBBE07A">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1、安全管理及人员安全培训教育</w:t>
      </w:r>
    </w:p>
    <w:p w14:paraId="04E045F6">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该企业能够认真落实国家安全生产的方针和国家安全生产的有关法律、法规，在日常生产经营活动中能够不断加强企业内部的安全生产管理的各项工作，认真落实企业各级人员安全生产责任制，明确各级人员安全生产职责；定期开展企业各级人员安全教育和培训活动，使企业安全生产管理各项工作和各级人员安全教育培训得到不断加强。</w:t>
      </w:r>
    </w:p>
    <w:p w14:paraId="4A8F4CBB">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企业的主要负责人和安全管理人员能够按照《中华人民共和国安全生产法》（中华人民共和国主席令第88号）、《云南省安全生产条例》等的相关要求，及时参加安全管理培训，并经考核合格后取得合格证，确保企业的安全管理工作能够有效进行。</w:t>
      </w:r>
    </w:p>
    <w:p w14:paraId="7406813C">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2、设备安全管理</w:t>
      </w:r>
    </w:p>
    <w:p w14:paraId="05D4498B">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企业定期对生产设备、设施检修、维护和保养，发现并及时排除出现的故障和可能存在的不安全隐患，使生产设备及设施始终处于正常状况。</w:t>
      </w:r>
    </w:p>
    <w:p w14:paraId="607F6E28">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3、安全设施情况</w:t>
      </w:r>
    </w:p>
    <w:p w14:paraId="45BC7E8B">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通过安全评价及安全隐患排查，企业不断完善生产设备安全设施，起重设备安全设施齐全，且正常投入使用，其他安全设施主要设置有安全防护罩、急停按钮、防护栏等，生产车间留有安全通道、设置了安全警示标志等。</w:t>
      </w:r>
    </w:p>
    <w:p w14:paraId="06083FE6">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4、安全生产事故发生情况</w:t>
      </w:r>
    </w:p>
    <w:p w14:paraId="47443193">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bidi="ar-SA"/>
        </w:rPr>
      </w:pPr>
      <w:r>
        <w:rPr>
          <w:rFonts w:hint="eastAsia" w:ascii="宋体" w:hAnsi="宋体" w:eastAsia="宋体" w:cs="宋体"/>
          <w:sz w:val="28"/>
          <w:szCs w:val="28"/>
          <w:lang w:val="en-US" w:eastAsia="zh-CN" w:bidi="ar-SA"/>
        </w:rPr>
        <w:t>该企业自建厂投运至评价基准日生产运行正常，人员及设备管理到位，未发生过人员伤亡的生产安全事故。</w:t>
      </w:r>
    </w:p>
    <w:p w14:paraId="7D7389AD">
      <w:pPr>
        <w:bidi w:val="0"/>
        <w:rPr>
          <w:rFonts w:hint="eastAsia"/>
        </w:rPr>
      </w:pPr>
    </w:p>
    <w:p w14:paraId="5C7AE0CE">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宋体" w:hAnsi="宋体" w:eastAsia="宋体" w:cs="宋体"/>
          <w:color w:val="000000"/>
          <w:kern w:val="0"/>
          <w:sz w:val="28"/>
          <w:szCs w:val="28"/>
          <w:lang w:val="en-US" w:eastAsia="zh-CN" w:bidi="ar"/>
        </w:rPr>
        <w:sectPr>
          <w:footerReference r:id="rId5" w:type="default"/>
          <w:pgSz w:w="11906" w:h="16838"/>
          <w:pgMar w:top="1417" w:right="1134" w:bottom="1134" w:left="1587" w:header="851" w:footer="992" w:gutter="0"/>
          <w:pgNumType w:fmt="numberInDash" w:start="1"/>
          <w:cols w:space="0" w:num="1"/>
          <w:rtlGutter w:val="0"/>
          <w:docGrid w:type="lines" w:linePitch="312" w:charSpace="0"/>
        </w:sectPr>
      </w:pPr>
    </w:p>
    <w:p w14:paraId="165C4933">
      <w:pPr>
        <w:pStyle w:val="2"/>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eastAsia" w:ascii="宋体" w:hAnsi="宋体" w:eastAsia="宋体" w:cs="宋体"/>
          <w:color w:val="000000" w:themeColor="text1"/>
          <w14:textFill>
            <w14:solidFill>
              <w14:schemeClr w14:val="tx1"/>
            </w14:solidFill>
          </w14:textFill>
        </w:rPr>
      </w:pPr>
      <w:bookmarkStart w:id="184" w:name="_Toc15392"/>
      <w:bookmarkStart w:id="185" w:name="_Toc30428"/>
      <w:bookmarkStart w:id="186" w:name="_Toc25262"/>
      <w:bookmarkStart w:id="187" w:name="_Toc17554"/>
      <w:bookmarkStart w:id="188" w:name="_Toc9486"/>
      <w:r>
        <w:rPr>
          <w:rFonts w:hint="eastAsia" w:ascii="宋体" w:hAnsi="宋体" w:eastAsia="宋体" w:cs="宋体"/>
          <w:color w:val="000000" w:themeColor="text1"/>
          <w14:textFill>
            <w14:solidFill>
              <w14:schemeClr w14:val="tx1"/>
            </w14:solidFill>
          </w14:textFill>
        </w:rPr>
        <w:t>第3章  主要危险、有害因素辨识与分析</w:t>
      </w:r>
      <w:bookmarkEnd w:id="184"/>
      <w:bookmarkEnd w:id="185"/>
      <w:bookmarkEnd w:id="186"/>
      <w:bookmarkEnd w:id="187"/>
      <w:bookmarkEnd w:id="188"/>
    </w:p>
    <w:p w14:paraId="050E2BF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000000" w:themeColor="text1"/>
          <w:sz w:val="28"/>
          <w14:textFill>
            <w14:solidFill>
              <w14:schemeClr w14:val="tx1"/>
            </w14:solidFill>
          </w14:textFill>
        </w:rPr>
      </w:pPr>
      <w:bookmarkStart w:id="189" w:name="_Toc532203511"/>
      <w:bookmarkStart w:id="190" w:name="_Toc18363"/>
      <w:bookmarkStart w:id="191" w:name="_Toc2018"/>
      <w:bookmarkStart w:id="192" w:name="_Toc398"/>
      <w:bookmarkStart w:id="193" w:name="_Toc29010"/>
      <w:bookmarkStart w:id="194" w:name="_Toc201697580"/>
      <w:bookmarkStart w:id="195" w:name="_Toc5642_WPSOffice_Level2"/>
      <w:bookmarkStart w:id="196" w:name="_Toc121910214"/>
      <w:r>
        <w:rPr>
          <w:rFonts w:hint="eastAsia" w:ascii="宋体" w:hAnsi="宋体" w:eastAsia="宋体" w:cs="宋体"/>
          <w:color w:val="000000" w:themeColor="text1"/>
          <w:sz w:val="28"/>
          <w14:textFill>
            <w14:solidFill>
              <w14:schemeClr w14:val="tx1"/>
            </w14:solidFill>
          </w14:textFill>
        </w:rPr>
        <w:t>本章</w:t>
      </w:r>
      <w:r>
        <w:rPr>
          <w:rFonts w:hint="eastAsia" w:ascii="宋体" w:hAnsi="宋体" w:eastAsia="宋体" w:cs="宋体"/>
          <w:color w:val="000000" w:themeColor="text1"/>
          <w:sz w:val="28"/>
          <w:lang w:eastAsia="zh-CN"/>
          <w14:textFill>
            <w14:solidFill>
              <w14:schemeClr w14:val="tx1"/>
            </w14:solidFill>
          </w14:textFill>
        </w:rPr>
        <w:t>主要</w:t>
      </w:r>
      <w:r>
        <w:rPr>
          <w:rFonts w:hint="eastAsia" w:ascii="宋体" w:hAnsi="宋体" w:eastAsia="宋体" w:cs="宋体"/>
          <w:color w:val="000000" w:themeColor="text1"/>
          <w:sz w:val="28"/>
          <w14:textFill>
            <w14:solidFill>
              <w14:schemeClr w14:val="tx1"/>
            </w14:solidFill>
          </w14:textFill>
        </w:rPr>
        <w:t>针对项目现状及公辅</w:t>
      </w:r>
      <w:r>
        <w:rPr>
          <w:rFonts w:hint="eastAsia" w:ascii="宋体" w:hAnsi="宋体" w:eastAsia="宋体" w:cs="宋体"/>
          <w:color w:val="000000" w:themeColor="text1"/>
          <w:sz w:val="28"/>
          <w:lang w:val="en-US" w:eastAsia="zh-CN"/>
          <w14:textFill>
            <w14:solidFill>
              <w14:schemeClr w14:val="tx1"/>
            </w14:solidFill>
          </w14:textFill>
        </w:rPr>
        <w:t>辅助</w:t>
      </w:r>
      <w:r>
        <w:rPr>
          <w:rFonts w:hint="eastAsia" w:ascii="宋体" w:hAnsi="宋体" w:eastAsia="宋体" w:cs="宋体"/>
          <w:color w:val="000000" w:themeColor="text1"/>
          <w:sz w:val="28"/>
          <w14:textFill>
            <w14:solidFill>
              <w14:schemeClr w14:val="tx1"/>
            </w14:solidFill>
          </w14:textFill>
        </w:rPr>
        <w:t>设施的生产现状情况，对设施、装置和生产系统中可能存在的危险、有害因素进行辨识和分析，确定其主要危险、有害因素的种类及其存在部位和可能产生的后果，以确定评价对象，选用评价方法和提出有针对性的措施，便于该项目在以后的生产过程中对其固有和潜在的危险、有害因素，按照消除、减弱、预防、控制原则，保证生产系统的安全运行。简言之，就是识别系统危险性，找出引发原因，把握薄弱环节，寻找预防事故的最佳途径。</w:t>
      </w:r>
    </w:p>
    <w:p w14:paraId="3A94ED10">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197" w:name="_Toc9265"/>
      <w:bookmarkStart w:id="198" w:name="_Toc659"/>
      <w:bookmarkStart w:id="199" w:name="_Toc18926"/>
      <w:r>
        <w:rPr>
          <w:rFonts w:hint="eastAsia" w:ascii="宋体" w:hAnsi="宋体" w:eastAsia="宋体" w:cs="宋体"/>
          <w:color w:val="000000" w:themeColor="text1"/>
          <w:kern w:val="0"/>
          <w14:textFill>
            <w14:solidFill>
              <w14:schemeClr w14:val="tx1"/>
            </w14:solidFill>
          </w14:textFill>
        </w:rPr>
        <w:t>3.1</w:t>
      </w:r>
      <w:r>
        <w:rPr>
          <w:rFonts w:hint="eastAsia" w:ascii="宋体" w:hAnsi="宋体" w:eastAsia="宋体" w:cs="宋体"/>
          <w:color w:val="000000" w:themeColor="text1"/>
          <w:kern w:val="0"/>
          <w:lang w:val="en-US" w:eastAsia="zh-CN"/>
          <w14:textFill>
            <w14:solidFill>
              <w14:schemeClr w14:val="tx1"/>
            </w14:solidFill>
          </w14:textFill>
        </w:rPr>
        <w:t xml:space="preserve"> </w:t>
      </w:r>
      <w:r>
        <w:rPr>
          <w:rFonts w:hint="eastAsia" w:ascii="宋体" w:hAnsi="宋体" w:eastAsia="宋体" w:cs="宋体"/>
          <w:color w:val="000000" w:themeColor="text1"/>
          <w:kern w:val="0"/>
          <w14:textFill>
            <w14:solidFill>
              <w14:schemeClr w14:val="tx1"/>
            </w14:solidFill>
          </w14:textFill>
        </w:rPr>
        <w:t>辨识与分析的目的</w:t>
      </w:r>
      <w:bookmarkEnd w:id="197"/>
      <w:bookmarkEnd w:id="198"/>
      <w:bookmarkEnd w:id="199"/>
    </w:p>
    <w:p w14:paraId="13A23CA3">
      <w:pPr>
        <w:keepNext w:val="0"/>
        <w:keepLines w:val="0"/>
        <w:pageBreakBefore w:val="0"/>
        <w:widowControl w:val="0"/>
        <w:kinsoku/>
        <w:wordWrap/>
        <w:overflowPunct/>
        <w:topLinePunct w:val="0"/>
        <w:autoSpaceDE/>
        <w:autoSpaceDN/>
        <w:bidi w:val="0"/>
        <w:spacing w:line="520" w:lineRule="exact"/>
        <w:ind w:firstLine="560" w:firstLineChars="200"/>
        <w:textAlignment w:val="auto"/>
        <w:rPr>
          <w:rStyle w:val="44"/>
          <w:rFonts w:hint="eastAsia" w:ascii="宋体" w:hAnsi="宋体" w:eastAsia="宋体" w:cs="宋体"/>
          <w:color w:val="000000" w:themeColor="text1"/>
          <w14:textFill>
            <w14:solidFill>
              <w14:schemeClr w14:val="tx1"/>
            </w14:solidFill>
          </w14:textFill>
        </w:rPr>
      </w:pPr>
      <w:r>
        <w:rPr>
          <w:rStyle w:val="44"/>
          <w:rFonts w:hint="eastAsia" w:ascii="宋体" w:hAnsi="宋体" w:eastAsia="宋体" w:cs="宋体"/>
          <w:color w:val="000000" w:themeColor="text1"/>
          <w14:textFill>
            <w14:solidFill>
              <w14:schemeClr w14:val="tx1"/>
            </w14:solidFill>
          </w14:textFill>
        </w:rPr>
        <w:t>危险、有害因素辨识与分析是安全评价的基础。</w:t>
      </w:r>
    </w:p>
    <w:p w14:paraId="2591A4B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Style w:val="44"/>
          <w:rFonts w:hint="eastAsia" w:ascii="宋体" w:hAnsi="宋体" w:eastAsia="宋体" w:cs="宋体"/>
          <w:color w:val="000000" w:themeColor="text1"/>
          <w14:textFill>
            <w14:solidFill>
              <w14:schemeClr w14:val="tx1"/>
            </w14:solidFill>
          </w14:textFill>
        </w:rPr>
      </w:pPr>
      <w:r>
        <w:rPr>
          <w:rStyle w:val="44"/>
          <w:rFonts w:hint="eastAsia" w:ascii="宋体" w:hAnsi="宋体" w:eastAsia="宋体" w:cs="宋体"/>
          <w:color w:val="000000" w:themeColor="text1"/>
          <w14:textFill>
            <w14:solidFill>
              <w14:schemeClr w14:val="tx1"/>
            </w14:solidFill>
          </w14:textFill>
        </w:rPr>
        <w:t>危险因素是指系统（人、机械、材料、设施、工艺、环境）中存在的，能对人造成伤亡，对物造成突发性损害的因素。</w:t>
      </w:r>
    </w:p>
    <w:p w14:paraId="08A0BF8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Style w:val="44"/>
          <w:rFonts w:hint="eastAsia" w:ascii="宋体" w:hAnsi="宋体" w:eastAsia="宋体" w:cs="宋体"/>
          <w:color w:val="000000" w:themeColor="text1"/>
          <w14:textFill>
            <w14:solidFill>
              <w14:schemeClr w14:val="tx1"/>
            </w14:solidFill>
          </w14:textFill>
        </w:rPr>
      </w:pPr>
      <w:r>
        <w:rPr>
          <w:rStyle w:val="44"/>
          <w:rFonts w:hint="eastAsia" w:ascii="宋体" w:hAnsi="宋体" w:eastAsia="宋体" w:cs="宋体"/>
          <w:color w:val="000000" w:themeColor="text1"/>
          <w14:textFill>
            <w14:solidFill>
              <w14:schemeClr w14:val="tx1"/>
            </w14:solidFill>
          </w14:textFill>
        </w:rPr>
        <w:t>有害因素是指影响人的身体健康，导致疾病，或对物造成慢性损害的因素。</w:t>
      </w:r>
    </w:p>
    <w:p w14:paraId="0DE20774">
      <w:pPr>
        <w:keepNext w:val="0"/>
        <w:keepLines w:val="0"/>
        <w:pageBreakBefore w:val="0"/>
        <w:widowControl w:val="0"/>
        <w:kinsoku/>
        <w:wordWrap/>
        <w:overflowPunct/>
        <w:topLinePunct w:val="0"/>
        <w:autoSpaceDE/>
        <w:autoSpaceDN/>
        <w:bidi w:val="0"/>
        <w:spacing w:line="520" w:lineRule="exact"/>
        <w:ind w:firstLine="560" w:firstLineChars="200"/>
        <w:textAlignment w:val="auto"/>
        <w:rPr>
          <w:rStyle w:val="44"/>
          <w:rFonts w:hint="eastAsia" w:ascii="宋体" w:hAnsi="宋体" w:eastAsia="宋体" w:cs="宋体"/>
          <w:color w:val="000000" w:themeColor="text1"/>
          <w14:textFill>
            <w14:solidFill>
              <w14:schemeClr w14:val="tx1"/>
            </w14:solidFill>
          </w14:textFill>
        </w:rPr>
      </w:pPr>
      <w:r>
        <w:rPr>
          <w:rStyle w:val="44"/>
          <w:rFonts w:hint="eastAsia" w:ascii="宋体" w:hAnsi="宋体" w:eastAsia="宋体" w:cs="宋体"/>
          <w:color w:val="000000" w:themeColor="text1"/>
          <w14:textFill>
            <w14:solidFill>
              <w14:schemeClr w14:val="tx1"/>
            </w14:solidFill>
          </w14:textFill>
        </w:rPr>
        <w:t>主要危险、有害因素的识别，就是找出生产、经营过程中最有可能引发重大事故，导致不良后果的人、机、物、工艺、环境和组织等，识别可能发生的事故、后果和条件，以便采取预防和控制措施。</w:t>
      </w:r>
    </w:p>
    <w:p w14:paraId="014F8FCD">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200" w:name="_Toc10200"/>
      <w:bookmarkStart w:id="201" w:name="_Toc16027"/>
      <w:r>
        <w:rPr>
          <w:rFonts w:hint="eastAsia" w:ascii="宋体" w:hAnsi="宋体" w:eastAsia="宋体" w:cs="宋体"/>
          <w:color w:val="000000" w:themeColor="text1"/>
          <w:kern w:val="0"/>
          <w14:textFill>
            <w14:solidFill>
              <w14:schemeClr w14:val="tx1"/>
            </w14:solidFill>
          </w14:textFill>
        </w:rPr>
        <w:t>3.</w:t>
      </w:r>
      <w:r>
        <w:rPr>
          <w:rFonts w:hint="eastAsia" w:ascii="宋体" w:hAnsi="宋体" w:eastAsia="宋体" w:cs="宋体"/>
          <w:color w:val="000000" w:themeColor="text1"/>
          <w:kern w:val="0"/>
          <w:lang w:val="en-US" w:eastAsia="zh-CN"/>
          <w14:textFill>
            <w14:solidFill>
              <w14:schemeClr w14:val="tx1"/>
            </w14:solidFill>
          </w14:textFill>
        </w:rPr>
        <w:t xml:space="preserve">2 </w:t>
      </w:r>
      <w:r>
        <w:rPr>
          <w:rFonts w:hint="eastAsia" w:ascii="宋体" w:hAnsi="宋体" w:eastAsia="宋体" w:cs="宋体"/>
          <w:color w:val="000000" w:themeColor="text1"/>
          <w:kern w:val="0"/>
          <w14:textFill>
            <w14:solidFill>
              <w14:schemeClr w14:val="tx1"/>
            </w14:solidFill>
          </w14:textFill>
        </w:rPr>
        <w:t>辨识与分析的依据</w:t>
      </w:r>
      <w:bookmarkEnd w:id="189"/>
      <w:bookmarkEnd w:id="190"/>
      <w:bookmarkEnd w:id="191"/>
      <w:bookmarkEnd w:id="200"/>
      <w:bookmarkEnd w:id="201"/>
    </w:p>
    <w:p w14:paraId="4F96CCE9">
      <w:pPr>
        <w:keepNext w:val="0"/>
        <w:keepLines w:val="0"/>
        <w:pageBreakBefore w:val="0"/>
        <w:widowControl w:val="0"/>
        <w:kinsoku/>
        <w:wordWrap/>
        <w:overflowPunct/>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按照《企业职工伤亡事故分类》（GB6441-1986），综合考虑起因物、引起事故的诱导性原因、致害物、伤害方式等，将事故类别分为20类，分别为物体打击、车辆伤害、机械伤害、起重伤害、触电、淹溺、灼烫、火灾、高处坠落、坍塌、冒顶片帮、透水、放炮、瓦斯爆炸、火药爆炸、锅炉爆炸、容器爆炸、其他爆炸、中毒和窒息及其他伤害。</w:t>
      </w:r>
    </w:p>
    <w:p w14:paraId="01ADB072">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根据《生产过程危险和有害因素分类与代码》（GB/T13861-2022）的规定，将危险因素分为四类：</w:t>
      </w:r>
    </w:p>
    <w:p w14:paraId="3383E3E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一、人的因素</w:t>
      </w:r>
    </w:p>
    <w:p w14:paraId="677E0602">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1.心理、生理性危险和有害因素；</w:t>
      </w:r>
    </w:p>
    <w:p w14:paraId="3F79A5EE">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2.行为性危险和有害因素。</w:t>
      </w:r>
    </w:p>
    <w:p w14:paraId="74395E7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二、物的因素</w:t>
      </w:r>
    </w:p>
    <w:p w14:paraId="5209284B">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1.物理性危险和有害因素；</w:t>
      </w:r>
    </w:p>
    <w:p w14:paraId="7836A16D">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2.化学性危险和有害因素；</w:t>
      </w:r>
    </w:p>
    <w:p w14:paraId="1C5D20B7">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3.生物性危险和有害因素。</w:t>
      </w:r>
    </w:p>
    <w:p w14:paraId="7784877D">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三、环境因素</w:t>
      </w:r>
    </w:p>
    <w:p w14:paraId="58DDFF28">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1.室内作业场所环境不良；</w:t>
      </w:r>
    </w:p>
    <w:p w14:paraId="58FF2144">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2.室外作业场地环境不良；</w:t>
      </w:r>
    </w:p>
    <w:p w14:paraId="7E0199E3">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3.地下（含水下）作业环境不良；</w:t>
      </w:r>
    </w:p>
    <w:p w14:paraId="69864BA8">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4.其他作业环境不良。</w:t>
      </w:r>
    </w:p>
    <w:p w14:paraId="7D5ACF6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四、管理因素</w:t>
      </w:r>
    </w:p>
    <w:p w14:paraId="5B7741B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1.职业安全卫生组织机构</w:t>
      </w:r>
      <w:r>
        <w:rPr>
          <w:rFonts w:hint="eastAsia" w:ascii="宋体" w:hAnsi="宋体" w:eastAsia="宋体" w:cs="宋体"/>
          <w:color w:val="000000" w:themeColor="text1"/>
          <w:sz w:val="28"/>
          <w:szCs w:val="28"/>
          <w:lang w:val="en-US" w:eastAsia="zh-CN"/>
          <w14:textFill>
            <w14:solidFill>
              <w14:schemeClr w14:val="tx1"/>
            </w14:solidFill>
          </w14:textFill>
        </w:rPr>
        <w:t>设置和人员配备</w:t>
      </w:r>
      <w:r>
        <w:rPr>
          <w:rFonts w:hint="eastAsia" w:ascii="宋体" w:hAnsi="宋体" w:eastAsia="宋体" w:cs="宋体"/>
          <w:color w:val="000000" w:themeColor="text1"/>
          <w:sz w:val="28"/>
          <w:szCs w:val="28"/>
          <w14:textFill>
            <w14:solidFill>
              <w14:schemeClr w14:val="tx1"/>
            </w14:solidFill>
          </w14:textFill>
        </w:rPr>
        <w:t>不健全；</w:t>
      </w:r>
    </w:p>
    <w:p w14:paraId="6DC69895">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2.职业安全卫生责任制</w:t>
      </w:r>
      <w:r>
        <w:rPr>
          <w:rFonts w:hint="eastAsia" w:ascii="宋体" w:hAnsi="宋体" w:eastAsia="宋体" w:cs="宋体"/>
          <w:color w:val="000000" w:themeColor="text1"/>
          <w:sz w:val="28"/>
          <w:szCs w:val="28"/>
          <w:lang w:val="en-US" w:eastAsia="zh-CN"/>
          <w14:textFill>
            <w14:solidFill>
              <w14:schemeClr w14:val="tx1"/>
            </w14:solidFill>
          </w14:textFill>
        </w:rPr>
        <w:t>不完善或</w:t>
      </w:r>
      <w:r>
        <w:rPr>
          <w:rFonts w:hint="eastAsia" w:ascii="宋体" w:hAnsi="宋体" w:eastAsia="宋体" w:cs="宋体"/>
          <w:color w:val="000000" w:themeColor="text1"/>
          <w:sz w:val="28"/>
          <w:szCs w:val="28"/>
          <w14:textFill>
            <w14:solidFill>
              <w14:schemeClr w14:val="tx1"/>
            </w14:solidFill>
          </w14:textFill>
        </w:rPr>
        <w:t>未落实；</w:t>
      </w:r>
    </w:p>
    <w:p w14:paraId="3DD30D26">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3.职业安全卫生管理规章制度不完善</w:t>
      </w:r>
      <w:r>
        <w:rPr>
          <w:rFonts w:hint="eastAsia" w:ascii="宋体" w:hAnsi="宋体" w:eastAsia="宋体" w:cs="宋体"/>
          <w:color w:val="000000" w:themeColor="text1"/>
          <w:sz w:val="28"/>
          <w:szCs w:val="28"/>
          <w:lang w:val="en-US" w:eastAsia="zh-CN"/>
          <w14:textFill>
            <w14:solidFill>
              <w14:schemeClr w14:val="tx1"/>
            </w14:solidFill>
          </w14:textFill>
        </w:rPr>
        <w:t>或未落实</w:t>
      </w:r>
      <w:r>
        <w:rPr>
          <w:rFonts w:hint="eastAsia" w:ascii="宋体" w:hAnsi="宋体" w:eastAsia="宋体" w:cs="宋体"/>
          <w:color w:val="000000" w:themeColor="text1"/>
          <w:sz w:val="28"/>
          <w:szCs w:val="28"/>
          <w14:textFill>
            <w14:solidFill>
              <w14:schemeClr w14:val="tx1"/>
            </w14:solidFill>
          </w14:textFill>
        </w:rPr>
        <w:t>；</w:t>
      </w:r>
    </w:p>
    <w:p w14:paraId="31E75186">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4.职业安全卫生投入不足；</w:t>
      </w:r>
    </w:p>
    <w:p w14:paraId="3DB067F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w:t>
      </w:r>
      <w:r>
        <w:rPr>
          <w:rFonts w:hint="eastAsia" w:ascii="宋体" w:hAnsi="宋体" w:eastAsia="宋体" w:cs="宋体"/>
          <w:color w:val="000000" w:themeColor="text1"/>
          <w:sz w:val="28"/>
          <w:szCs w:val="28"/>
          <w:lang w:val="en-US" w:eastAsia="zh-CN"/>
          <w14:textFill>
            <w14:solidFill>
              <w14:schemeClr w14:val="tx1"/>
            </w14:solidFill>
          </w14:textFill>
        </w:rPr>
        <w:t>应急管理缺陷</w:t>
      </w:r>
      <w:r>
        <w:rPr>
          <w:rFonts w:hint="eastAsia" w:ascii="宋体" w:hAnsi="宋体" w:eastAsia="宋体" w:cs="宋体"/>
          <w:color w:val="000000" w:themeColor="text1"/>
          <w:sz w:val="28"/>
          <w:szCs w:val="28"/>
          <w14:textFill>
            <w14:solidFill>
              <w14:schemeClr w14:val="tx1"/>
            </w14:solidFill>
          </w14:textFill>
        </w:rPr>
        <w:t>；</w:t>
      </w:r>
    </w:p>
    <w:p w14:paraId="74EB2682">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6.其他管理因素缺陷。</w:t>
      </w:r>
    </w:p>
    <w:p w14:paraId="616FBA41">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202" w:name="_Toc20160"/>
      <w:bookmarkStart w:id="203" w:name="_Toc5486"/>
      <w:r>
        <w:rPr>
          <w:rFonts w:hint="eastAsia" w:ascii="宋体" w:hAnsi="宋体" w:eastAsia="宋体" w:cs="宋体"/>
          <w:color w:val="000000" w:themeColor="text1"/>
          <w:kern w:val="0"/>
          <w:lang w:val="en-US" w:eastAsia="zh-CN"/>
          <w14:textFill>
            <w14:solidFill>
              <w14:schemeClr w14:val="tx1"/>
            </w14:solidFill>
          </w14:textFill>
        </w:rPr>
        <w:t>3.3</w:t>
      </w:r>
      <w:r>
        <w:rPr>
          <w:rFonts w:hint="eastAsia" w:ascii="宋体" w:hAnsi="宋体" w:eastAsia="宋体" w:cs="宋体"/>
          <w:color w:val="000000" w:themeColor="text1"/>
          <w:kern w:val="0"/>
          <w14:textFill>
            <w14:solidFill>
              <w14:schemeClr w14:val="tx1"/>
            </w14:solidFill>
          </w14:textFill>
        </w:rPr>
        <w:t>危险、有害因素产生的原因</w:t>
      </w:r>
      <w:bookmarkEnd w:id="202"/>
      <w:bookmarkEnd w:id="203"/>
    </w:p>
    <w:p w14:paraId="79034ABD">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zh-CN" w:eastAsia="zh-CN"/>
          <w14:textFill>
            <w14:solidFill>
              <w14:schemeClr w14:val="tx1"/>
            </w14:solidFill>
          </w14:textFill>
        </w:rPr>
      </w:pPr>
      <w:bookmarkStart w:id="204" w:name="_Toc458245982"/>
      <w:bookmarkStart w:id="205" w:name="_Toc15863"/>
      <w:bookmarkStart w:id="206" w:name="_Toc3292"/>
      <w:bookmarkStart w:id="207" w:name="_Toc103178286"/>
      <w:bookmarkStart w:id="208" w:name="_Toc54294431"/>
      <w:bookmarkStart w:id="209" w:name="_Toc129520625"/>
      <w:bookmarkStart w:id="210" w:name="_Toc13275"/>
      <w:bookmarkStart w:id="211" w:name="_Toc51340665"/>
      <w:bookmarkStart w:id="212" w:name="_Toc2826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3.3.1</w:t>
      </w:r>
      <w:r>
        <w:rPr>
          <w:rFonts w:hint="eastAsia" w:ascii="宋体" w:hAnsi="宋体" w:eastAsia="宋体" w:cs="宋体"/>
          <w:snapToGrid w:val="0"/>
          <w:color w:val="000000" w:themeColor="text1"/>
          <w:kern w:val="0"/>
          <w:sz w:val="28"/>
          <w:szCs w:val="28"/>
          <w:lang w:val="zh-CN" w:eastAsia="zh-CN"/>
          <w14:textFill>
            <w14:solidFill>
              <w14:schemeClr w14:val="tx1"/>
            </w14:solidFill>
          </w14:textFill>
        </w:rPr>
        <w:t>运行失控与设备故障</w:t>
      </w:r>
      <w:bookmarkEnd w:id="204"/>
      <w:bookmarkEnd w:id="205"/>
      <w:bookmarkEnd w:id="206"/>
      <w:bookmarkEnd w:id="207"/>
      <w:bookmarkEnd w:id="208"/>
      <w:bookmarkEnd w:id="209"/>
      <w:bookmarkEnd w:id="210"/>
      <w:bookmarkEnd w:id="211"/>
      <w:bookmarkEnd w:id="212"/>
    </w:p>
    <w:p w14:paraId="178B7671">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运行失控是指装置运行过程中偏离或超过了正常的工艺技术条件</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减少。</w:t>
      </w:r>
    </w:p>
    <w:p w14:paraId="59E7497E">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213" w:name="_Toc129520626"/>
      <w:bookmarkStart w:id="214" w:name="_Toc51340666"/>
      <w:bookmarkStart w:id="215" w:name="_Toc15921"/>
      <w:bookmarkStart w:id="216" w:name="_Toc103178287"/>
      <w:bookmarkStart w:id="217" w:name="_Toc1925"/>
      <w:bookmarkStart w:id="218" w:name="_Toc54294432"/>
      <w:bookmarkStart w:id="219" w:name="_Toc31794"/>
      <w:bookmarkStart w:id="220" w:name="_Toc458245983"/>
      <w:bookmarkStart w:id="221" w:name="_Toc12805"/>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3.3.2人员失误</w:t>
      </w:r>
      <w:bookmarkEnd w:id="213"/>
      <w:bookmarkEnd w:id="214"/>
      <w:bookmarkEnd w:id="215"/>
      <w:bookmarkEnd w:id="216"/>
      <w:bookmarkEnd w:id="217"/>
      <w:bookmarkEnd w:id="218"/>
      <w:bookmarkEnd w:id="219"/>
      <w:bookmarkEnd w:id="220"/>
      <w:bookmarkEnd w:id="221"/>
    </w:p>
    <w:p w14:paraId="6C3BFB9F">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人员失误系指不安全行为（指职工在劳动过程中违反劳动纪律、操作程序、方法等具有危险性</w:t>
      </w:r>
      <w:r>
        <w:rPr>
          <w:rFonts w:hint="eastAsia" w:ascii="宋体" w:hAnsi="宋体" w:eastAsia="宋体" w:cs="宋体"/>
          <w:color w:val="000000" w:themeColor="text1"/>
          <w:sz w:val="28"/>
          <w:szCs w:val="28"/>
          <w:lang w:eastAsia="zh-CN"/>
          <w14:textFill>
            <w14:solidFill>
              <w14:schemeClr w14:val="tx1"/>
            </w14:solidFill>
          </w14:textFill>
        </w:rPr>
        <w:t>的做法</w:t>
      </w:r>
      <w:r>
        <w:rPr>
          <w:rFonts w:hint="eastAsia" w:ascii="宋体" w:hAnsi="宋体" w:eastAsia="宋体" w:cs="宋体"/>
          <w:color w:val="000000" w:themeColor="text1"/>
          <w:sz w:val="28"/>
          <w:szCs w:val="28"/>
          <w14:textFill>
            <w14:solidFill>
              <w14:schemeClr w14:val="tx1"/>
            </w14:solidFill>
          </w14:textFill>
        </w:rPr>
        <w:t>）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14:paraId="0192F782">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222" w:name="_Toc10943"/>
      <w:bookmarkStart w:id="223" w:name="_Toc21793"/>
      <w:bookmarkStart w:id="224" w:name="_Toc458245984"/>
      <w:bookmarkStart w:id="225" w:name="_Toc54294433"/>
      <w:bookmarkStart w:id="226" w:name="_Toc103178288"/>
      <w:bookmarkStart w:id="227" w:name="_Toc24004"/>
      <w:bookmarkStart w:id="228" w:name="_Toc51340667"/>
      <w:bookmarkStart w:id="229" w:name="_Toc129520627"/>
      <w:bookmarkStart w:id="230" w:name="_Toc19594"/>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3.3.3管理缺陷</w:t>
      </w:r>
      <w:bookmarkEnd w:id="222"/>
      <w:bookmarkEnd w:id="223"/>
      <w:bookmarkEnd w:id="224"/>
      <w:bookmarkEnd w:id="225"/>
      <w:bookmarkEnd w:id="226"/>
      <w:bookmarkEnd w:id="227"/>
      <w:bookmarkEnd w:id="228"/>
      <w:bookmarkEnd w:id="229"/>
      <w:bookmarkEnd w:id="230"/>
    </w:p>
    <w:p w14:paraId="06F848CA">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安全管理是为保证及时、有效地实现既定的安全目标，是在预测、分析的基础上进行的计划、组织、协调、检查等工作，是预防故障和人员失误发生的有效手段，因此，管理缺陷是影响运行失控发生的重要因素。</w:t>
      </w:r>
    </w:p>
    <w:p w14:paraId="6BE2F25D">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231" w:name="_Toc29774"/>
      <w:bookmarkStart w:id="232" w:name="_Toc28956"/>
      <w:bookmarkStart w:id="233" w:name="_Toc54294434"/>
      <w:bookmarkStart w:id="234" w:name="_Toc7105"/>
      <w:bookmarkStart w:id="235" w:name="_Toc458245985"/>
      <w:bookmarkStart w:id="236" w:name="_Toc51340668"/>
      <w:bookmarkStart w:id="237" w:name="_Toc8544"/>
      <w:bookmarkStart w:id="238" w:name="_Toc129520628"/>
      <w:bookmarkStart w:id="239" w:name="_Toc103178289"/>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3.3.4环境因素</w:t>
      </w:r>
      <w:bookmarkEnd w:id="231"/>
      <w:bookmarkEnd w:id="232"/>
      <w:bookmarkEnd w:id="233"/>
      <w:bookmarkEnd w:id="234"/>
      <w:bookmarkEnd w:id="235"/>
      <w:bookmarkEnd w:id="236"/>
      <w:bookmarkEnd w:id="237"/>
      <w:bookmarkEnd w:id="238"/>
      <w:bookmarkEnd w:id="239"/>
    </w:p>
    <w:p w14:paraId="0381FB46">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不良环境的影响包括自然环境和作业环境。作业环境如温度、湿度、通风、照明、噪声、采光等因素的变化均可能导致人的情绪异常而引发误操作，从而引发事故；自然环境如风、雨、雷电、水文地质条件等均可能引发安全事故。</w:t>
      </w:r>
    </w:p>
    <w:bookmarkEnd w:id="192"/>
    <w:bookmarkEnd w:id="193"/>
    <w:bookmarkEnd w:id="194"/>
    <w:bookmarkEnd w:id="195"/>
    <w:bookmarkEnd w:id="196"/>
    <w:p w14:paraId="3ED96A98">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240" w:name="_Toc532203512"/>
      <w:bookmarkStart w:id="241" w:name="_Toc32537"/>
      <w:bookmarkStart w:id="242" w:name="_Toc7360"/>
      <w:bookmarkStart w:id="243" w:name="_Toc329728275"/>
      <w:bookmarkStart w:id="244" w:name="_Toc26114"/>
      <w:bookmarkStart w:id="245" w:name="_Toc4324"/>
      <w:bookmarkStart w:id="246" w:name="_Toc16970"/>
      <w:r>
        <w:rPr>
          <w:rFonts w:hint="eastAsia" w:ascii="宋体" w:hAnsi="宋体" w:eastAsia="宋体" w:cs="宋体"/>
          <w:color w:val="000000" w:themeColor="text1"/>
          <w:kern w:val="0"/>
          <w:lang w:val="en-US" w:eastAsia="zh-CN"/>
          <w14:textFill>
            <w14:solidFill>
              <w14:schemeClr w14:val="tx1"/>
            </w14:solidFill>
          </w14:textFill>
        </w:rPr>
        <w:t>3.4 主要危险、有害物质</w:t>
      </w:r>
      <w:bookmarkEnd w:id="240"/>
      <w:bookmarkEnd w:id="241"/>
      <w:bookmarkEnd w:id="242"/>
      <w:bookmarkEnd w:id="243"/>
      <w:bookmarkEnd w:id="244"/>
      <w:r>
        <w:rPr>
          <w:rFonts w:hint="eastAsia" w:ascii="宋体" w:hAnsi="宋体" w:eastAsia="宋体" w:cs="宋体"/>
          <w:color w:val="000000" w:themeColor="text1"/>
          <w:kern w:val="0"/>
          <w:lang w:val="en-US" w:eastAsia="zh-CN"/>
          <w14:textFill>
            <w14:solidFill>
              <w14:schemeClr w14:val="tx1"/>
            </w14:solidFill>
          </w14:textFill>
        </w:rPr>
        <w:t>辨识与分析</w:t>
      </w:r>
      <w:bookmarkEnd w:id="245"/>
      <w:bookmarkEnd w:id="246"/>
    </w:p>
    <w:p w14:paraId="161AAA5E">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247" w:name="_Toc344298869"/>
      <w:bookmarkStart w:id="248" w:name="_Toc9036"/>
      <w:bookmarkStart w:id="249" w:name="_Toc313453512"/>
      <w:bookmarkStart w:id="250" w:name="_Toc30001389"/>
      <w:bookmarkStart w:id="251" w:name="_Toc27785"/>
      <w:bookmarkStart w:id="252" w:name="_Toc24094"/>
      <w:bookmarkStart w:id="253" w:name="_Toc61474411"/>
      <w:bookmarkStart w:id="254" w:name="_Toc165"/>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3.4.1主要危险、有害物质辨识</w:t>
      </w:r>
      <w:bookmarkEnd w:id="247"/>
      <w:bookmarkEnd w:id="248"/>
      <w:bookmarkEnd w:id="249"/>
      <w:bookmarkEnd w:id="250"/>
      <w:bookmarkEnd w:id="251"/>
      <w:bookmarkEnd w:id="252"/>
      <w:bookmarkEnd w:id="253"/>
      <w:bookmarkEnd w:id="254"/>
    </w:p>
    <w:p w14:paraId="5D78A84D">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bookmarkStart w:id="255" w:name="_Toc225136744"/>
      <w:bookmarkStart w:id="256" w:name="_Toc313453513"/>
      <w:r>
        <w:rPr>
          <w:rFonts w:hint="eastAsia" w:ascii="宋体" w:hAnsi="宋体" w:eastAsia="宋体" w:cs="宋体"/>
          <w:color w:val="000000" w:themeColor="text1"/>
          <w:sz w:val="28"/>
          <w:szCs w:val="28"/>
          <w14:textFill>
            <w14:solidFill>
              <w14:schemeClr w14:val="tx1"/>
            </w14:solidFill>
          </w14:textFill>
        </w:rPr>
        <w:t>对</w:t>
      </w:r>
      <w:r>
        <w:rPr>
          <w:rFonts w:hint="eastAsia" w:ascii="宋体" w:hAnsi="宋体" w:eastAsia="宋体" w:cs="宋体"/>
          <w:color w:val="000000" w:themeColor="text1"/>
          <w:sz w:val="28"/>
          <w:szCs w:val="28"/>
          <w:lang w:val="en-US" w:eastAsia="zh-CN"/>
          <w14:textFill>
            <w14:solidFill>
              <w14:schemeClr w14:val="tx1"/>
            </w14:solidFill>
          </w14:textFill>
        </w:rPr>
        <w:t>玉溪正宇智能科技有限公司安全现状评价项目</w:t>
      </w:r>
      <w:r>
        <w:rPr>
          <w:rFonts w:hint="eastAsia" w:ascii="宋体" w:hAnsi="宋体" w:eastAsia="宋体" w:cs="宋体"/>
          <w:color w:val="000000" w:themeColor="text1"/>
          <w:sz w:val="28"/>
          <w:szCs w:val="28"/>
          <w14:textFill>
            <w14:solidFill>
              <w14:schemeClr w14:val="tx1"/>
            </w14:solidFill>
          </w14:textFill>
        </w:rPr>
        <w:t>进行分析后，本项目所涉及的主要危险、有害物质有：</w:t>
      </w:r>
    </w:p>
    <w:p w14:paraId="072B71BE">
      <w:pPr>
        <w:keepNext w:val="0"/>
        <w:keepLines w:val="0"/>
        <w:pageBreakBefore w:val="0"/>
        <w:widowControl w:val="0"/>
        <w:numPr>
          <w:ilvl w:val="0"/>
          <w:numId w:val="3"/>
        </w:numPr>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生产</w:t>
      </w:r>
      <w:r>
        <w:rPr>
          <w:rFonts w:hint="eastAsia" w:ascii="宋体" w:hAnsi="宋体" w:eastAsia="宋体" w:cs="宋体"/>
          <w:color w:val="000000" w:themeColor="text1"/>
          <w:sz w:val="28"/>
          <w:szCs w:val="28"/>
          <w14:textFill>
            <w14:solidFill>
              <w14:schemeClr w14:val="tx1"/>
            </w14:solidFill>
          </w14:textFill>
        </w:rPr>
        <w:t>过程使用的压缩空气；</w:t>
      </w:r>
    </w:p>
    <w:p w14:paraId="5642606F">
      <w:pPr>
        <w:keepNext w:val="0"/>
        <w:keepLines w:val="0"/>
        <w:pageBreakBefore w:val="0"/>
        <w:widowControl w:val="0"/>
        <w:numPr>
          <w:ilvl w:val="0"/>
          <w:numId w:val="3"/>
        </w:numPr>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生产过程中使用的柴油。</w:t>
      </w:r>
    </w:p>
    <w:p w14:paraId="28810986">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257" w:name="_Toc8493"/>
      <w:bookmarkStart w:id="258" w:name="_Toc11687"/>
      <w:bookmarkStart w:id="259" w:name="_Toc11202"/>
      <w:bookmarkStart w:id="260" w:name="_Toc61474412"/>
      <w:bookmarkStart w:id="261" w:name="_Toc344298870"/>
      <w:bookmarkStart w:id="262" w:name="_Toc30001390"/>
      <w:bookmarkStart w:id="263" w:name="_Toc30050"/>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3.4.2危险化学品辨识</w:t>
      </w:r>
      <w:bookmarkEnd w:id="255"/>
      <w:bookmarkEnd w:id="256"/>
      <w:bookmarkEnd w:id="257"/>
      <w:bookmarkEnd w:id="258"/>
      <w:bookmarkEnd w:id="259"/>
      <w:bookmarkEnd w:id="260"/>
      <w:bookmarkEnd w:id="261"/>
      <w:bookmarkEnd w:id="262"/>
      <w:bookmarkEnd w:id="263"/>
    </w:p>
    <w:p w14:paraId="42E62182">
      <w:pPr>
        <w:pStyle w:val="5"/>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14:textFill>
            <w14:solidFill>
              <w14:schemeClr w14:val="tx1"/>
            </w14:solidFill>
          </w14:textFill>
        </w:rPr>
      </w:pPr>
      <w:bookmarkStart w:id="264" w:name="_Toc344298871"/>
      <w:r>
        <w:rPr>
          <w:rFonts w:hint="eastAsia" w:ascii="宋体" w:hAnsi="宋体" w:eastAsia="宋体" w:cs="宋体"/>
          <w:color w:val="000000" w:themeColor="text1"/>
          <w:kern w:val="0"/>
          <w14:textFill>
            <w14:solidFill>
              <w14:schemeClr w14:val="tx1"/>
            </w14:solidFill>
          </w14:textFill>
        </w:rPr>
        <w:t>3.4.2.1危险化学品辨识</w:t>
      </w:r>
      <w:bookmarkEnd w:id="264"/>
    </w:p>
    <w:p w14:paraId="51246426">
      <w:pPr>
        <w:adjustRightInd w:val="0"/>
        <w:snapToGrid w:val="0"/>
        <w:spacing w:line="500" w:lineRule="exact"/>
        <w:ind w:firstLine="560" w:firstLineChars="20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依据《危险化学品目录（2</w:t>
      </w:r>
      <w:r>
        <w:rPr>
          <w:rFonts w:hint="eastAsia" w:ascii="宋体" w:hAnsi="宋体" w:eastAsia="宋体" w:cs="宋体"/>
          <w:color w:val="000000" w:themeColor="text1"/>
          <w:sz w:val="28"/>
          <w:szCs w:val="28"/>
          <w:lang w:val="en-US" w:eastAsia="zh-CN"/>
          <w14:textFill>
            <w14:solidFill>
              <w14:schemeClr w14:val="tx1"/>
            </w14:solidFill>
          </w14:textFill>
        </w:rPr>
        <w:t>022调整版</w:t>
      </w:r>
      <w:r>
        <w:rPr>
          <w:rFonts w:hint="eastAsia" w:ascii="宋体" w:hAnsi="宋体" w:eastAsia="宋体" w:cs="宋体"/>
          <w:color w:val="000000" w:themeColor="text1"/>
          <w:sz w:val="28"/>
          <w:szCs w:val="28"/>
          <w14:textFill>
            <w14:solidFill>
              <w14:schemeClr w14:val="tx1"/>
            </w14:solidFill>
          </w14:textFill>
        </w:rPr>
        <w:t>）》（原国家安全生产监督管理总局等十部委公告20</w:t>
      </w:r>
      <w:r>
        <w:rPr>
          <w:rFonts w:hint="eastAsia" w:ascii="宋体" w:hAnsi="宋体" w:eastAsia="宋体" w:cs="宋体"/>
          <w:color w:val="000000" w:themeColor="text1"/>
          <w:sz w:val="28"/>
          <w:szCs w:val="28"/>
          <w:lang w:val="en-US" w:eastAsia="zh-CN"/>
          <w14:textFill>
            <w14:solidFill>
              <w14:schemeClr w14:val="tx1"/>
            </w14:solidFill>
          </w14:textFill>
        </w:rPr>
        <w:t>22</w:t>
      </w:r>
      <w:r>
        <w:rPr>
          <w:rFonts w:hint="eastAsia" w:ascii="宋体" w:hAnsi="宋体" w:eastAsia="宋体" w:cs="宋体"/>
          <w:color w:val="000000" w:themeColor="text1"/>
          <w:sz w:val="28"/>
          <w:szCs w:val="28"/>
          <w14:textFill>
            <w14:solidFill>
              <w14:schemeClr w14:val="tx1"/>
            </w14:solidFill>
          </w14:textFill>
        </w:rPr>
        <w:t>年第</w:t>
      </w:r>
      <w:r>
        <w:rPr>
          <w:rFonts w:hint="eastAsia" w:ascii="宋体" w:hAnsi="宋体" w:eastAsia="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号）</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《国家安全监管总局办公厅关于印发危险化学品目录（2015版）实施指南（试行）的通知》（安监总厅管三〔2015〕80号）判别判定可知，</w:t>
      </w:r>
      <w:r>
        <w:rPr>
          <w:rFonts w:hint="eastAsia" w:ascii="宋体" w:hAnsi="宋体" w:eastAsia="宋体" w:cs="宋体"/>
          <w:color w:val="000000" w:themeColor="text1"/>
          <w:sz w:val="28"/>
          <w:szCs w:val="28"/>
          <w:lang w:val="en-US" w:eastAsia="zh-CN"/>
          <w14:textFill>
            <w14:solidFill>
              <w14:schemeClr w14:val="tx1"/>
            </w14:solidFill>
          </w14:textFill>
        </w:rPr>
        <w:t>玉溪正宇智能科技有限公司安全现状评价项目</w:t>
      </w:r>
      <w:r>
        <w:rPr>
          <w:rFonts w:hint="eastAsia" w:ascii="宋体" w:hAnsi="宋体" w:eastAsia="宋体" w:cs="宋体"/>
          <w:color w:val="000000" w:themeColor="text1"/>
          <w:sz w:val="28"/>
          <w:szCs w:val="28"/>
          <w14:textFill>
            <w14:solidFill>
              <w14:schemeClr w14:val="tx1"/>
            </w14:solidFill>
          </w14:textFill>
        </w:rPr>
        <w:t>正常运行过程中涉及</w:t>
      </w:r>
      <w:r>
        <w:rPr>
          <w:rFonts w:hint="eastAsia" w:ascii="宋体" w:hAnsi="宋体" w:eastAsia="宋体" w:cs="宋体"/>
          <w:color w:val="000000" w:themeColor="text1"/>
          <w:sz w:val="28"/>
          <w:szCs w:val="28"/>
          <w:lang w:eastAsia="zh-CN"/>
          <w14:textFill>
            <w14:solidFill>
              <w14:schemeClr w14:val="tx1"/>
            </w14:solidFill>
          </w14:textFill>
        </w:rPr>
        <w:t>的</w:t>
      </w:r>
      <w:r>
        <w:rPr>
          <w:rFonts w:hint="eastAsia" w:ascii="宋体" w:hAnsi="宋体" w:eastAsia="宋体" w:cs="宋体"/>
          <w:color w:val="000000" w:themeColor="text1"/>
          <w:sz w:val="28"/>
          <w:szCs w:val="28"/>
          <w14:textFill>
            <w14:solidFill>
              <w14:schemeClr w14:val="tx1"/>
            </w14:solidFill>
          </w14:textFill>
        </w:rPr>
        <w:t>危险化学品</w:t>
      </w:r>
      <w:r>
        <w:rPr>
          <w:rFonts w:hint="eastAsia" w:ascii="宋体" w:hAnsi="宋体" w:eastAsia="宋体" w:cs="宋体"/>
          <w:color w:val="000000" w:themeColor="text1"/>
          <w:sz w:val="28"/>
          <w:szCs w:val="28"/>
          <w:lang w:val="en-US" w:eastAsia="zh-CN"/>
          <w14:textFill>
            <w14:solidFill>
              <w14:schemeClr w14:val="tx1"/>
            </w14:solidFill>
          </w14:textFill>
        </w:rPr>
        <w:t>有：柴油。</w:t>
      </w:r>
    </w:p>
    <w:p w14:paraId="172617AF">
      <w:pPr>
        <w:pStyle w:val="5"/>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14:textFill>
            <w14:solidFill>
              <w14:schemeClr w14:val="tx1"/>
            </w14:solidFill>
          </w14:textFill>
        </w:rPr>
      </w:pPr>
      <w:bookmarkStart w:id="265" w:name="_Toc344298872"/>
      <w:r>
        <w:rPr>
          <w:rFonts w:hint="eastAsia" w:ascii="宋体" w:hAnsi="宋体" w:eastAsia="宋体" w:cs="宋体"/>
          <w:color w:val="000000" w:themeColor="text1"/>
          <w:kern w:val="0"/>
          <w14:textFill>
            <w14:solidFill>
              <w14:schemeClr w14:val="tx1"/>
            </w14:solidFill>
          </w14:textFill>
        </w:rPr>
        <w:t>3.4.2.2剧毒品、易制毒品、监控化学品及重点监管危险化学品辨识</w:t>
      </w:r>
      <w:bookmarkEnd w:id="265"/>
    </w:p>
    <w:p w14:paraId="1275FDE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w:t>
      </w:r>
      <w:r>
        <w:rPr>
          <w:rFonts w:hint="eastAsia" w:ascii="宋体" w:hAnsi="宋体" w:eastAsia="宋体" w:cs="宋体"/>
          <w:color w:val="000000" w:themeColor="text1"/>
          <w:sz w:val="28"/>
          <w:szCs w:val="21"/>
          <w14:textFill>
            <w14:solidFill>
              <w14:schemeClr w14:val="tx1"/>
            </w14:solidFill>
          </w14:textFill>
        </w:rPr>
        <w:t>《危险化学品目录（2022调整版）》</w:t>
      </w:r>
      <w:r>
        <w:rPr>
          <w:rFonts w:hint="eastAsia" w:ascii="宋体" w:hAnsi="宋体" w:eastAsia="宋体" w:cs="宋体"/>
          <w:color w:val="000000" w:themeColor="text1"/>
          <w:sz w:val="28"/>
          <w:szCs w:val="28"/>
          <w14:textFill>
            <w14:solidFill>
              <w14:schemeClr w14:val="tx1"/>
            </w14:solidFill>
          </w14:textFill>
        </w:rPr>
        <w:t>的相关规定，该项目在生产过程中未涉及剧毒化学品。</w:t>
      </w:r>
    </w:p>
    <w:p w14:paraId="64E209D5">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易制毒化学品管理条例》（国务院令第445号，根据国务院第666号令修改）、《非药品类易制毒化学品生产、经营许可办法》（国家安全生产监督管理总局令第5号）、《国务院办公厅关于同意将N-苯乙基-4-哌啶酮、4-苯胺基-N-苯乙基哌啶、N-甲基-1-苯基-1-氯-2-丙胺、溴素、1-苯基-1-丙酮列入易制毒化学品品种目录的函》（国办函〔2017）120号）的相关规定，该项目在生产过程中未涉及易制毒化学品。</w:t>
      </w:r>
    </w:p>
    <w:p w14:paraId="6E3FFB3C">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根据《易制爆危险化学品名录（2017版）》，该项目在生产过程中未涉及易制爆危险化学品。</w:t>
      </w:r>
    </w:p>
    <w:p w14:paraId="2A103CB4">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根据《中华人民共和国监控化学品管理条例》</w:t>
      </w:r>
      <w:r>
        <w:rPr>
          <w:rFonts w:hint="eastAsia" w:ascii="宋体" w:hAnsi="宋体" w:eastAsia="宋体" w:cs="宋体"/>
          <w:color w:val="000000" w:themeColor="text1"/>
          <w:kern w:val="0"/>
          <w:sz w:val="28"/>
          <w:szCs w:val="28"/>
          <w14:textFill>
            <w14:solidFill>
              <w14:schemeClr w14:val="tx1"/>
            </w14:solidFill>
          </w14:textFill>
        </w:rPr>
        <w:t>（</w:t>
      </w:r>
      <w:r>
        <w:rPr>
          <w:rFonts w:hint="eastAsia" w:ascii="宋体" w:hAnsi="宋体" w:eastAsia="宋体" w:cs="宋体"/>
          <w:color w:val="000000" w:themeColor="text1"/>
          <w:sz w:val="28"/>
          <w:szCs w:val="20"/>
          <w14:textFill>
            <w14:solidFill>
              <w14:schemeClr w14:val="tx1"/>
            </w14:solidFill>
          </w14:textFill>
        </w:rPr>
        <w:t>中华人民共和国国务院令第190号公布，中华人民共和国国务院令第588号修订）</w:t>
      </w:r>
      <w:r>
        <w:rPr>
          <w:rFonts w:hint="eastAsia" w:ascii="宋体" w:hAnsi="宋体" w:eastAsia="宋体" w:cs="宋体"/>
          <w:color w:val="000000" w:themeColor="text1"/>
          <w:sz w:val="28"/>
          <w:szCs w:val="28"/>
          <w14:textFill>
            <w14:solidFill>
              <w14:schemeClr w14:val="tx1"/>
            </w14:solidFill>
          </w14:textFill>
        </w:rPr>
        <w:t>，该项目在生产过程中未涉及监控化学品。</w:t>
      </w:r>
    </w:p>
    <w:p w14:paraId="77F5045C">
      <w:pPr>
        <w:adjustRightInd w:val="0"/>
        <w:snapToGrid w:val="0"/>
        <w:spacing w:line="500" w:lineRule="exact"/>
        <w:ind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根据《国家安全监管总局关于公布首批重点监管的危险化学品名录的通知》（安监总管三〔2011〕95号）、《国家安全监管总局关于公布第二批重点监管危险化学品名录的通知》（安监总管三〔2013〕12号）</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《危险化学品目录》（2022调整版）</w:t>
      </w:r>
      <w:r>
        <w:rPr>
          <w:rFonts w:hint="eastAsia" w:ascii="宋体" w:hAnsi="宋体" w:eastAsia="宋体" w:cs="宋体"/>
          <w:color w:val="000000" w:themeColor="text1"/>
          <w:sz w:val="28"/>
          <w:szCs w:val="28"/>
          <w14:textFill>
            <w14:solidFill>
              <w14:schemeClr w14:val="tx1"/>
            </w14:solidFill>
          </w14:textFill>
        </w:rPr>
        <w:t>进行判定，该项目在生产过程中</w:t>
      </w:r>
      <w:r>
        <w:rPr>
          <w:rFonts w:hint="eastAsia" w:ascii="宋体" w:hAnsi="宋体" w:eastAsia="宋体" w:cs="宋体"/>
          <w:color w:val="000000" w:themeColor="text1"/>
          <w:sz w:val="28"/>
          <w:szCs w:val="28"/>
          <w:lang w:val="en-US" w:eastAsia="zh-CN"/>
          <w14:textFill>
            <w14:solidFill>
              <w14:schemeClr w14:val="tx1"/>
            </w14:solidFill>
          </w14:textFill>
        </w:rPr>
        <w:t>未</w:t>
      </w:r>
      <w:r>
        <w:rPr>
          <w:rFonts w:hint="eastAsia" w:ascii="宋体" w:hAnsi="宋体" w:eastAsia="宋体" w:cs="宋体"/>
          <w:color w:val="000000" w:themeColor="text1"/>
          <w:sz w:val="28"/>
          <w:szCs w:val="28"/>
          <w14:textFill>
            <w14:solidFill>
              <w14:schemeClr w14:val="tx1"/>
            </w14:solidFill>
          </w14:textFill>
        </w:rPr>
        <w:t>涉及危险化学品</w:t>
      </w:r>
      <w:r>
        <w:rPr>
          <w:rFonts w:hint="eastAsia" w:ascii="宋体" w:hAnsi="宋体" w:eastAsia="宋体" w:cs="宋体"/>
          <w:color w:val="000000" w:themeColor="text1"/>
          <w:sz w:val="28"/>
          <w:szCs w:val="28"/>
          <w:lang w:val="en-US" w:eastAsia="zh-CN"/>
          <w14:textFill>
            <w14:solidFill>
              <w14:schemeClr w14:val="tx1"/>
            </w14:solidFill>
          </w14:textFill>
        </w:rPr>
        <w:t>。</w:t>
      </w:r>
    </w:p>
    <w:p w14:paraId="6CCF2504">
      <w:pPr>
        <w:adjustRightInd w:val="0"/>
        <w:snapToGrid w:val="0"/>
        <w:spacing w:line="500" w:lineRule="exact"/>
        <w:ind w:firstLine="560" w:firstLineChars="200"/>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综上所述，该项目未涉及监控化学品，未涉及易制毒化学品，未涉及剧毒化学品，未涉及易制爆危险化学品</w:t>
      </w:r>
      <w:r>
        <w:rPr>
          <w:rFonts w:hint="eastAsia" w:ascii="宋体" w:hAnsi="宋体" w:eastAsia="宋体" w:cs="宋体"/>
          <w:color w:val="000000" w:themeColor="text1"/>
          <w:sz w:val="28"/>
          <w:szCs w:val="28"/>
          <w:lang w:eastAsia="zh-CN"/>
          <w14:textFill>
            <w14:solidFill>
              <w14:schemeClr w14:val="tx1"/>
            </w14:solidFill>
          </w14:textFill>
        </w:rPr>
        <w:t>。</w:t>
      </w:r>
    </w:p>
    <w:p w14:paraId="3C7FC917">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default" w:ascii="宋体" w:hAnsi="宋体" w:eastAsia="宋体" w:cs="宋体"/>
          <w:snapToGrid w:val="0"/>
          <w:color w:val="000000" w:themeColor="text1"/>
          <w:kern w:val="0"/>
          <w:sz w:val="28"/>
          <w:szCs w:val="28"/>
          <w:lang w:val="en-US" w:eastAsia="zh-CN"/>
          <w14:textFill>
            <w14:solidFill>
              <w14:schemeClr w14:val="tx1"/>
            </w14:solidFill>
          </w14:textFill>
        </w:rPr>
      </w:pPr>
      <w:bookmarkStart w:id="266" w:name="_Toc532203513"/>
      <w:bookmarkStart w:id="267" w:name="_Toc9831"/>
      <w:bookmarkStart w:id="268" w:name="_Toc11387"/>
      <w:bookmarkStart w:id="269" w:name="_Toc18995"/>
      <w:bookmarkStart w:id="270" w:name="_Toc30382"/>
      <w:r>
        <w:rPr>
          <w:rFonts w:hint="default" w:ascii="宋体" w:hAnsi="宋体" w:eastAsia="宋体" w:cs="宋体"/>
          <w:snapToGrid w:val="0"/>
          <w:color w:val="000000" w:themeColor="text1"/>
          <w:kern w:val="0"/>
          <w:sz w:val="28"/>
          <w:szCs w:val="28"/>
          <w:lang w:val="en-US" w:eastAsia="zh-CN"/>
          <w14:textFill>
            <w14:solidFill>
              <w14:schemeClr w14:val="tx1"/>
            </w14:solidFill>
          </w14:textFill>
        </w:rPr>
        <w:t>3.4.</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 xml:space="preserve">3 </w:t>
      </w:r>
      <w:bookmarkEnd w:id="266"/>
      <w:bookmarkEnd w:id="267"/>
      <w:bookmarkEnd w:id="268"/>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危险物质理化特性</w:t>
      </w:r>
      <w:bookmarkEnd w:id="269"/>
      <w:bookmarkEnd w:id="270"/>
    </w:p>
    <w:p w14:paraId="0F2C1E29">
      <w:pPr>
        <w:keepNext/>
        <w:keepLines/>
        <w:pageBreakBefore w:val="0"/>
        <w:widowControl w:val="0"/>
        <w:tabs>
          <w:tab w:val="left" w:pos="2924"/>
          <w:tab w:val="center" w:pos="4522"/>
        </w:tabs>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b/>
          <w:bCs/>
          <w:color w:val="000000" w:themeColor="text1"/>
          <w:sz w:val="24"/>
          <w:szCs w:val="24"/>
          <w:lang w:val="zh-CN"/>
          <w14:textFill>
            <w14:solidFill>
              <w14:schemeClr w14:val="tx1"/>
            </w14:solidFill>
          </w14:textFill>
        </w:rPr>
      </w:pPr>
      <w:r>
        <w:rPr>
          <w:rFonts w:hint="eastAsia" w:ascii="宋体" w:hAnsi="宋体" w:eastAsia="宋体" w:cs="宋体"/>
          <w:b/>
          <w:bCs/>
          <w:color w:val="000000" w:themeColor="text1"/>
          <w:sz w:val="24"/>
          <w:szCs w:val="24"/>
          <w:lang w:val="zh-CN"/>
          <w14:textFill>
            <w14:solidFill>
              <w14:schemeClr w14:val="tx1"/>
            </w14:solidFill>
          </w14:textFill>
        </w:rPr>
        <w:t>表</w:t>
      </w:r>
      <w:r>
        <w:rPr>
          <w:rFonts w:hint="eastAsia" w:ascii="宋体" w:hAnsi="宋体" w:eastAsia="宋体" w:cs="宋体"/>
          <w:b/>
          <w:bCs/>
          <w:color w:val="000000" w:themeColor="text1"/>
          <w:sz w:val="24"/>
          <w:szCs w:val="24"/>
          <w14:textFill>
            <w14:solidFill>
              <w14:schemeClr w14:val="tx1"/>
            </w14:solidFill>
          </w14:textFill>
        </w:rPr>
        <w:t xml:space="preserve">3-1 </w:t>
      </w:r>
      <w:r>
        <w:rPr>
          <w:rFonts w:hint="eastAsia" w:ascii="宋体" w:hAnsi="宋体" w:eastAsia="宋体" w:cs="宋体"/>
          <w:b/>
          <w:bCs/>
          <w:color w:val="000000" w:themeColor="text1"/>
          <w:sz w:val="24"/>
          <w:szCs w:val="24"/>
          <w:lang w:val="en-US" w:eastAsia="zh-CN"/>
          <w14:textFill>
            <w14:solidFill>
              <w14:schemeClr w14:val="tx1"/>
            </w14:solidFill>
          </w14:textFill>
        </w:rPr>
        <w:t>柴油的</w:t>
      </w:r>
      <w:r>
        <w:rPr>
          <w:rFonts w:hint="eastAsia" w:ascii="宋体" w:hAnsi="宋体" w:eastAsia="宋体" w:cs="宋体"/>
          <w:b/>
          <w:bCs/>
          <w:color w:val="000000" w:themeColor="text1"/>
          <w:sz w:val="24"/>
          <w:szCs w:val="24"/>
          <w:lang w:val="zh-CN"/>
          <w14:textFill>
            <w14:solidFill>
              <w14:schemeClr w14:val="tx1"/>
            </w14:solidFill>
          </w14:textFill>
        </w:rPr>
        <w:t>理化特性表</w:t>
      </w:r>
    </w:p>
    <w:tbl>
      <w:tblPr>
        <w:tblStyle w:val="24"/>
        <w:tblW w:w="8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735"/>
        <w:gridCol w:w="490"/>
        <w:gridCol w:w="1403"/>
        <w:gridCol w:w="1458"/>
        <w:gridCol w:w="3107"/>
      </w:tblGrid>
      <w:tr w14:paraId="356D2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shd w:val="clear" w:color="auto" w:fill="auto"/>
            <w:vAlign w:val="center"/>
          </w:tcPr>
          <w:p w14:paraId="5B3ED4B6">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品名</w:t>
            </w:r>
          </w:p>
        </w:tc>
        <w:tc>
          <w:tcPr>
            <w:tcW w:w="3628" w:type="dxa"/>
            <w:gridSpan w:val="3"/>
            <w:shd w:val="clear" w:color="auto" w:fill="auto"/>
            <w:vAlign w:val="center"/>
          </w:tcPr>
          <w:p w14:paraId="437EAD79">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柴油</w:t>
            </w:r>
          </w:p>
        </w:tc>
        <w:tc>
          <w:tcPr>
            <w:tcW w:w="1458" w:type="dxa"/>
            <w:shd w:val="clear" w:color="auto" w:fill="auto"/>
            <w:vAlign w:val="center"/>
          </w:tcPr>
          <w:p w14:paraId="3D953A56">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别名</w:t>
            </w:r>
          </w:p>
        </w:tc>
        <w:tc>
          <w:tcPr>
            <w:tcW w:w="3107" w:type="dxa"/>
            <w:shd w:val="clear" w:color="auto" w:fill="auto"/>
            <w:vAlign w:val="center"/>
          </w:tcPr>
          <w:p w14:paraId="5F0A994B">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r>
      <w:tr w14:paraId="7E91D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restart"/>
            <w:shd w:val="clear" w:color="auto" w:fill="auto"/>
            <w:vAlign w:val="center"/>
          </w:tcPr>
          <w:p w14:paraId="7B882359">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理化</w:t>
            </w:r>
          </w:p>
          <w:p w14:paraId="08A44619">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性质</w:t>
            </w:r>
          </w:p>
        </w:tc>
        <w:tc>
          <w:tcPr>
            <w:tcW w:w="2225" w:type="dxa"/>
            <w:gridSpan w:val="2"/>
            <w:shd w:val="clear" w:color="auto" w:fill="auto"/>
            <w:vAlign w:val="center"/>
          </w:tcPr>
          <w:p w14:paraId="39995296">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闪点</w:t>
            </w:r>
          </w:p>
        </w:tc>
        <w:tc>
          <w:tcPr>
            <w:tcW w:w="1403" w:type="dxa"/>
            <w:shd w:val="clear" w:color="auto" w:fill="auto"/>
            <w:vAlign w:val="center"/>
          </w:tcPr>
          <w:p w14:paraId="4E5EDF37">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lang w:val="en-US" w:eastAsia="zh-CN"/>
                <w14:textFill>
                  <w14:solidFill>
                    <w14:schemeClr w14:val="tx1"/>
                  </w14:solidFill>
                </w14:textFill>
              </w:rPr>
              <w:t>60-90</w:t>
            </w:r>
            <w:r>
              <w:rPr>
                <w:rFonts w:hint="eastAsia" w:ascii="宋体" w:hAnsi="宋体" w:eastAsia="宋体" w:cs="宋体"/>
                <w:color w:val="000000" w:themeColor="text1"/>
                <w:spacing w:val="-12"/>
                <w:sz w:val="21"/>
                <w:szCs w:val="21"/>
                <w14:textFill>
                  <w14:solidFill>
                    <w14:schemeClr w14:val="tx1"/>
                  </w14:solidFill>
                </w14:textFill>
              </w:rPr>
              <w:t>℃</w:t>
            </w:r>
          </w:p>
        </w:tc>
        <w:tc>
          <w:tcPr>
            <w:tcW w:w="1458" w:type="dxa"/>
            <w:shd w:val="clear" w:color="auto" w:fill="auto"/>
            <w:vAlign w:val="center"/>
          </w:tcPr>
          <w:p w14:paraId="503BD3AF">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沸点</w:t>
            </w:r>
          </w:p>
        </w:tc>
        <w:tc>
          <w:tcPr>
            <w:tcW w:w="3107" w:type="dxa"/>
            <w:shd w:val="clear" w:color="auto" w:fill="auto"/>
            <w:vAlign w:val="center"/>
          </w:tcPr>
          <w:p w14:paraId="4CB7EED2">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1</w:t>
            </w:r>
            <w:r>
              <w:rPr>
                <w:rFonts w:hint="eastAsia" w:ascii="宋体" w:hAnsi="宋体" w:eastAsia="宋体" w:cs="宋体"/>
                <w:color w:val="000000" w:themeColor="text1"/>
                <w:spacing w:val="-12"/>
                <w:sz w:val="21"/>
                <w:szCs w:val="21"/>
                <w:lang w:val="en-US" w:eastAsia="zh-CN"/>
                <w14:textFill>
                  <w14:solidFill>
                    <w14:schemeClr w14:val="tx1"/>
                  </w14:solidFill>
                </w14:textFill>
              </w:rPr>
              <w:t>8</w:t>
            </w:r>
            <w:r>
              <w:rPr>
                <w:rFonts w:hint="eastAsia" w:ascii="宋体" w:hAnsi="宋体" w:eastAsia="宋体" w:cs="宋体"/>
                <w:color w:val="000000" w:themeColor="text1"/>
                <w:spacing w:val="-12"/>
                <w:sz w:val="21"/>
                <w:szCs w:val="21"/>
                <w14:textFill>
                  <w14:solidFill>
                    <w14:schemeClr w14:val="tx1"/>
                  </w14:solidFill>
                </w14:textFill>
              </w:rPr>
              <w:t>0-3</w:t>
            </w:r>
            <w:r>
              <w:rPr>
                <w:rFonts w:hint="eastAsia" w:ascii="宋体" w:hAnsi="宋体" w:eastAsia="宋体" w:cs="宋体"/>
                <w:color w:val="000000" w:themeColor="text1"/>
                <w:spacing w:val="-12"/>
                <w:sz w:val="21"/>
                <w:szCs w:val="21"/>
                <w:lang w:val="en-US" w:eastAsia="zh-CN"/>
                <w14:textFill>
                  <w14:solidFill>
                    <w14:schemeClr w14:val="tx1"/>
                  </w14:solidFill>
                </w14:textFill>
              </w:rPr>
              <w:t>6</w:t>
            </w:r>
            <w:r>
              <w:rPr>
                <w:rFonts w:hint="eastAsia" w:ascii="宋体" w:hAnsi="宋体" w:eastAsia="宋体" w:cs="宋体"/>
                <w:color w:val="000000" w:themeColor="text1"/>
                <w:spacing w:val="-12"/>
                <w:sz w:val="21"/>
                <w:szCs w:val="21"/>
                <w14:textFill>
                  <w14:solidFill>
                    <w14:schemeClr w14:val="tx1"/>
                  </w14:solidFill>
                </w14:textFill>
              </w:rPr>
              <w:t>0℃</w:t>
            </w:r>
          </w:p>
        </w:tc>
      </w:tr>
      <w:tr w14:paraId="1329E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2DB1D74E">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2225" w:type="dxa"/>
            <w:gridSpan w:val="2"/>
            <w:shd w:val="clear" w:color="auto" w:fill="auto"/>
            <w:vAlign w:val="center"/>
          </w:tcPr>
          <w:p w14:paraId="0E8636E5">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相对密度（水=1）</w:t>
            </w:r>
          </w:p>
        </w:tc>
        <w:tc>
          <w:tcPr>
            <w:tcW w:w="1403" w:type="dxa"/>
            <w:shd w:val="clear" w:color="auto" w:fill="auto"/>
            <w:vAlign w:val="center"/>
          </w:tcPr>
          <w:p w14:paraId="5A8AB6AF">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lang w:eastAsia="zh-CN"/>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0.8</w:t>
            </w:r>
            <w:r>
              <w:rPr>
                <w:rFonts w:hint="eastAsia" w:ascii="宋体" w:hAnsi="宋体" w:eastAsia="宋体" w:cs="宋体"/>
                <w:color w:val="000000" w:themeColor="text1"/>
                <w:spacing w:val="-12"/>
                <w:sz w:val="21"/>
                <w:szCs w:val="21"/>
                <w:lang w:val="en-US" w:eastAsia="zh-CN"/>
                <w14:textFill>
                  <w14:solidFill>
                    <w14:schemeClr w14:val="tx1"/>
                  </w14:solidFill>
                </w14:textFill>
              </w:rPr>
              <w:t>7</w:t>
            </w:r>
            <w:r>
              <w:rPr>
                <w:rFonts w:hint="eastAsia" w:ascii="宋体" w:hAnsi="宋体" w:eastAsia="宋体" w:cs="宋体"/>
                <w:color w:val="000000" w:themeColor="text1"/>
                <w:spacing w:val="-12"/>
                <w:sz w:val="21"/>
                <w:szCs w:val="21"/>
                <w14:textFill>
                  <w14:solidFill>
                    <w14:schemeClr w14:val="tx1"/>
                  </w14:solidFill>
                </w14:textFill>
              </w:rPr>
              <w:t>-0.</w:t>
            </w:r>
            <w:r>
              <w:rPr>
                <w:rFonts w:hint="eastAsia" w:ascii="宋体" w:hAnsi="宋体" w:eastAsia="宋体" w:cs="宋体"/>
                <w:color w:val="000000" w:themeColor="text1"/>
                <w:spacing w:val="-12"/>
                <w:sz w:val="21"/>
                <w:szCs w:val="21"/>
                <w:lang w:val="en-US" w:eastAsia="zh-CN"/>
                <w14:textFill>
                  <w14:solidFill>
                    <w14:schemeClr w14:val="tx1"/>
                  </w14:solidFill>
                </w14:textFill>
              </w:rPr>
              <w:t>9</w:t>
            </w:r>
          </w:p>
        </w:tc>
        <w:tc>
          <w:tcPr>
            <w:tcW w:w="1458" w:type="dxa"/>
            <w:shd w:val="clear" w:color="auto" w:fill="auto"/>
            <w:vAlign w:val="center"/>
          </w:tcPr>
          <w:p w14:paraId="4A7DC35D">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CAS号</w:t>
            </w:r>
          </w:p>
        </w:tc>
        <w:tc>
          <w:tcPr>
            <w:tcW w:w="3107" w:type="dxa"/>
            <w:shd w:val="clear" w:color="auto" w:fill="auto"/>
            <w:vAlign w:val="center"/>
          </w:tcPr>
          <w:p w14:paraId="0FFB87CC">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68334-30-5</w:t>
            </w:r>
          </w:p>
        </w:tc>
      </w:tr>
      <w:tr w14:paraId="5BCA7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11BB7DE5">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8193" w:type="dxa"/>
            <w:gridSpan w:val="5"/>
            <w:shd w:val="clear" w:color="auto" w:fill="auto"/>
            <w:vAlign w:val="center"/>
          </w:tcPr>
          <w:p w14:paraId="2C6BF3A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外观性状：稍有粘性的棕色液体。</w:t>
            </w:r>
          </w:p>
        </w:tc>
      </w:tr>
      <w:tr w14:paraId="0954B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41A1284C">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8193" w:type="dxa"/>
            <w:gridSpan w:val="5"/>
            <w:shd w:val="clear" w:color="auto" w:fill="auto"/>
            <w:vAlign w:val="center"/>
          </w:tcPr>
          <w:p w14:paraId="45CCEFC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溶解性：不溶于水，溶于醇等溶剂。</w:t>
            </w:r>
          </w:p>
        </w:tc>
      </w:tr>
      <w:tr w14:paraId="44CC8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667" w:type="dxa"/>
            <w:shd w:val="clear" w:color="auto" w:fill="auto"/>
            <w:vAlign w:val="center"/>
          </w:tcPr>
          <w:p w14:paraId="3BB21DEB">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稳定</w:t>
            </w:r>
          </w:p>
          <w:p w14:paraId="64DD8544">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性和</w:t>
            </w:r>
          </w:p>
          <w:p w14:paraId="557FF062">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危险</w:t>
            </w:r>
          </w:p>
          <w:p w14:paraId="1922B1BA">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w:t>
            </w:r>
          </w:p>
        </w:tc>
        <w:tc>
          <w:tcPr>
            <w:tcW w:w="8193" w:type="dxa"/>
            <w:gridSpan w:val="5"/>
            <w:shd w:val="clear" w:color="auto" w:fill="auto"/>
            <w:vAlign w:val="center"/>
          </w:tcPr>
          <w:p w14:paraId="3ECE5DC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稳定性：</w:t>
            </w:r>
            <w:r>
              <w:rPr>
                <w:rFonts w:hint="eastAsia" w:ascii="宋体" w:hAnsi="宋体" w:eastAsia="宋体" w:cs="宋体"/>
                <w:color w:val="000000" w:themeColor="text1"/>
                <w:spacing w:val="-12"/>
                <w:sz w:val="21"/>
                <w:szCs w:val="21"/>
                <w:lang w:eastAsia="zh-CN"/>
                <w14:textFill>
                  <w14:solidFill>
                    <w14:schemeClr w14:val="tx1"/>
                  </w14:solidFill>
                </w14:textFill>
              </w:rPr>
              <w:t>化学性质很</w:t>
            </w:r>
            <w:r>
              <w:rPr>
                <w:rFonts w:hint="eastAsia" w:ascii="宋体" w:hAnsi="宋体" w:eastAsia="宋体" w:cs="宋体"/>
                <w:color w:val="000000" w:themeColor="text1"/>
                <w:spacing w:val="-12"/>
                <w:sz w:val="21"/>
                <w:szCs w:val="21"/>
                <w14:textFill>
                  <w14:solidFill>
                    <w14:schemeClr w14:val="tx1"/>
                  </w14:solidFill>
                </w14:textFill>
              </w:rPr>
              <w:t>稳定。</w:t>
            </w:r>
          </w:p>
          <w:p w14:paraId="7FB927B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危险性：遇明火、高热或与氧化剂接触，有引起燃烧爆炸的危险。若遇高热，容器内压增大，有开裂和爆炸的危险。</w:t>
            </w:r>
          </w:p>
          <w:p w14:paraId="61AB37E8">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燃烧产物：一氧化碳、二氧化碳。</w:t>
            </w:r>
          </w:p>
        </w:tc>
      </w:tr>
      <w:tr w14:paraId="3C33D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667" w:type="dxa"/>
            <w:shd w:val="clear" w:color="auto" w:fill="auto"/>
            <w:vAlign w:val="center"/>
          </w:tcPr>
          <w:p w14:paraId="72739B28">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毒理</w:t>
            </w:r>
          </w:p>
          <w:p w14:paraId="30C18CB3">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学资</w:t>
            </w:r>
          </w:p>
          <w:p w14:paraId="07981AD1">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料</w:t>
            </w:r>
          </w:p>
        </w:tc>
        <w:tc>
          <w:tcPr>
            <w:tcW w:w="8193" w:type="dxa"/>
            <w:gridSpan w:val="5"/>
            <w:shd w:val="clear" w:color="auto" w:fill="auto"/>
            <w:vAlign w:val="center"/>
          </w:tcPr>
          <w:p w14:paraId="566A518A">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侵入途径：吸入、食入、皮肤吸收。</w:t>
            </w:r>
          </w:p>
          <w:p w14:paraId="5D5A1A5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健康：皮肤接触可为主要吸收途径，可致急性肾脏损害。柴油可引起接触性皮炎、油性痤疮。吸入其雾滴或液体呛入可引起吸入性肺炎。能经胎盘进入胎儿血中。柴油废气可引起眼、鼻刺激症状，头晕及头痛。</w:t>
            </w:r>
          </w:p>
        </w:tc>
      </w:tr>
      <w:tr w14:paraId="24013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restart"/>
            <w:shd w:val="clear" w:color="auto" w:fill="auto"/>
            <w:vAlign w:val="center"/>
          </w:tcPr>
          <w:p w14:paraId="71067132">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安全</w:t>
            </w:r>
          </w:p>
          <w:p w14:paraId="72509720">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防护</w:t>
            </w:r>
          </w:p>
          <w:p w14:paraId="14E9E80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措施</w:t>
            </w:r>
          </w:p>
        </w:tc>
        <w:tc>
          <w:tcPr>
            <w:tcW w:w="1735" w:type="dxa"/>
            <w:shd w:val="clear" w:color="auto" w:fill="auto"/>
            <w:vAlign w:val="center"/>
          </w:tcPr>
          <w:p w14:paraId="1D7FDEA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呼吸系统防护</w:t>
            </w:r>
          </w:p>
        </w:tc>
        <w:tc>
          <w:tcPr>
            <w:tcW w:w="6458" w:type="dxa"/>
            <w:gridSpan w:val="4"/>
            <w:shd w:val="clear" w:color="auto" w:fill="auto"/>
            <w:vAlign w:val="center"/>
          </w:tcPr>
          <w:p w14:paraId="0DD05D4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空气中浓度超标时，建议佩戴自吸过滤式防毒面具（半面罩）。紧急事态抢救或撤离时，应该佩戴空气呼吸器。</w:t>
            </w:r>
          </w:p>
        </w:tc>
      </w:tr>
      <w:tr w14:paraId="7C97E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754C77D4">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43B70591">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眼睛防护</w:t>
            </w:r>
          </w:p>
        </w:tc>
        <w:tc>
          <w:tcPr>
            <w:tcW w:w="6458" w:type="dxa"/>
            <w:gridSpan w:val="4"/>
            <w:shd w:val="clear" w:color="auto" w:fill="auto"/>
            <w:vAlign w:val="center"/>
          </w:tcPr>
          <w:p w14:paraId="212379FE">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戴化学安全防护眼镜。</w:t>
            </w:r>
          </w:p>
        </w:tc>
      </w:tr>
      <w:tr w14:paraId="26EF7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32E64B0F">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618C8300">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身体防护</w:t>
            </w:r>
          </w:p>
        </w:tc>
        <w:tc>
          <w:tcPr>
            <w:tcW w:w="6458" w:type="dxa"/>
            <w:gridSpan w:val="4"/>
            <w:shd w:val="clear" w:color="auto" w:fill="auto"/>
            <w:vAlign w:val="center"/>
          </w:tcPr>
          <w:p w14:paraId="4DB93CD8">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穿一般作业防护服。</w:t>
            </w:r>
          </w:p>
        </w:tc>
      </w:tr>
      <w:tr w14:paraId="24C5C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0EFEF21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3237015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手防护</w:t>
            </w:r>
          </w:p>
        </w:tc>
        <w:tc>
          <w:tcPr>
            <w:tcW w:w="6458" w:type="dxa"/>
            <w:gridSpan w:val="4"/>
            <w:shd w:val="clear" w:color="auto" w:fill="auto"/>
            <w:vAlign w:val="center"/>
          </w:tcPr>
          <w:p w14:paraId="0E365DF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戴橡胶耐油手套。</w:t>
            </w:r>
          </w:p>
        </w:tc>
      </w:tr>
      <w:tr w14:paraId="0250C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171FE97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6108F9D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其他</w:t>
            </w:r>
          </w:p>
        </w:tc>
        <w:tc>
          <w:tcPr>
            <w:tcW w:w="6458" w:type="dxa"/>
            <w:gridSpan w:val="4"/>
            <w:shd w:val="clear" w:color="auto" w:fill="auto"/>
            <w:vAlign w:val="center"/>
          </w:tcPr>
          <w:p w14:paraId="7AE138C1">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工作现场严禁吸烟。避免长期反复接触。</w:t>
            </w:r>
          </w:p>
        </w:tc>
      </w:tr>
      <w:tr w14:paraId="5B611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restart"/>
            <w:shd w:val="clear" w:color="auto" w:fill="auto"/>
            <w:vAlign w:val="center"/>
          </w:tcPr>
          <w:p w14:paraId="6F3DD261">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应急</w:t>
            </w:r>
          </w:p>
          <w:p w14:paraId="220705D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措施</w:t>
            </w:r>
          </w:p>
        </w:tc>
        <w:tc>
          <w:tcPr>
            <w:tcW w:w="1735" w:type="dxa"/>
            <w:shd w:val="clear" w:color="auto" w:fill="auto"/>
            <w:vAlign w:val="center"/>
          </w:tcPr>
          <w:p w14:paraId="1B984C0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急救措施</w:t>
            </w:r>
          </w:p>
        </w:tc>
        <w:tc>
          <w:tcPr>
            <w:tcW w:w="6458" w:type="dxa"/>
            <w:gridSpan w:val="4"/>
            <w:shd w:val="clear" w:color="auto" w:fill="auto"/>
            <w:vAlign w:val="center"/>
          </w:tcPr>
          <w:p w14:paraId="7DB3FEAF">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皮肤接触：立即脱去污染的衣着，用肥皂水和清水彻底冲洗皮肤。就医；</w:t>
            </w:r>
          </w:p>
          <w:p w14:paraId="1C8B2490">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眼睛接触：提起眼睑，用流动清水或生理盐水冲洗。就医；</w:t>
            </w:r>
          </w:p>
          <w:p w14:paraId="2AEA320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吸入：迅速脱离现场至空气新鲜处。保持呼吸道通畅。如呼吸困难，给输氧。如呼吸停止，立即进行人工呼吸。就医；</w:t>
            </w:r>
          </w:p>
          <w:p w14:paraId="7ED42B7B">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食入：尽快彻底洗胃。就医。</w:t>
            </w:r>
          </w:p>
        </w:tc>
      </w:tr>
      <w:tr w14:paraId="18164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69AA82D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67033EF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泄漏措施</w:t>
            </w:r>
          </w:p>
        </w:tc>
        <w:tc>
          <w:tcPr>
            <w:tcW w:w="6458" w:type="dxa"/>
            <w:gridSpan w:val="4"/>
            <w:shd w:val="clear" w:color="auto" w:fill="auto"/>
            <w:vAlign w:val="center"/>
          </w:tcPr>
          <w:p w14:paraId="08DDCBC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r w14:paraId="3C56D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67" w:type="dxa"/>
            <w:vMerge w:val="continue"/>
            <w:shd w:val="clear" w:color="auto" w:fill="auto"/>
            <w:vAlign w:val="center"/>
          </w:tcPr>
          <w:p w14:paraId="7DC03A77">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1735" w:type="dxa"/>
            <w:shd w:val="clear" w:color="auto" w:fill="auto"/>
            <w:vAlign w:val="center"/>
          </w:tcPr>
          <w:p w14:paraId="4B2AAD0E">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消防方法</w:t>
            </w:r>
          </w:p>
        </w:tc>
        <w:tc>
          <w:tcPr>
            <w:tcW w:w="6458" w:type="dxa"/>
            <w:gridSpan w:val="4"/>
            <w:shd w:val="clear" w:color="auto" w:fill="auto"/>
            <w:vAlign w:val="center"/>
          </w:tcPr>
          <w:p w14:paraId="044D79E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雾状水、泡沫、干粉、二氧化碳、砂土。</w:t>
            </w:r>
          </w:p>
        </w:tc>
      </w:tr>
    </w:tbl>
    <w:p w14:paraId="4E3F8575">
      <w:pPr>
        <w:adjustRightInd w:val="0"/>
        <w:snapToGrid w:val="0"/>
        <w:spacing w:line="500" w:lineRule="exact"/>
        <w:ind w:firstLine="560" w:firstLineChars="200"/>
        <w:rPr>
          <w:rFonts w:hint="eastAsia" w:ascii="宋体" w:hAnsi="宋体" w:eastAsia="宋体" w:cs="宋体"/>
          <w:color w:val="000000" w:themeColor="text1"/>
          <w:sz w:val="28"/>
          <w:szCs w:val="28"/>
          <w:lang w:val="zh-CN" w:eastAsia="zh-CN"/>
          <w14:textFill>
            <w14:solidFill>
              <w14:schemeClr w14:val="tx1"/>
            </w14:solidFill>
          </w14:textFill>
        </w:rPr>
      </w:pPr>
    </w:p>
    <w:p w14:paraId="1ECF9C77">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271" w:name="_Toc1661"/>
      <w:bookmarkStart w:id="272" w:name="_Toc24809"/>
      <w:bookmarkStart w:id="273" w:name="_Toc22390"/>
      <w:bookmarkStart w:id="274" w:name="_Toc18289"/>
      <w:bookmarkStart w:id="275" w:name="_Toc12119"/>
      <w:r>
        <w:rPr>
          <w:rFonts w:hint="eastAsia" w:ascii="宋体" w:hAnsi="宋体" w:eastAsia="宋体" w:cs="宋体"/>
          <w:color w:val="000000" w:themeColor="text1"/>
          <w:kern w:val="0"/>
          <w:lang w:val="en-US" w:eastAsia="zh-CN"/>
          <w14:textFill>
            <w14:solidFill>
              <w14:schemeClr w14:val="tx1"/>
            </w14:solidFill>
          </w14:textFill>
        </w:rPr>
        <w:t>3.5厂址及总平面布置主要危险、有害因素辨识与分析</w:t>
      </w:r>
      <w:bookmarkEnd w:id="271"/>
      <w:bookmarkEnd w:id="272"/>
      <w:bookmarkEnd w:id="273"/>
      <w:bookmarkEnd w:id="274"/>
      <w:bookmarkEnd w:id="275"/>
    </w:p>
    <w:p w14:paraId="1DB23336">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276" w:name="_Toc30001393"/>
      <w:bookmarkStart w:id="277" w:name="_Toc11229"/>
      <w:bookmarkStart w:id="278" w:name="_Toc61474415"/>
      <w:bookmarkStart w:id="279" w:name="_Toc28400"/>
      <w:bookmarkStart w:id="280" w:name="_Toc32519"/>
      <w:bookmarkStart w:id="281" w:name="_Toc21492"/>
      <w:bookmarkStart w:id="282" w:name="_Toc15779"/>
      <w:bookmarkStart w:id="283" w:name="_Toc2928"/>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3.5.1厂址危险性分析</w:t>
      </w:r>
      <w:bookmarkEnd w:id="276"/>
      <w:bookmarkEnd w:id="277"/>
      <w:bookmarkEnd w:id="278"/>
      <w:bookmarkEnd w:id="279"/>
      <w:bookmarkEnd w:id="280"/>
      <w:bookmarkEnd w:id="281"/>
      <w:bookmarkEnd w:id="282"/>
      <w:bookmarkEnd w:id="283"/>
    </w:p>
    <w:p w14:paraId="58635803">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该项目厂址方面的因素主要有项目所在地自然条件以及周边环境对项目的影响。</w:t>
      </w:r>
    </w:p>
    <w:p w14:paraId="76344A2C">
      <w:pPr>
        <w:numPr>
          <w:ilvl w:val="0"/>
          <w:numId w:val="4"/>
        </w:numPr>
        <w:tabs>
          <w:tab w:val="left" w:pos="0"/>
          <w:tab w:val="left" w:pos="840"/>
          <w:tab w:val="left" w:pos="993"/>
        </w:tabs>
        <w:adjustRightInd w:val="0"/>
        <w:snapToGrid w:val="0"/>
        <w:spacing w:line="500" w:lineRule="exact"/>
        <w:ind w:left="0"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气象</w:t>
      </w:r>
    </w:p>
    <w:p w14:paraId="4F0E6714">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1）大风：厂区所在位置场地开阔，</w:t>
      </w:r>
      <w:r>
        <w:rPr>
          <w:rFonts w:hint="eastAsia" w:ascii="宋体" w:hAnsi="宋体" w:eastAsia="宋体" w:cs="宋体"/>
          <w:color w:val="000000" w:themeColor="text1"/>
          <w:sz w:val="28"/>
          <w:szCs w:val="28"/>
          <w14:textFill>
            <w14:solidFill>
              <w14:schemeClr w14:val="tx1"/>
            </w14:solidFill>
          </w14:textFill>
        </w:rPr>
        <w:t>春季风大</w:t>
      </w:r>
      <w:r>
        <w:rPr>
          <w:rFonts w:hint="eastAsia" w:ascii="宋体" w:hAnsi="宋体" w:eastAsia="宋体" w:cs="宋体"/>
          <w:color w:val="000000" w:themeColor="text1"/>
          <w:sz w:val="28"/>
          <w14:textFill>
            <w14:solidFill>
              <w14:schemeClr w14:val="tx1"/>
            </w14:solidFill>
          </w14:textFill>
        </w:rPr>
        <w:t>。大风可能导致厂区内建构筑物坍塌；造成高处未佩戴安全防护用品的人员发生高处坠落事故；或导致高处堆放的零散物件坠落，对地面的人员造成物体打击伤害；还可能导致扬尘，造成视线不清，从而引发机械伤害、车辆伤害等事故的发生。</w:t>
      </w:r>
    </w:p>
    <w:p w14:paraId="76955616">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2）高温：高温天气对人体健康的主要影响是产生中暑以及诱心脑血管管疾病导致死亡。该项目在运行过程中，</w:t>
      </w:r>
      <w:r>
        <w:rPr>
          <w:rFonts w:hint="eastAsia" w:ascii="宋体" w:hAnsi="宋体" w:eastAsia="宋体" w:cs="宋体"/>
          <w:color w:val="000000" w:themeColor="text1"/>
          <w:sz w:val="28"/>
          <w:szCs w:val="28"/>
          <w14:textFill>
            <w14:solidFill>
              <w14:schemeClr w14:val="tx1"/>
            </w14:solidFill>
          </w14:textFill>
        </w:rPr>
        <w:t>极端最高气温</w:t>
      </w:r>
      <w:r>
        <w:rPr>
          <w:rFonts w:hint="eastAsia" w:ascii="宋体" w:hAnsi="宋体" w:eastAsia="宋体" w:cs="宋体"/>
          <w:color w:val="000000" w:themeColor="text1"/>
          <w:sz w:val="28"/>
          <w:szCs w:val="28"/>
          <w:lang w:val="en-US" w:eastAsia="zh-CN"/>
          <w14:textFill>
            <w14:solidFill>
              <w14:schemeClr w14:val="tx1"/>
            </w14:solidFill>
          </w14:textFill>
        </w:rPr>
        <w:t>34</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14:textFill>
            <w14:solidFill>
              <w14:schemeClr w14:val="tx1"/>
            </w14:solidFill>
          </w14:textFill>
        </w:rPr>
        <w:t>在夏季高温天气下，可能造成作业人员发生中暑的危险。</w:t>
      </w:r>
    </w:p>
    <w:p w14:paraId="5A147271">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3）暴雨：暴雨是主要气象灾害之一。长时间的暴雨容易产生积水或径流淹没低洼地段，造成洪涝灾害。厂区设备可能受潮、房顶漏雨，地面积水导致电气设备、线路、开关装置短路，发生漏电伤人事故。</w:t>
      </w:r>
    </w:p>
    <w:p w14:paraId="5D773AFB">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4）雷击：雷电事故有可能对建筑物和电气设备造成破坏。</w:t>
      </w:r>
    </w:p>
    <w:p w14:paraId="421E9888">
      <w:pPr>
        <w:numPr>
          <w:ilvl w:val="0"/>
          <w:numId w:val="4"/>
        </w:numPr>
        <w:tabs>
          <w:tab w:val="left" w:pos="0"/>
          <w:tab w:val="left" w:pos="840"/>
          <w:tab w:val="left" w:pos="993"/>
        </w:tabs>
        <w:adjustRightInd w:val="0"/>
        <w:snapToGrid w:val="0"/>
        <w:spacing w:line="500" w:lineRule="exact"/>
        <w:ind w:left="0"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地质条件方面危险、有害因素分析</w:t>
      </w:r>
    </w:p>
    <w:p w14:paraId="2ACE8215">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（1）地质</w:t>
      </w:r>
    </w:p>
    <w:p w14:paraId="4F612FF4">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地质灾害主要由地形地貌、地层岩性，地质构造、地下水、地震、暴雨等因素等引发。如生产过程中施工不当，也可破坏斜坡平衡，引发滑坡、崩塌等地质灾害。可能会因为地质不良或未根据地质情况采取相应的措施，造成建构筑物坍塌、地基塌陷、基础不均匀沉降等危险，基础不均匀下沉会导致设备损坏、管线破裂，发生坍塌、触电等事故。</w:t>
      </w:r>
    </w:p>
    <w:p w14:paraId="5E7972B0">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（2）水文地质方面</w:t>
      </w:r>
    </w:p>
    <w:p w14:paraId="7431BBFA">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1）地下水位：地下水位的变化，对工程建筑的危害影响较大，如地下水位上升，可引起浅基础地基承载力的降低，在有地震砂土液化的地区会引起液化的加剧，岩土体产生变形、滑移、崩塌失稳等不良的地质作用，继而可导致建构筑物下沉、位移、倾斜甚至坍塌；</w:t>
      </w:r>
    </w:p>
    <w:p w14:paraId="33055132">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2）地下水侵蚀：地下水侵蚀性的影响主要体现在水对混凝土、可溶性石材、管道以及金属材料的侵蚀和危害。突出表现在地下水的侵蚀性和地下水中的化学性质的积极作用，在工程上带来较大的危害，侵蚀性在或快或慢的进行，可改变各种建筑材料的使用预期，造成建构筑物使用寿命的降低；</w:t>
      </w:r>
    </w:p>
    <w:p w14:paraId="6E08A9E0">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3）过度开采地下水：若厂区或周边企业违规自设水井开采地下水，地下水的过度开采经常造成地面沉陷，塌陷的地面给工程造成极大的危害，可致使场地地质状况下降，导致建构筑物下沉、倾斜甚至坍塌，给人员带来安全隐患。</w:t>
      </w:r>
    </w:p>
    <w:p w14:paraId="5D69F7DA">
      <w:pPr>
        <w:tabs>
          <w:tab w:val="left" w:pos="0"/>
          <w:tab w:val="left" w:pos="840"/>
          <w:tab w:val="left" w:pos="993"/>
        </w:tabs>
        <w:adjustRightInd w:val="0"/>
        <w:snapToGrid w:val="0"/>
        <w:spacing w:line="500" w:lineRule="exact"/>
        <w:ind w:left="56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（3）地震</w:t>
      </w:r>
    </w:p>
    <w:p w14:paraId="45563B3D">
      <w:pPr>
        <w:tabs>
          <w:tab w:val="left" w:pos="0"/>
          <w:tab w:val="left" w:pos="840"/>
          <w:tab w:val="left" w:pos="993"/>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如各建构筑物抗震设防等级不满足要求，地震可破坏建筑物基础，造成建筑物坍塌，造成人员、财产重大损失。</w:t>
      </w:r>
    </w:p>
    <w:p w14:paraId="182B7339">
      <w:pPr>
        <w:numPr>
          <w:ilvl w:val="0"/>
          <w:numId w:val="4"/>
        </w:numPr>
        <w:tabs>
          <w:tab w:val="left" w:pos="0"/>
          <w:tab w:val="left" w:pos="840"/>
          <w:tab w:val="left" w:pos="993"/>
        </w:tabs>
        <w:adjustRightInd w:val="0"/>
        <w:snapToGrid w:val="0"/>
        <w:spacing w:line="500" w:lineRule="exact"/>
        <w:ind w:left="0"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周边环境因素对企业的影响分析</w:t>
      </w:r>
    </w:p>
    <w:p w14:paraId="55EFFFF0">
      <w:pPr>
        <w:adjustRightInd w:val="0"/>
        <w:snapToGrid w:val="0"/>
        <w:spacing w:line="500" w:lineRule="exact"/>
        <w:ind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（1）厂外企业发生不可控的安全生产事故，容易影响到本公司厂房和设备设施的安全，引发建（构）筑物坍塌、火灾等事故。事故会造成人员损伤和财产损失，终止生产运行。</w:t>
      </w:r>
      <w:r>
        <w:rPr>
          <w:rFonts w:hint="eastAsia" w:ascii="宋体" w:hAnsi="宋体" w:eastAsia="宋体" w:cs="宋体"/>
          <w:color w:val="000000" w:themeColor="text1"/>
          <w:sz w:val="28"/>
          <w:szCs w:val="28"/>
          <w:lang w:val="en-US" w:eastAsia="zh-CN"/>
          <w14:textFill>
            <w14:solidFill>
              <w14:schemeClr w14:val="tx1"/>
            </w14:solidFill>
          </w14:textFill>
        </w:rPr>
        <w:t>如厂区东西两侧企业发生火灾爆炸等。</w:t>
      </w:r>
    </w:p>
    <w:p w14:paraId="733A76CC">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（2）本公司内部其他相关方事故及本公司周边外单位事故可能影响到本公司内部生产安全，影响范围主要为本公司与周边单位相邻区域。</w:t>
      </w:r>
    </w:p>
    <w:p w14:paraId="24EC5D6F">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284" w:name="_Toc30001394"/>
      <w:bookmarkStart w:id="285" w:name="_Toc16423"/>
      <w:bookmarkStart w:id="286" w:name="_Toc7008"/>
      <w:bookmarkStart w:id="287" w:name="_Toc17415"/>
      <w:bookmarkStart w:id="288" w:name="_Toc11851"/>
      <w:bookmarkStart w:id="289" w:name="_Toc1063"/>
      <w:bookmarkStart w:id="290" w:name="_Toc61474416"/>
      <w:bookmarkStart w:id="291" w:name="_Toc26286"/>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3.5.2总平面布置危险性分析</w:t>
      </w:r>
      <w:bookmarkEnd w:id="284"/>
      <w:bookmarkEnd w:id="285"/>
      <w:bookmarkEnd w:id="286"/>
      <w:bookmarkEnd w:id="287"/>
      <w:bookmarkEnd w:id="288"/>
      <w:bookmarkEnd w:id="289"/>
      <w:bookmarkEnd w:id="290"/>
      <w:bookmarkEnd w:id="291"/>
    </w:p>
    <w:p w14:paraId="701A57A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项目总体布置应全面考虑自然条件、社会环境、安全卫生设施、交通道路、建筑物间的防火间距、枢纽规划和环境绿化等对劳动安全和工业卫生都有直接影响的因素，应统一规划，合理安排。</w:t>
      </w:r>
    </w:p>
    <w:p w14:paraId="5A16126C">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总平面布置可能对项目造成危害的主要是防火间距、风向、道路、采光、通风、布置等方面。总平面布置不合理可能会导致火灾、物体打击、机械伤害、车辆伤害、触电、坍塌等危险。引发事故的原因主要有：</w:t>
      </w:r>
    </w:p>
    <w:p w14:paraId="3CFF9548">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1、设备、设施安全通道预留不足，或相关通道阻塞，可导致设备检修、巡检不便，发生机械伤害、灼烫、触电等类型事故。</w:t>
      </w:r>
    </w:p>
    <w:p w14:paraId="3AB164B6">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2、如建（构）筑物之间通道阻塞致使防火间距预留不足，如发生火灾等事故，可能导致事故范围和等级扩大。</w:t>
      </w:r>
      <w:r>
        <w:rPr>
          <w:rFonts w:hint="eastAsia" w:ascii="宋体" w:hAnsi="宋体" w:eastAsia="宋体" w:cs="宋体"/>
          <w:color w:val="000000" w:themeColor="text1"/>
          <w:sz w:val="28"/>
          <w:szCs w:val="28"/>
          <w:lang w:val="en-US" w:eastAsia="zh-CN"/>
          <w14:textFill>
            <w14:solidFill>
              <w14:schemeClr w14:val="tx1"/>
            </w14:solidFill>
          </w14:textFill>
        </w:rPr>
        <w:t>当周边的设施或者建筑发生火灾、坍塌等事故时，可能会对厂内建筑物、设施造成一定影响；厂内建筑物发生火灾时，可能造成周边设施或建构筑物造成火</w:t>
      </w:r>
      <w:r>
        <w:rPr>
          <w:rFonts w:hint="eastAsia" w:ascii="宋体" w:hAnsi="宋体" w:eastAsia="宋体" w:cs="宋体"/>
          <w:color w:val="000000"/>
          <w:kern w:val="0"/>
          <w:sz w:val="28"/>
          <w:szCs w:val="28"/>
          <w:lang w:val="en-US" w:eastAsia="zh-CN" w:bidi="ar"/>
        </w:rPr>
        <w:t>灾的影响。</w:t>
      </w:r>
    </w:p>
    <w:p w14:paraId="20909247">
      <w:pPr>
        <w:adjustRightInd w:val="0"/>
        <w:snapToGrid w:val="0"/>
        <w:spacing w:line="500" w:lineRule="exact"/>
        <w:ind w:firstLine="560" w:firstLineChars="20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3、设备布置过于拥挤，作业区域空间狭小，未设防护挡板等可导致人员受到机械伤害，物体打击伤害</w:t>
      </w:r>
      <w:r>
        <w:rPr>
          <w:rFonts w:hint="eastAsia" w:ascii="宋体" w:hAnsi="宋体" w:eastAsia="宋体" w:cs="宋体"/>
          <w:snapToGrid w:val="0"/>
          <w:color w:val="000000" w:themeColor="text1"/>
          <w:kern w:val="0"/>
          <w:sz w:val="28"/>
          <w:szCs w:val="28"/>
          <w14:textFill>
            <w14:solidFill>
              <w14:schemeClr w14:val="tx1"/>
            </w14:solidFill>
          </w14:textFill>
        </w:rPr>
        <w:t>。</w:t>
      </w:r>
    </w:p>
    <w:p w14:paraId="076D4F73">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w:t>
      </w:r>
      <w:r>
        <w:rPr>
          <w:rFonts w:hint="eastAsia" w:ascii="宋体" w:hAnsi="宋体" w:eastAsia="宋体" w:cs="宋体"/>
          <w:color w:val="000000" w:themeColor="text1"/>
          <w:sz w:val="28"/>
          <w:szCs w:val="28"/>
          <w:lang w:val="en-US" w:eastAsia="zh-CN"/>
          <w14:textFill>
            <w14:solidFill>
              <w14:schemeClr w14:val="tx1"/>
            </w14:solidFill>
          </w14:textFill>
        </w:rPr>
        <w:t>厂区</w:t>
      </w:r>
      <w:r>
        <w:rPr>
          <w:rFonts w:hint="eastAsia" w:ascii="宋体" w:hAnsi="宋体" w:eastAsia="宋体" w:cs="宋体"/>
          <w:color w:val="000000" w:themeColor="text1"/>
          <w:sz w:val="28"/>
          <w:szCs w:val="28"/>
          <w14:textFill>
            <w14:solidFill>
              <w14:schemeClr w14:val="tx1"/>
            </w14:solidFill>
          </w14:textFill>
        </w:rPr>
        <w:t>出入口存在死角或宽度不足，未设置交通警示标志等，可能引发车辆伤害。</w:t>
      </w:r>
    </w:p>
    <w:p w14:paraId="1B40D260">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厂区出入口与园区道路相连接，若厂外道路发生交通事故、车辆火灾爆炸等可能使本项目人员、运输车辆无法正常出行，因救火、疏散等原因，还可能导致厂区周边道路发生交通阻塞。</w:t>
      </w:r>
    </w:p>
    <w:p w14:paraId="431BB7C4">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292" w:name="_Toc8862"/>
      <w:bookmarkStart w:id="293" w:name="_Toc20477"/>
      <w:bookmarkStart w:id="294" w:name="_Toc3188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3.5.3公用工程和辅助设施的危险、有害因素辨识</w:t>
      </w:r>
      <w:bookmarkEnd w:id="292"/>
      <w:bookmarkEnd w:id="293"/>
      <w:bookmarkEnd w:id="294"/>
    </w:p>
    <w:p w14:paraId="4CF33747">
      <w:pPr>
        <w:pStyle w:val="5"/>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3.5.</w:t>
      </w:r>
      <w:r>
        <w:rPr>
          <w:rFonts w:hint="eastAsia" w:ascii="宋体" w:hAnsi="宋体" w:eastAsia="宋体" w:cs="宋体"/>
          <w:color w:val="000000" w:themeColor="text1"/>
          <w:kern w:val="0"/>
          <w:lang w:val="en-US" w:eastAsia="zh-CN"/>
          <w14:textFill>
            <w14:solidFill>
              <w14:schemeClr w14:val="tx1"/>
            </w14:solidFill>
          </w14:textFill>
        </w:rPr>
        <w:t>3</w:t>
      </w:r>
      <w:r>
        <w:rPr>
          <w:rFonts w:hint="eastAsia" w:ascii="宋体" w:hAnsi="宋体" w:eastAsia="宋体" w:cs="宋体"/>
          <w:color w:val="000000" w:themeColor="text1"/>
          <w:kern w:val="0"/>
          <w14:textFill>
            <w14:solidFill>
              <w14:schemeClr w14:val="tx1"/>
            </w14:solidFill>
          </w14:textFill>
        </w:rPr>
        <w:t>.1供配电系统危险性分析</w:t>
      </w:r>
    </w:p>
    <w:p w14:paraId="7ECDA404">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该项目电气设备主要包括：</w:t>
      </w:r>
      <w:r>
        <w:rPr>
          <w:rFonts w:hint="eastAsia" w:ascii="宋体" w:hAnsi="宋体" w:eastAsia="宋体" w:cs="宋体"/>
          <w:color w:val="000000" w:themeColor="text1"/>
          <w:highlight w:val="none"/>
          <w14:textFill>
            <w14:solidFill>
              <w14:schemeClr w14:val="tx1"/>
            </w14:solidFill>
          </w14:textFill>
        </w:rPr>
        <w:t>变压器、</w:t>
      </w:r>
      <w:r>
        <w:rPr>
          <w:rFonts w:hint="eastAsia" w:ascii="宋体" w:hAnsi="宋体" w:eastAsia="宋体" w:cs="宋体"/>
          <w:color w:val="000000" w:themeColor="text1"/>
          <w14:textFill>
            <w14:solidFill>
              <w14:schemeClr w14:val="tx1"/>
            </w14:solidFill>
          </w14:textFill>
        </w:rPr>
        <w:t>电力线路、配电柜、照明灯具、用电设备等。这些电气设备主要存在：触电及电气火灾等危险。</w:t>
      </w:r>
    </w:p>
    <w:p w14:paraId="47CA3422">
      <w:pPr>
        <w:pStyle w:val="45"/>
        <w:adjustRightInd w:val="0"/>
        <w:snapToGrid w:val="0"/>
        <w:rPr>
          <w:rFonts w:hint="eastAsia" w:ascii="宋体" w:hAnsi="宋体" w:eastAsia="宋体" w:cs="宋体"/>
          <w:color w:val="000000" w:themeColor="text1"/>
          <w:highlight w:val="yellow"/>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w:t>
      </w:r>
      <w:r>
        <w:rPr>
          <w:rFonts w:hint="eastAsia" w:ascii="宋体" w:hAnsi="宋体" w:eastAsia="宋体" w:cs="宋体"/>
          <w:color w:val="000000" w:themeColor="text1"/>
          <w:highlight w:val="none"/>
          <w:lang w:val="en-US"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变压器危险、有害因素分析</w:t>
      </w:r>
    </w:p>
    <w:p w14:paraId="50934934">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变压器是利用电磁感应原理，把交流电能转变为不同电压、电流等参数的另一种电能的设备，发事故的原因主要有：</w:t>
      </w:r>
    </w:p>
    <w:p w14:paraId="3D701FC2">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（1）变压器长期过载，会引起线圈发热，使绝缘逐渐老化，造成匝间短路、相间短路或对地短路，引起变压器燃烧爆炸。</w:t>
      </w:r>
    </w:p>
    <w:p w14:paraId="53230619">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（2）变压器绝缘油在储存、运输或运行维护中不慎使水分、杂质或其他油污等混入油中后，会使绝缘强度大幅度降低。当其绝缘强度降低到一定值时在试验过程中就会发生短路。</w:t>
      </w:r>
    </w:p>
    <w:p w14:paraId="4A4A0350">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（3）硅钢片之间绝缘老化，或者夹紧铁芯的螺栓套管损坏，使铁芯产生很大的涡流，引起发热而使温度升高，也将加速绝缘的老化。</w:t>
      </w:r>
    </w:p>
    <w:p w14:paraId="393E82C8">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（4）在吊芯检修时，常常由于不慎将线圈的绝缘和瓷套管损坏瓷套管损坏后，如继续运行，轻则闪络，重则短路。</w:t>
      </w:r>
    </w:p>
    <w:p w14:paraId="5375A574">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线圈内部的接头、线圈之间的连接点和引至高、低压瓷套管的接点及分接开关上各接点，如接触不良会产生局部过热，破坏线圈绝缘，发生短路或断路。此时所产生高温的电弧，同样会使绝缘油迅速分解，产生大量气体，使压力骤增，破坏力极大，后果也十分严重。</w:t>
      </w:r>
    </w:p>
    <w:p w14:paraId="40F60202">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（6）导线接触不良的原因有：螺栓松动、焊接不牢、分接开关接点损坏等。</w:t>
      </w:r>
    </w:p>
    <w:p w14:paraId="7F9AB16C">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（7）当变压器负载发生短路时，变压器将承受相当大的短路电流如保护系统失灵或整定值过大，就有可能烧毁变压器。</w:t>
      </w:r>
    </w:p>
    <w:p w14:paraId="0CC1516D">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（8）变压器未采取隔离、防护措施，致使工作人员意外接触带电体。</w:t>
      </w:r>
    </w:p>
    <w:p w14:paraId="0AB8EE86">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（9）不严格执行工作票制度，如违章作业，操作失误，未穿戴绝缘的劳动服等。</w:t>
      </w:r>
    </w:p>
    <w:p w14:paraId="5C4E51CE">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（10）作业人员未取得电工资质证，缺乏用电常识。</w:t>
      </w:r>
    </w:p>
    <w:p w14:paraId="4929314A">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（11）作业人员缺乏自我保护意识等。</w:t>
      </w:r>
    </w:p>
    <w:p w14:paraId="6FC94365">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（12）其他可能导致事故的原因。</w:t>
      </w:r>
    </w:p>
    <w:p w14:paraId="018FCD6E">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r>
        <w:rPr>
          <w:rFonts w:hint="eastAsia" w:ascii="宋体" w:hAnsi="宋体" w:eastAsia="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电气线路危险、有害因素分析</w:t>
      </w:r>
    </w:p>
    <w:p w14:paraId="1FB46981">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电气线路是电力系统的重要组成部分，一般为架空线路、电缆线路，其主要存在火灾和触电危险。引发事故的原因主要有：</w:t>
      </w:r>
    </w:p>
    <w:p w14:paraId="39FF4754">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（1）厂外进线的电杆倒折、电线断落或搭在易燃物上，易造成架空线路短路，出现电火花、电弧。</w:t>
      </w:r>
    </w:p>
    <w:p w14:paraId="15F974F8">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（2）电杆杆距过大，线间距过小或布线过松，没有拉紧，在大风和外力作用下，容易碰在一起造成短路，或者布线时把导线拉得过紧也易发生导线断裂事故，引起火灾或触电事故。</w:t>
      </w:r>
    </w:p>
    <w:p w14:paraId="60EB2BE4">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（3）架空线路遭到雷击，使线路绝缘损坏，并产生下频短路电弧从而使线路跳闸，影响正常供电。</w:t>
      </w:r>
    </w:p>
    <w:p w14:paraId="3EBA5294">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（4）电缆本身在制造时有缺陷，在敷设时保护铅皮损坏或在运行中电缆绝缘受到机械损伤，引起电缆之间或铅皮之间的绝缘击穿而发生电弧。电弧高温能引燃电缆内的绝缘材料和电缆外层的麻布等。</w:t>
      </w:r>
    </w:p>
    <w:p w14:paraId="3191F2F7">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（5）埋地电缆长期受水、酸碱性土壤腐蚀使保护层破坏，绝缘强度降低，引起电缆短路起火。</w:t>
      </w:r>
    </w:p>
    <w:p w14:paraId="2359F123">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（6）长时间运行中，由于过负荷、过热等原因使电缆绝缘加速老化、干枯，绝缘强度降低，引起电缆相间或对地击穿短路起火。</w:t>
      </w:r>
    </w:p>
    <w:p w14:paraId="25F08018">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（7）电缆外护套破损或密封不良，使电缆发生水渗浸受潮，导致绝缘击穿短路。</w:t>
      </w:r>
    </w:p>
    <w:p w14:paraId="360636D0">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（8）过电压使电缆绝缘击穿发生短路起火。</w:t>
      </w:r>
    </w:p>
    <w:p w14:paraId="77D4008A">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（9）安装时电缆的曲率半径过小，致使绝缘折断受损发生短路。</w:t>
      </w:r>
    </w:p>
    <w:p w14:paraId="574128CE">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（10）电缆终端接头和中间接头接触不良发生短路事故，引起电缆着火。</w:t>
      </w:r>
    </w:p>
    <w:p w14:paraId="2825C78E">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（11）开关设备及其他电气设备短路或接触电阻过大产生高温起火将附近电缆引燃、安装施工和检修时高温焊渣等掉到电缆上引起着火或其他可燃、易燃物品着火后将附近电缆引燃。</w:t>
      </w:r>
    </w:p>
    <w:p w14:paraId="316A1EC5">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（12）电缆绝缘材料腐蚀受损或机械受损等脱落后，人员赤身接触导电线。</w:t>
      </w:r>
    </w:p>
    <w:p w14:paraId="6FDD3D1A">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（13）作业人员缺乏自我保护意识等。</w:t>
      </w:r>
    </w:p>
    <w:p w14:paraId="6DE49E10">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（14） 其他可能导致事故的原因。</w:t>
      </w:r>
    </w:p>
    <w:p w14:paraId="150C0F93">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其他电气设备危险、有害因素分析</w:t>
      </w:r>
    </w:p>
    <w:p w14:paraId="52F52C11">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该项目其他电气设备包括配电箱(柜)、照明系统等，主要存在火灾和触电危险。引发事故的原因主要有：</w:t>
      </w:r>
    </w:p>
    <w:p w14:paraId="078EB86C">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 电气设备及线路的日常管理、维护不当，电气设备、线路老化、绝缘破损、漏电且无接地接零保护。</w:t>
      </w:r>
    </w:p>
    <w:p w14:paraId="1326EBFC">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（2）作业人员缺乏用电常识。</w:t>
      </w:r>
    </w:p>
    <w:p w14:paraId="2A0C41C1">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（3）条件不允许而带电作业或施工中误合电闸送电</w:t>
      </w:r>
    </w:p>
    <w:p w14:paraId="78FCE4A6">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（4）无漏电保护器或漏电保护器失效。</w:t>
      </w:r>
    </w:p>
    <w:p w14:paraId="4B63CA34">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（5）超标使用保险丝、空气开关等。</w:t>
      </w:r>
    </w:p>
    <w:p w14:paraId="2863306D">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（6）断路器失效、设备无接地接零或失效</w:t>
      </w:r>
    </w:p>
    <w:p w14:paraId="3A832093">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（7）电器开关损坏、漏电。</w:t>
      </w:r>
    </w:p>
    <w:p w14:paraId="1F12E918">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（8）不严格执行工作票制度，违章作业，操作失误等。</w:t>
      </w:r>
    </w:p>
    <w:p w14:paraId="7F42B6E7">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（9）其他可能导致事故的原因。</w:t>
      </w:r>
    </w:p>
    <w:p w14:paraId="1E7484A1">
      <w:pPr>
        <w:pStyle w:val="5"/>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3.</w:t>
      </w:r>
      <w:r>
        <w:rPr>
          <w:rFonts w:hint="eastAsia" w:ascii="宋体" w:hAnsi="宋体" w:eastAsia="宋体" w:cs="宋体"/>
          <w:color w:val="000000" w:themeColor="text1"/>
          <w:kern w:val="0"/>
          <w:lang w:val="en-US" w:eastAsia="zh-CN"/>
          <w14:textFill>
            <w14:solidFill>
              <w14:schemeClr w14:val="tx1"/>
            </w14:solidFill>
          </w14:textFill>
        </w:rPr>
        <w:t>5</w:t>
      </w:r>
      <w:r>
        <w:rPr>
          <w:rFonts w:hint="eastAsia" w:ascii="宋体" w:hAnsi="宋体" w:eastAsia="宋体" w:cs="宋体"/>
          <w:color w:val="000000" w:themeColor="text1"/>
          <w:kern w:val="0"/>
          <w14:textFill>
            <w14:solidFill>
              <w14:schemeClr w14:val="tx1"/>
            </w14:solidFill>
          </w14:textFill>
        </w:rPr>
        <w:t>.</w:t>
      </w:r>
      <w:r>
        <w:rPr>
          <w:rFonts w:hint="eastAsia" w:ascii="宋体" w:hAnsi="宋体" w:eastAsia="宋体" w:cs="宋体"/>
          <w:color w:val="000000" w:themeColor="text1"/>
          <w:kern w:val="0"/>
          <w:lang w:val="en-US" w:eastAsia="zh-CN"/>
          <w14:textFill>
            <w14:solidFill>
              <w14:schemeClr w14:val="tx1"/>
            </w14:solidFill>
          </w14:textFill>
        </w:rPr>
        <w:t>3</w:t>
      </w:r>
      <w:r>
        <w:rPr>
          <w:rFonts w:hint="eastAsia" w:ascii="宋体" w:hAnsi="宋体" w:eastAsia="宋体" w:cs="宋体"/>
          <w:color w:val="000000" w:themeColor="text1"/>
          <w:kern w:val="0"/>
          <w14:textFill>
            <w14:solidFill>
              <w14:schemeClr w14:val="tx1"/>
            </w14:solidFill>
          </w14:textFill>
        </w:rPr>
        <w:t>.2给排水危险、有害因素分析</w:t>
      </w:r>
    </w:p>
    <w:p w14:paraId="2CC689C3">
      <w:pPr>
        <w:pStyle w:val="45"/>
        <w:adjustRightInd w:val="0"/>
        <w:snapToGrid w:val="0"/>
        <w:ind w:firstLine="562"/>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lang w:val="en-US" w:eastAsia="zh-CN"/>
          <w14:textFill>
            <w14:solidFill>
              <w14:schemeClr w14:val="tx1"/>
            </w14:solidFill>
          </w14:textFill>
        </w:rPr>
        <w:t>1.</w:t>
      </w:r>
      <w:r>
        <w:rPr>
          <w:rFonts w:hint="eastAsia" w:ascii="宋体" w:hAnsi="宋体" w:eastAsia="宋体" w:cs="宋体"/>
          <w:b/>
          <w:bCs/>
          <w:color w:val="000000" w:themeColor="text1"/>
          <w14:textFill>
            <w14:solidFill>
              <w14:schemeClr w14:val="tx1"/>
            </w14:solidFill>
          </w14:textFill>
        </w:rPr>
        <w:t>触电危险性分析</w:t>
      </w:r>
    </w:p>
    <w:p w14:paraId="6F4B7877">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控制柜、动力装置及其他机电设备受潮，导致绝缘性下降，未按要求穿戴劳动防护用品和违章作业，易发生触电事故。</w:t>
      </w:r>
    </w:p>
    <w:p w14:paraId="7888A1A3">
      <w:pPr>
        <w:pStyle w:val="45"/>
        <w:adjustRightInd w:val="0"/>
        <w:snapToGrid w:val="0"/>
        <w:ind w:firstLine="562"/>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lang w:val="en-US" w:eastAsia="zh-CN"/>
          <w14:textFill>
            <w14:solidFill>
              <w14:schemeClr w14:val="tx1"/>
            </w14:solidFill>
          </w14:textFill>
        </w:rPr>
        <w:t>2.</w:t>
      </w:r>
      <w:r>
        <w:rPr>
          <w:rFonts w:hint="eastAsia" w:ascii="宋体" w:hAnsi="宋体" w:eastAsia="宋体" w:cs="宋体"/>
          <w:b/>
          <w:bCs/>
          <w:color w:val="000000" w:themeColor="text1"/>
          <w14:textFill>
            <w14:solidFill>
              <w14:schemeClr w14:val="tx1"/>
            </w14:solidFill>
          </w14:textFill>
        </w:rPr>
        <w:t>机械伤害危险性分析</w:t>
      </w:r>
    </w:p>
    <w:p w14:paraId="3E2A7054">
      <w:pPr>
        <w:pStyle w:val="45"/>
        <w:adjustRightInd w:val="0"/>
        <w:snapToGrid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消防</w:t>
      </w:r>
      <w:r>
        <w:rPr>
          <w:rFonts w:hint="eastAsia" w:ascii="宋体" w:hAnsi="宋体" w:eastAsia="宋体" w:cs="宋体"/>
          <w:color w:val="000000" w:themeColor="text1"/>
          <w14:textFill>
            <w14:solidFill>
              <w14:schemeClr w14:val="tx1"/>
            </w14:solidFill>
          </w14:textFill>
        </w:rPr>
        <w:t>水泵在使用过程中，可能因防护罩强度不足、缺失、违章操作等原因导致机械伤害事故的发生。</w:t>
      </w:r>
    </w:p>
    <w:p w14:paraId="3A2F9EE7">
      <w:pPr>
        <w:pStyle w:val="45"/>
        <w:adjustRightInd w:val="0"/>
        <w:snapToGrid w:val="0"/>
        <w:ind w:firstLine="562"/>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lang w:val="en-US" w:eastAsia="zh-CN"/>
          <w14:textFill>
            <w14:solidFill>
              <w14:schemeClr w14:val="tx1"/>
            </w14:solidFill>
          </w14:textFill>
        </w:rPr>
        <w:t>3.</w:t>
      </w:r>
      <w:r>
        <w:rPr>
          <w:rFonts w:hint="eastAsia" w:ascii="宋体" w:hAnsi="宋体" w:eastAsia="宋体" w:cs="宋体"/>
          <w:b/>
          <w:bCs/>
          <w:color w:val="000000" w:themeColor="text1"/>
          <w14:textFill>
            <w14:solidFill>
              <w14:schemeClr w14:val="tx1"/>
            </w14:solidFill>
          </w14:textFill>
        </w:rPr>
        <w:t>其他危险性分析</w:t>
      </w:r>
    </w:p>
    <w:p w14:paraId="2E1364E9">
      <w:pPr>
        <w:pStyle w:val="45"/>
        <w:adjustRightInd w:val="0"/>
        <w:snapToGrid w:val="0"/>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除了以上列举的危险、有害因素外，该项目中还存在场地湿滑造成人员不慎摔伤以及泵运行时产生噪声等危害</w:t>
      </w:r>
      <w:r>
        <w:rPr>
          <w:rFonts w:hint="eastAsia" w:ascii="宋体" w:hAnsi="宋体" w:eastAsia="宋体" w:cs="宋体"/>
          <w:color w:val="000000" w:themeColor="text1"/>
          <w:lang w:eastAsia="zh-CN"/>
          <w14:textFill>
            <w14:solidFill>
              <w14:schemeClr w14:val="tx1"/>
            </w14:solidFill>
          </w14:textFill>
        </w:rPr>
        <w:t>。</w:t>
      </w:r>
    </w:p>
    <w:p w14:paraId="1CE916C5">
      <w:pPr>
        <w:pStyle w:val="5"/>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295" w:name="_Toc6655"/>
      <w:bookmarkStart w:id="296" w:name="_Toc19656"/>
      <w:r>
        <w:rPr>
          <w:rFonts w:hint="eastAsia" w:ascii="宋体" w:hAnsi="宋体" w:eastAsia="宋体" w:cs="宋体"/>
          <w:color w:val="000000" w:themeColor="text1"/>
          <w:kern w:val="0"/>
          <w14:textFill>
            <w14:solidFill>
              <w14:schemeClr w14:val="tx1"/>
            </w14:solidFill>
          </w14:textFill>
        </w:rPr>
        <w:t>3.</w:t>
      </w:r>
      <w:r>
        <w:rPr>
          <w:rFonts w:hint="eastAsia" w:ascii="宋体" w:hAnsi="宋体" w:eastAsia="宋体" w:cs="宋体"/>
          <w:color w:val="000000" w:themeColor="text1"/>
          <w:kern w:val="0"/>
          <w:lang w:val="en-US" w:eastAsia="zh-CN"/>
          <w14:textFill>
            <w14:solidFill>
              <w14:schemeClr w14:val="tx1"/>
            </w14:solidFill>
          </w14:textFill>
        </w:rPr>
        <w:t>5</w:t>
      </w:r>
      <w:r>
        <w:rPr>
          <w:rFonts w:hint="eastAsia" w:ascii="宋体" w:hAnsi="宋体" w:eastAsia="宋体" w:cs="宋体"/>
          <w:color w:val="000000" w:themeColor="text1"/>
          <w:kern w:val="0"/>
          <w14:textFill>
            <w14:solidFill>
              <w14:schemeClr w14:val="tx1"/>
            </w14:solidFill>
          </w14:textFill>
        </w:rPr>
        <w:t>.</w:t>
      </w:r>
      <w:r>
        <w:rPr>
          <w:rFonts w:hint="eastAsia" w:ascii="宋体" w:hAnsi="宋体" w:eastAsia="宋体" w:cs="宋体"/>
          <w:color w:val="000000" w:themeColor="text1"/>
          <w:kern w:val="0"/>
          <w:lang w:val="en-US" w:eastAsia="zh-CN"/>
          <w14:textFill>
            <w14:solidFill>
              <w14:schemeClr w14:val="tx1"/>
            </w14:solidFill>
          </w14:textFill>
        </w:rPr>
        <w:t>3</w:t>
      </w:r>
      <w:r>
        <w:rPr>
          <w:rFonts w:hint="eastAsia" w:ascii="宋体" w:hAnsi="宋体" w:eastAsia="宋体" w:cs="宋体"/>
          <w:color w:val="000000" w:themeColor="text1"/>
          <w:kern w:val="0"/>
          <w14:textFill>
            <w14:solidFill>
              <w14:schemeClr w14:val="tx1"/>
            </w14:solidFill>
          </w14:textFill>
        </w:rPr>
        <w:t>.</w:t>
      </w:r>
      <w:r>
        <w:rPr>
          <w:rFonts w:hint="eastAsia" w:ascii="宋体" w:hAnsi="宋体" w:eastAsia="宋体" w:cs="宋体"/>
          <w:color w:val="000000" w:themeColor="text1"/>
          <w:kern w:val="0"/>
          <w:lang w:val="en-US" w:eastAsia="zh-CN"/>
          <w14:textFill>
            <w14:solidFill>
              <w14:schemeClr w14:val="tx1"/>
            </w14:solidFill>
          </w14:textFill>
        </w:rPr>
        <w:t>3</w:t>
      </w:r>
      <w:r>
        <w:rPr>
          <w:rFonts w:hint="eastAsia" w:ascii="宋体" w:hAnsi="宋体" w:eastAsia="宋体" w:cs="宋体"/>
          <w:color w:val="000000" w:themeColor="text1"/>
          <w:kern w:val="0"/>
          <w14:textFill>
            <w14:solidFill>
              <w14:schemeClr w14:val="tx1"/>
            </w14:solidFill>
          </w14:textFill>
        </w:rPr>
        <w:t>消防系统</w:t>
      </w:r>
      <w:bookmarkEnd w:id="295"/>
      <w:r>
        <w:rPr>
          <w:rFonts w:hint="eastAsia" w:ascii="宋体" w:hAnsi="宋体" w:eastAsia="宋体" w:cs="宋体"/>
          <w:color w:val="000000" w:themeColor="text1"/>
          <w:kern w:val="0"/>
          <w14:textFill>
            <w14:solidFill>
              <w14:schemeClr w14:val="tx1"/>
            </w14:solidFill>
          </w14:textFill>
        </w:rPr>
        <w:t>危险、有害因素分析</w:t>
      </w:r>
      <w:bookmarkEnd w:id="296"/>
    </w:p>
    <w:p w14:paraId="6ACC3BA2">
      <w:pPr>
        <w:keepNext w:val="0"/>
        <w:keepLines w:val="0"/>
        <w:pageBreakBefore w:val="0"/>
        <w:widowControl w:val="0"/>
        <w:kinsoku/>
        <w:wordWrap/>
        <w:overflowPunct/>
        <w:topLinePunct w:val="0"/>
        <w:autoSpaceDE/>
        <w:autoSpaceDN/>
        <w:bidi w:val="0"/>
        <w:adjustRightInd/>
        <w:spacing w:line="500" w:lineRule="exact"/>
        <w:ind w:left="240" w:leftChars="100" w:firstLine="560" w:firstLineChars="200"/>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本项目的消防设施主要有室内消火栓、手提式干粉灭火器等。</w:t>
      </w:r>
    </w:p>
    <w:p w14:paraId="72E6AF35">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auto"/>
          <w:kern w:val="2"/>
          <w:sz w:val="28"/>
          <w:szCs w:val="28"/>
          <w:highlight w:val="none"/>
          <w:lang w:val="en-US" w:eastAsia="zh-CN" w:bidi="ar-SA"/>
        </w:rPr>
        <w:t>消防泵站</w:t>
      </w:r>
      <w:r>
        <w:rPr>
          <w:rFonts w:hint="eastAsia" w:ascii="宋体" w:hAnsi="宋体" w:eastAsia="宋体" w:cs="宋体"/>
          <w:color w:val="000000" w:themeColor="text1"/>
          <w:kern w:val="2"/>
          <w:sz w:val="28"/>
          <w:szCs w:val="28"/>
          <w:lang w:val="en-US" w:eastAsia="zh-CN" w:bidi="ar-SA"/>
          <w14:textFill>
            <w14:solidFill>
              <w14:schemeClr w14:val="tx1"/>
            </w14:solidFill>
          </w14:textFill>
        </w:rPr>
        <w:t>供水存在缺陷，如压力不足，水量不足等会影响事故救援，导致事故危害扩大。</w:t>
      </w:r>
    </w:p>
    <w:p w14:paraId="62A9FB6F">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干粉灭火器在配电室等相对狭小空间使用时，细小干粉会对人员造成粉尘伤害。</w:t>
      </w:r>
    </w:p>
    <w:p w14:paraId="040C64C5">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p>
    <w:p w14:paraId="7AF1EE84">
      <w:pPr>
        <w:pStyle w:val="5"/>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297" w:name="_Toc19882"/>
      <w:r>
        <w:rPr>
          <w:rFonts w:hint="eastAsia" w:ascii="宋体" w:hAnsi="宋体" w:eastAsia="宋体" w:cs="宋体"/>
          <w:color w:val="000000" w:themeColor="text1"/>
          <w:kern w:val="0"/>
          <w14:textFill>
            <w14:solidFill>
              <w14:schemeClr w14:val="tx1"/>
            </w14:solidFill>
          </w14:textFill>
        </w:rPr>
        <w:t>3.</w:t>
      </w:r>
      <w:r>
        <w:rPr>
          <w:rFonts w:hint="eastAsia" w:ascii="宋体" w:hAnsi="宋体" w:eastAsia="宋体" w:cs="宋体"/>
          <w:color w:val="000000" w:themeColor="text1"/>
          <w:kern w:val="0"/>
          <w:lang w:val="en-US" w:eastAsia="zh-CN"/>
          <w14:textFill>
            <w14:solidFill>
              <w14:schemeClr w14:val="tx1"/>
            </w14:solidFill>
          </w14:textFill>
        </w:rPr>
        <w:t>5</w:t>
      </w:r>
      <w:r>
        <w:rPr>
          <w:rFonts w:hint="eastAsia" w:ascii="宋体" w:hAnsi="宋体" w:eastAsia="宋体" w:cs="宋体"/>
          <w:color w:val="000000" w:themeColor="text1"/>
          <w:kern w:val="0"/>
          <w14:textFill>
            <w14:solidFill>
              <w14:schemeClr w14:val="tx1"/>
            </w14:solidFill>
          </w14:textFill>
        </w:rPr>
        <w:t>.</w:t>
      </w:r>
      <w:r>
        <w:rPr>
          <w:rFonts w:hint="eastAsia" w:ascii="宋体" w:hAnsi="宋体" w:eastAsia="宋体" w:cs="宋体"/>
          <w:color w:val="000000" w:themeColor="text1"/>
          <w:kern w:val="0"/>
          <w:lang w:val="en-US" w:eastAsia="zh-CN"/>
          <w14:textFill>
            <w14:solidFill>
              <w14:schemeClr w14:val="tx1"/>
            </w14:solidFill>
          </w14:textFill>
        </w:rPr>
        <w:t>3</w:t>
      </w:r>
      <w:r>
        <w:rPr>
          <w:rFonts w:hint="eastAsia" w:ascii="宋体" w:hAnsi="宋体" w:eastAsia="宋体" w:cs="宋体"/>
          <w:color w:val="000000" w:themeColor="text1"/>
          <w:kern w:val="0"/>
          <w14:textFill>
            <w14:solidFill>
              <w14:schemeClr w14:val="tx1"/>
            </w14:solidFill>
          </w14:textFill>
        </w:rPr>
        <w:t>.</w:t>
      </w:r>
      <w:r>
        <w:rPr>
          <w:rFonts w:hint="eastAsia" w:ascii="宋体" w:hAnsi="宋体" w:eastAsia="宋体" w:cs="宋体"/>
          <w:color w:val="000000" w:themeColor="text1"/>
          <w:kern w:val="0"/>
          <w:lang w:val="en-US" w:eastAsia="zh-CN"/>
          <w14:textFill>
            <w14:solidFill>
              <w14:schemeClr w14:val="tx1"/>
            </w14:solidFill>
          </w14:textFill>
        </w:rPr>
        <w:t>4</w:t>
      </w:r>
      <w:r>
        <w:rPr>
          <w:rFonts w:hint="eastAsia" w:ascii="宋体" w:hAnsi="宋体" w:eastAsia="宋体" w:cs="宋体"/>
          <w:color w:val="000000" w:themeColor="text1"/>
          <w:kern w:val="0"/>
          <w14:textFill>
            <w14:solidFill>
              <w14:schemeClr w14:val="tx1"/>
            </w14:solidFill>
          </w14:textFill>
        </w:rPr>
        <w:t>厂内运输危险</w:t>
      </w:r>
      <w:r>
        <w:rPr>
          <w:rFonts w:hint="eastAsia" w:ascii="宋体" w:hAnsi="宋体" w:eastAsia="宋体" w:cs="宋体"/>
          <w:color w:val="000000" w:themeColor="text1"/>
          <w:kern w:val="0"/>
          <w:lang w:eastAsia="zh-CN"/>
          <w14:textFill>
            <w14:solidFill>
              <w14:schemeClr w14:val="tx1"/>
            </w14:solidFill>
          </w14:textFill>
        </w:rPr>
        <w:t>、</w:t>
      </w:r>
      <w:r>
        <w:rPr>
          <w:rFonts w:hint="eastAsia" w:ascii="宋体" w:hAnsi="宋体" w:eastAsia="宋体" w:cs="宋体"/>
          <w:color w:val="000000" w:themeColor="text1"/>
          <w:kern w:val="0"/>
          <w14:textFill>
            <w14:solidFill>
              <w14:schemeClr w14:val="tx1"/>
            </w14:solidFill>
          </w14:textFill>
        </w:rPr>
        <w:t>有害因素</w:t>
      </w:r>
      <w:r>
        <w:rPr>
          <w:rFonts w:hint="eastAsia" w:ascii="宋体" w:hAnsi="宋体" w:eastAsia="宋体" w:cs="宋体"/>
          <w:color w:val="000000" w:themeColor="text1"/>
          <w:kern w:val="0"/>
          <w:lang w:val="en-US" w:eastAsia="zh-CN"/>
          <w14:textFill>
            <w14:solidFill>
              <w14:schemeClr w14:val="tx1"/>
            </w14:solidFill>
          </w14:textFill>
        </w:rPr>
        <w:t>分析</w:t>
      </w:r>
      <w:bookmarkEnd w:id="297"/>
    </w:p>
    <w:p w14:paraId="6FBF9FEC">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厂内运输设备主要包括</w:t>
      </w:r>
      <w:r>
        <w:rPr>
          <w:rFonts w:hint="eastAsia" w:ascii="宋体" w:hAnsi="宋体" w:eastAsia="宋体" w:cs="宋体"/>
          <w:sz w:val="28"/>
          <w:szCs w:val="28"/>
          <w:lang w:val="en-US" w:eastAsia="zh-CN"/>
        </w:rPr>
        <w:t>行车、手动拖车、外来运输汽车</w:t>
      </w:r>
      <w:r>
        <w:rPr>
          <w:rFonts w:hint="eastAsia" w:ascii="宋体" w:hAnsi="宋体" w:eastAsia="宋体" w:cs="宋体"/>
          <w:sz w:val="28"/>
          <w:szCs w:val="28"/>
        </w:rPr>
        <w:t>等。主要存在的危险</w:t>
      </w:r>
      <w:r>
        <w:rPr>
          <w:rFonts w:hint="eastAsia" w:ascii="宋体" w:hAnsi="宋体" w:eastAsia="宋体" w:cs="宋体"/>
          <w:sz w:val="28"/>
          <w:szCs w:val="28"/>
          <w:lang w:eastAsia="zh-CN"/>
        </w:rPr>
        <w:t>、</w:t>
      </w:r>
      <w:r>
        <w:rPr>
          <w:rFonts w:hint="eastAsia" w:ascii="宋体" w:hAnsi="宋体" w:eastAsia="宋体" w:cs="宋体"/>
          <w:sz w:val="28"/>
          <w:szCs w:val="28"/>
        </w:rPr>
        <w:t>有害因素分析如下：</w:t>
      </w:r>
    </w:p>
    <w:p w14:paraId="678482A3">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在行车及外来运输汽车运输、装卸原材料和产品的过程中，可能存在起重伤害、高处坠落、车辆伤害、物体打击、坍塌等伤害。</w:t>
      </w:r>
    </w:p>
    <w:p w14:paraId="46594014">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298" w:name="_Toc9050"/>
      <w:bookmarkStart w:id="299" w:name="_Toc24874"/>
      <w:bookmarkStart w:id="300" w:name="_Toc27787"/>
      <w:r>
        <w:rPr>
          <w:rFonts w:hint="eastAsia" w:ascii="宋体" w:hAnsi="宋体" w:eastAsia="宋体" w:cs="宋体"/>
          <w:color w:val="000000" w:themeColor="text1"/>
          <w:kern w:val="0"/>
          <w:lang w:val="en-US" w:eastAsia="zh-CN"/>
          <w14:textFill>
            <w14:solidFill>
              <w14:schemeClr w14:val="tx1"/>
            </w14:solidFill>
          </w14:textFill>
        </w:rPr>
        <w:t>3.6主要危险、有害因素类别分析</w:t>
      </w:r>
      <w:bookmarkEnd w:id="298"/>
      <w:bookmarkEnd w:id="299"/>
      <w:bookmarkEnd w:id="300"/>
    </w:p>
    <w:p w14:paraId="3CCD70A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rPr>
      </w:pPr>
      <w:r>
        <w:rPr>
          <w:rFonts w:hint="eastAsia" w:ascii="宋体" w:hAnsi="宋体" w:eastAsia="宋体" w:cs="宋体"/>
          <w:sz w:val="28"/>
          <w:szCs w:val="28"/>
        </w:rPr>
        <w:t>根据对</w:t>
      </w:r>
      <w:r>
        <w:rPr>
          <w:rFonts w:hint="eastAsia" w:ascii="宋体" w:hAnsi="宋体" w:eastAsia="宋体" w:cs="宋体"/>
          <w:sz w:val="28"/>
          <w:szCs w:val="28"/>
          <w:lang w:val="en-US" w:eastAsia="zh-CN"/>
        </w:rPr>
        <w:t>玉溪正宇智能科技有限公司</w:t>
      </w:r>
      <w:r>
        <w:rPr>
          <w:rFonts w:hint="eastAsia" w:ascii="宋体" w:hAnsi="宋体" w:eastAsia="宋体" w:cs="宋体"/>
          <w:sz w:val="28"/>
          <w:szCs w:val="28"/>
        </w:rPr>
        <w:t>原辅材料及产品的特性、有关资料的分析，参照《</w:t>
      </w:r>
      <w:r>
        <w:rPr>
          <w:rFonts w:hint="eastAsia" w:ascii="宋体" w:hAnsi="宋体" w:eastAsia="宋体" w:cs="宋体"/>
          <w:sz w:val="28"/>
          <w:szCs w:val="28"/>
          <w:lang w:eastAsia="zh-CN"/>
        </w:rPr>
        <w:t>生产过程危险和有害因素分类与代码</w:t>
      </w:r>
      <w:r>
        <w:rPr>
          <w:rFonts w:hint="eastAsia" w:ascii="宋体" w:hAnsi="宋体" w:eastAsia="宋体" w:cs="宋体"/>
          <w:sz w:val="28"/>
          <w:szCs w:val="28"/>
        </w:rPr>
        <w:t>》（GB/T13</w:t>
      </w:r>
      <w:r>
        <w:rPr>
          <w:rFonts w:hint="eastAsia" w:ascii="宋体" w:hAnsi="宋体" w:eastAsia="宋体" w:cs="宋体"/>
          <w:sz w:val="28"/>
          <w:szCs w:val="28"/>
          <w:lang w:val="en-US" w:eastAsia="zh-CN"/>
        </w:rPr>
        <w:t>861</w:t>
      </w:r>
      <w:r>
        <w:rPr>
          <w:rFonts w:hint="eastAsia" w:ascii="宋体" w:hAnsi="宋体" w:eastAsia="宋体" w:cs="宋体"/>
          <w:sz w:val="28"/>
          <w:szCs w:val="28"/>
        </w:rPr>
        <w:t>-20</w:t>
      </w:r>
      <w:r>
        <w:rPr>
          <w:rFonts w:hint="eastAsia" w:ascii="宋体" w:hAnsi="宋体" w:eastAsia="宋体" w:cs="宋体"/>
          <w:sz w:val="28"/>
          <w:szCs w:val="28"/>
          <w:lang w:val="en-US" w:eastAsia="zh-CN"/>
        </w:rPr>
        <w:t>22</w:t>
      </w:r>
      <w:r>
        <w:rPr>
          <w:rFonts w:hint="eastAsia" w:ascii="宋体" w:hAnsi="宋体" w:eastAsia="宋体" w:cs="宋体"/>
          <w:sz w:val="28"/>
          <w:szCs w:val="28"/>
        </w:rPr>
        <w:t>）、《企业</w:t>
      </w:r>
      <w:r>
        <w:rPr>
          <w:rFonts w:hint="eastAsia" w:ascii="宋体" w:hAnsi="宋体" w:eastAsia="宋体" w:cs="宋体"/>
          <w:sz w:val="28"/>
          <w:szCs w:val="28"/>
          <w:lang w:val="en-US" w:eastAsia="zh-CN"/>
        </w:rPr>
        <w:t>职工</w:t>
      </w:r>
      <w:r>
        <w:rPr>
          <w:rFonts w:hint="eastAsia" w:ascii="宋体" w:hAnsi="宋体" w:eastAsia="宋体" w:cs="宋体"/>
          <w:sz w:val="28"/>
          <w:szCs w:val="28"/>
        </w:rPr>
        <w:t>伤亡事故分类》（GB6441-86）中对事故类别的划分方法，以及项目的生产工艺特点，按照生产工序中设施、装置的特点，结合生产作业区域操作人员巡检及其生产活动范围，对</w:t>
      </w:r>
      <w:r>
        <w:rPr>
          <w:rFonts w:hint="eastAsia" w:ascii="宋体" w:hAnsi="宋体" w:eastAsia="宋体" w:cs="宋体"/>
          <w:sz w:val="28"/>
          <w:szCs w:val="28"/>
          <w:lang w:eastAsia="zh-CN"/>
        </w:rPr>
        <w:t>该</w:t>
      </w:r>
      <w:r>
        <w:rPr>
          <w:rFonts w:hint="eastAsia" w:ascii="宋体" w:hAnsi="宋体" w:eastAsia="宋体" w:cs="宋体"/>
          <w:sz w:val="28"/>
          <w:szCs w:val="28"/>
        </w:rPr>
        <w:t>项目生产工艺系统可能存在的危险、有害因素进行分析。</w:t>
      </w:r>
    </w:p>
    <w:p w14:paraId="35FB60B2">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01" w:name="_Toc8610"/>
      <w:bookmarkStart w:id="302" w:name="_Toc8961"/>
      <w:bookmarkStart w:id="303" w:name="_Toc10424"/>
      <w:bookmarkStart w:id="304" w:name="_Toc25525"/>
      <w:bookmarkStart w:id="305" w:name="_Toc40030868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3.6.1火灾危险性分析</w:t>
      </w:r>
      <w:bookmarkEnd w:id="301"/>
      <w:bookmarkEnd w:id="302"/>
      <w:bookmarkEnd w:id="303"/>
      <w:bookmarkEnd w:id="304"/>
    </w:p>
    <w:p w14:paraId="14ACC2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公司成品</w:t>
      </w:r>
      <w:r>
        <w:rPr>
          <w:rFonts w:hint="eastAsia" w:ascii="宋体" w:hAnsi="宋体" w:eastAsia="宋体" w:cs="宋体"/>
          <w:sz w:val="28"/>
          <w:szCs w:val="28"/>
        </w:rPr>
        <w:t>包装</w:t>
      </w:r>
      <w:r>
        <w:rPr>
          <w:rFonts w:hint="eastAsia" w:ascii="宋体" w:hAnsi="宋体" w:eastAsia="宋体" w:cs="宋体"/>
          <w:sz w:val="28"/>
          <w:szCs w:val="28"/>
          <w:lang w:val="en-US" w:eastAsia="zh-CN"/>
        </w:rPr>
        <w:t>木箱</w:t>
      </w:r>
      <w:r>
        <w:rPr>
          <w:rFonts w:hint="eastAsia" w:hAnsi="宋体" w:cs="宋体"/>
          <w:sz w:val="28"/>
          <w:szCs w:val="28"/>
          <w:lang w:val="en-US" w:eastAsia="zh-CN"/>
        </w:rPr>
        <w:t>、纸板</w:t>
      </w:r>
      <w:bookmarkStart w:id="803" w:name="_GoBack"/>
      <w:bookmarkEnd w:id="803"/>
      <w:r>
        <w:rPr>
          <w:rFonts w:hint="eastAsia" w:ascii="宋体" w:hAnsi="宋体" w:eastAsia="宋体" w:cs="宋体"/>
          <w:sz w:val="28"/>
          <w:szCs w:val="28"/>
        </w:rPr>
        <w:t>为可燃物，若不严格执行消防安全管理制度，加强火源管理，严格动火作业，包装材料遇火源会发生燃烧。</w:t>
      </w:r>
    </w:p>
    <w:p w14:paraId="28AB36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生产过程中还可能发生电气火灾，电气设备或电气线路发生短路、接触不良、严重过载、散热失效、接地及漏电、机械故障、电压波动太大的情况下可能使温度升高，发生电气火灾，另外，正常工作或正常操作过程中以及事故状态下产生的电火花可能使可燃物发生燃烧</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引起火灾</w:t>
      </w:r>
      <w:r>
        <w:rPr>
          <w:rFonts w:hint="eastAsia" w:ascii="宋体" w:hAnsi="宋体" w:eastAsia="宋体" w:cs="宋体"/>
          <w:sz w:val="28"/>
          <w:szCs w:val="28"/>
        </w:rPr>
        <w:t>。</w:t>
      </w:r>
    </w:p>
    <w:p w14:paraId="7B8EF97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电气火灾</w:t>
      </w:r>
    </w:p>
    <w:p w14:paraId="5D437F5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一般电气火灾大多数皆因电气线路发生火灾造成，下面主要对造成电气线路发生短路的主要原因进行分析：</w:t>
      </w:r>
    </w:p>
    <w:p w14:paraId="10E6C61F">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电气线路中的导线由于各种原因造成相线与相线，相线与零线(地线)的连接，在回路中引起电流的瞬间骤然增大的现象叫短路。</w:t>
      </w:r>
    </w:p>
    <w:p w14:paraId="050164E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短路时由于电阻突然减小则电流将突然增大。因此，线路短路时在极短的时间内会发出很大的热量，这个热量不仅能使绝缘层燃烧而且能使金属熔化，引起邻近的易燃、可燃物质燃烧，从而造成火灾。</w:t>
      </w:r>
    </w:p>
    <w:p w14:paraId="6435F72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发生短路的主要原因有：</w:t>
      </w:r>
    </w:p>
    <w:p w14:paraId="61FA704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（1）使用绝缘电线、电缆时，没有按具体环境选用，使绝缘受高温、潮湿或腐蚀等作用，失去了绝缘能力；</w:t>
      </w:r>
    </w:p>
    <w:p w14:paraId="40126A7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（2）线路年久失修，绝缘层陈旧老化或受损，使线芯裸露；</w:t>
      </w:r>
    </w:p>
    <w:p w14:paraId="0F52F76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（3）电源过电压，使电线绝缘被击穿；</w:t>
      </w:r>
    </w:p>
    <w:p w14:paraId="32744D9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（4）安装、修理人员接错线路，或带电作业时造成人为碰线短路；</w:t>
      </w:r>
    </w:p>
    <w:p w14:paraId="1DC37BD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（5）裸电线安装位置不当，导电物体碰在电线上；线路上有金属物件或小动物跌落，发生电线之间的跨接；</w:t>
      </w:r>
    </w:p>
    <w:p w14:paraId="05EE0FA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（6）架空线路电线间距太小，档距过大，电线松弛，有可能发生两线相碰；架空电线与建筑物、树木距离太近，使电线与建筑物或树木接触；</w:t>
      </w:r>
    </w:p>
    <w:p w14:paraId="5B03348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（7）电线机械强度不够，导致电线断落接触大地，或断落在另一根电线上；</w:t>
      </w:r>
    </w:p>
    <w:p w14:paraId="7958545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（8）临时用电管理不善，维护不当造成过载、短路；</w:t>
      </w:r>
    </w:p>
    <w:p w14:paraId="2E1E7AE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（9）高压架空线路的绝缘子耐压程度过低，引起线路的对地短路。</w:t>
      </w:r>
    </w:p>
    <w:p w14:paraId="714F006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2.公司原材料、产成品运输车辆</w:t>
      </w:r>
      <w:r>
        <w:rPr>
          <w:rFonts w:hint="eastAsia" w:ascii="宋体" w:hAnsi="宋体" w:eastAsia="宋体" w:cs="宋体"/>
          <w:color w:val="000000" w:themeColor="text1"/>
          <w:spacing w:val="8"/>
          <w:sz w:val="28"/>
          <w:szCs w:val="28"/>
          <w14:textFill>
            <w14:solidFill>
              <w14:schemeClr w14:val="tx1"/>
            </w14:solidFill>
          </w14:textFill>
        </w:rPr>
        <w:t>使用的柴油，若发生泄露，遇到点火源，也可能发生火灾事故。</w:t>
      </w:r>
    </w:p>
    <w:p w14:paraId="3C26CA77">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06" w:name="_Toc21829"/>
      <w:bookmarkStart w:id="307" w:name="_Toc17724"/>
      <w:bookmarkStart w:id="308" w:name="_Toc2028"/>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3.6.2容器爆炸危险性分析</w:t>
      </w:r>
      <w:bookmarkEnd w:id="306"/>
      <w:bookmarkEnd w:id="307"/>
      <w:bookmarkEnd w:id="308"/>
    </w:p>
    <w:p w14:paraId="7561EDE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该项目可能发生容器爆炸的设备有空压机、储气罐，引发事故的原因主要有：</w:t>
      </w:r>
    </w:p>
    <w:p w14:paraId="475B97C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设计缺陷，如压力容器、设备材质不合理、耐压强度不足，抗震设防不足、安全附件不齐全或安全阀泄放能力不足等；</w:t>
      </w:r>
    </w:p>
    <w:p w14:paraId="631C288F">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制造缺陷，如制造单位不具备相应资质或质量不合格，特别是焊接质量差；</w:t>
      </w:r>
    </w:p>
    <w:p w14:paraId="2FB7B93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施工、安装缺陷，如施工、安装单位不具备相应资质，未严格按设计要求施工，施工质量差，未进行耐压试验等；</w:t>
      </w:r>
    </w:p>
    <w:p w14:paraId="30C5EC4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压力容器、设备长期使用后未按规定检修期进行检修、质量检测，或检修质量差造成强度下降；</w:t>
      </w:r>
    </w:p>
    <w:p w14:paraId="0973C19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超过年限使用压力容器、设备；</w:t>
      </w:r>
    </w:p>
    <w:p w14:paraId="1AC0FC3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未定时排水，导致储罐超压，引起超压爆炸；</w:t>
      </w:r>
    </w:p>
    <w:p w14:paraId="054475B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压力容器、设备因腐蚀而使壁厚减薄，继续运行而强度不足；</w:t>
      </w:r>
    </w:p>
    <w:p w14:paraId="04FADD9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8</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设备上安装的安全附件不全或失效，引起爆炸事故；</w:t>
      </w:r>
    </w:p>
    <w:p w14:paraId="1D7017F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9</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周围建筑、设备、设施起火或自身附件起火，使压力容器设备储罐受热，导致储罐发生物理爆炸。</w:t>
      </w:r>
    </w:p>
    <w:p w14:paraId="0CA84AFD">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09" w:name="_Toc9776"/>
      <w:bookmarkStart w:id="310" w:name="_Toc18104"/>
      <w:bookmarkStart w:id="311" w:name="_Toc10262"/>
      <w:bookmarkStart w:id="312" w:name="_Toc8287"/>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3.6.3机械伤害危险性分析</w:t>
      </w:r>
      <w:bookmarkEnd w:id="309"/>
      <w:bookmarkEnd w:id="310"/>
      <w:bookmarkEnd w:id="311"/>
      <w:bookmarkEnd w:id="312"/>
    </w:p>
    <w:p w14:paraId="621CA41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机械伤害指机械设备运动（静止）部件、工具直接与人体接触引起的夹击、碰撞、剪切、卷入、绞、碾、割、刺等伤害。当作业人员身体部位或衣物角或头发被卷入机械中，如无紧急停车装置或设备高速运转，人体很可能迅速被卷入设备，造成人员伤亡。</w:t>
      </w:r>
    </w:p>
    <w:p w14:paraId="03B52F4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该项目在正常生产过程中，使用的机械设备</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如果传动部位没有可靠的安全防护装置，或设备有缺陷，违章作业等，易发生作业人员被切、绞、轧、挤、压、撞击等事故。在事故及检修等特殊情况下，也存在机械伤害的可能性。可能因为机械设备零、部件做旋转运动、直线运动等造成机械伤害，可能发生机械伤害的原因分析如下：</w:t>
      </w:r>
    </w:p>
    <w:p w14:paraId="40D9F17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无防护：如无防护罩、安全保护装置、报警装置、安全警示标志、护栏等安全防护措施或防护措施失；</w:t>
      </w:r>
    </w:p>
    <w:p w14:paraId="1447023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防护不当：如防护罩未在适当位置，防护装置调整不当，安全距离不够等；</w:t>
      </w:r>
    </w:p>
    <w:p w14:paraId="6C4197E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机械设备设施存在缺陷：如设计不合理，结构不符合安全要求，制动装置有缺陷，安全间距不够，设备上有锋利倒棱等；</w:t>
      </w:r>
    </w:p>
    <w:p w14:paraId="2DF937A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人员违章作业或操作失误造成机械伤害；</w:t>
      </w:r>
    </w:p>
    <w:p w14:paraId="29600D2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人员不按规定穿戴劳动保护用品；</w:t>
      </w:r>
    </w:p>
    <w:p w14:paraId="64FFC59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机械强度不够：如联轴器连接螺栓强度不够等；</w:t>
      </w:r>
    </w:p>
    <w:p w14:paraId="76D9BE6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设备带“病”运转，超负荷运转等；</w:t>
      </w:r>
    </w:p>
    <w:p w14:paraId="5BC4D73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8</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在停车检修时，机器突然被误启动。</w:t>
      </w:r>
    </w:p>
    <w:p w14:paraId="5EF1D95A">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13" w:name="_Toc27502"/>
      <w:bookmarkStart w:id="314" w:name="_Toc26865"/>
      <w:bookmarkStart w:id="315" w:name="_Toc24951"/>
      <w:bookmarkStart w:id="316" w:name="_Toc1676"/>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3.6.4高处坠落危险性分析</w:t>
      </w:r>
      <w:bookmarkEnd w:id="313"/>
      <w:bookmarkEnd w:id="314"/>
      <w:bookmarkEnd w:id="315"/>
      <w:bookmarkEnd w:id="316"/>
    </w:p>
    <w:p w14:paraId="757A81C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bookmarkStart w:id="317" w:name="_Toc45511300"/>
      <w:bookmarkStart w:id="318" w:name="_Toc45700536"/>
      <w:bookmarkStart w:id="319" w:name="_Toc45703696"/>
      <w:bookmarkStart w:id="320" w:name="_Toc60128294"/>
      <w:bookmarkStart w:id="321" w:name="_Toc120607114"/>
      <w:bookmarkStart w:id="322" w:name="_Toc45677439"/>
      <w:bookmarkStart w:id="323" w:name="_Toc45510934"/>
      <w:r>
        <w:rPr>
          <w:rFonts w:hint="eastAsia" w:ascii="宋体" w:hAnsi="宋体" w:eastAsia="宋体" w:cs="宋体"/>
          <w:color w:val="000000" w:themeColor="text1"/>
          <w:spacing w:val="8"/>
          <w:sz w:val="28"/>
          <w:szCs w:val="28"/>
          <w14:textFill>
            <w14:solidFill>
              <w14:schemeClr w14:val="tx1"/>
            </w14:solidFill>
          </w14:textFill>
        </w:rPr>
        <w:t>在本项目中，凡在距离基准面垂直距离为2m以上的作业平台、巡视通道、楼梯等，在检修及巡视这些设备设施过程中，可能因下述原因，造成高处坠落。造成高处坠落事故的主要因素为：</w:t>
      </w:r>
    </w:p>
    <w:p w14:paraId="28D3046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高处平台等处无安全防护栏等防护设施，或安全防护设施安装高度、承载力等不符合要求；</w:t>
      </w:r>
    </w:p>
    <w:p w14:paraId="0383F3D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高处作业时没有按要求佩戴安全带（绳）、安全帽或采取其他有效的安全保护措施；</w:t>
      </w:r>
    </w:p>
    <w:p w14:paraId="4802670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高处作业立足处不是平面或只有很小的平面，致使作业者无法维持正常姿势；</w:t>
      </w:r>
    </w:p>
    <w:p w14:paraId="4C2E8C8E">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作业人员在高处进行作业时违章作业；</w:t>
      </w:r>
    </w:p>
    <w:p w14:paraId="1005D3F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作业人员疏忽大意，疲劳过度或酒后作业；</w:t>
      </w:r>
    </w:p>
    <w:p w14:paraId="226C061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在进行高处作业时，安全管理不到位；</w:t>
      </w:r>
    </w:p>
    <w:p w14:paraId="438CF1AE">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在雷暴雨、浓雾、六级以上大风等恶劣天气进行室外高处作业。</w:t>
      </w:r>
    </w:p>
    <w:p w14:paraId="2DD8F996">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24" w:name="_Toc7357"/>
      <w:bookmarkStart w:id="325" w:name="_Toc22751"/>
      <w:bookmarkStart w:id="326" w:name="_Toc13798"/>
      <w:bookmarkStart w:id="327" w:name="_Toc672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3.6.5触电事故危险性素分析</w:t>
      </w:r>
      <w:bookmarkEnd w:id="324"/>
      <w:bookmarkEnd w:id="325"/>
      <w:bookmarkEnd w:id="326"/>
      <w:bookmarkEnd w:id="327"/>
    </w:p>
    <w:p w14:paraId="6EE0CF4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触电事故是指人体直接、间接和跨步电压触电（电击、电伤）所造成的伤害。该项目设置</w:t>
      </w:r>
      <w:r>
        <w:rPr>
          <w:rFonts w:hint="eastAsia" w:ascii="宋体" w:hAnsi="宋体" w:eastAsia="宋体" w:cs="宋体"/>
          <w:color w:val="000000" w:themeColor="text1"/>
          <w:spacing w:val="8"/>
          <w:sz w:val="28"/>
          <w:szCs w:val="28"/>
          <w:lang w:val="en-US" w:eastAsia="zh-CN"/>
          <w14:textFill>
            <w14:solidFill>
              <w14:schemeClr w14:val="tx1"/>
            </w14:solidFill>
          </w14:textFill>
        </w:rPr>
        <w:t>了</w:t>
      </w:r>
      <w:r>
        <w:rPr>
          <w:rFonts w:hint="eastAsia" w:ascii="宋体" w:hAnsi="宋体" w:eastAsia="宋体" w:cs="宋体"/>
          <w:color w:val="000000" w:themeColor="text1"/>
          <w:spacing w:val="8"/>
          <w:sz w:val="28"/>
          <w:szCs w:val="28"/>
          <w14:textFill>
            <w14:solidFill>
              <w14:schemeClr w14:val="tx1"/>
            </w14:solidFill>
          </w14:textFill>
        </w:rPr>
        <w:t>配电</w:t>
      </w:r>
      <w:r>
        <w:rPr>
          <w:rFonts w:hint="eastAsia" w:ascii="宋体" w:hAnsi="宋体" w:eastAsia="宋体" w:cs="宋体"/>
          <w:color w:val="000000" w:themeColor="text1"/>
          <w:spacing w:val="8"/>
          <w:sz w:val="28"/>
          <w:szCs w:val="28"/>
          <w:lang w:val="en-US" w:eastAsia="zh-CN"/>
          <w14:textFill>
            <w14:solidFill>
              <w14:schemeClr w14:val="tx1"/>
            </w14:solidFill>
          </w14:textFill>
        </w:rPr>
        <w:t>柜</w:t>
      </w:r>
      <w:r>
        <w:rPr>
          <w:rFonts w:hint="eastAsia" w:ascii="宋体" w:hAnsi="宋体" w:eastAsia="宋体" w:cs="宋体"/>
          <w:color w:val="000000" w:themeColor="text1"/>
          <w:spacing w:val="8"/>
          <w:sz w:val="28"/>
          <w:szCs w:val="28"/>
          <w14:textFill>
            <w14:solidFill>
              <w14:schemeClr w14:val="tx1"/>
            </w14:solidFill>
          </w14:textFill>
        </w:rPr>
        <w:t>、现场控制柜及各种电气设备（如变压器、电缆、开关、闸刀、插座）、用电设备，这些电器设备漏电易引发触电伤害事故，另外自动控制系统也可能引发触电事故。造成触电事故的主要因素：</w:t>
      </w:r>
    </w:p>
    <w:p w14:paraId="40E7C52F">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未办理操作票或不执行监护制度，不使用或使用不合格的绝缘工具和电器工具；</w:t>
      </w:r>
    </w:p>
    <w:p w14:paraId="454DD11A">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所有电器设备没有接零或接地保护；</w:t>
      </w:r>
    </w:p>
    <w:p w14:paraId="0002A744">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线路或电气设备工作完毕，未办理工作终结手续就对停电设备恢复送电；</w:t>
      </w:r>
    </w:p>
    <w:p w14:paraId="5687B253">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在带电设备附近作业，不符合安全间距或无监护措施；</w:t>
      </w:r>
    </w:p>
    <w:p w14:paraId="0B0145EA">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配电箱不符合安全要求；</w:t>
      </w:r>
    </w:p>
    <w:p w14:paraId="79E5D60F">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倒闸操作不核对设备名称、编号、位置状态；</w:t>
      </w:r>
    </w:p>
    <w:p w14:paraId="01F22009">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跨越安全围栏或超越安全警戒线；工作人员误碰带电设备；以及在带电设备附近使用钢卷尺等测量工具或携带金属超高物体在带电设备下行走；</w:t>
      </w:r>
    </w:p>
    <w:p w14:paraId="491EA77A">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私拉、乱拉电线；</w:t>
      </w:r>
    </w:p>
    <w:p w14:paraId="3C97EBF6">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用电保护系统失灵；</w:t>
      </w:r>
    </w:p>
    <w:p w14:paraId="1D01DA6D">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设备线路短路，机壳带电；</w:t>
      </w:r>
    </w:p>
    <w:p w14:paraId="6EA8A5A8">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在电缆沟、夹层或金属容器内工作不使用安全电压行灯照明；</w:t>
      </w:r>
    </w:p>
    <w:p w14:paraId="540EADC7">
      <w:pPr>
        <w:numPr>
          <w:ilvl w:val="0"/>
          <w:numId w:val="5"/>
        </w:num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在潮湿地区、金属容器内工作不穿绝缘鞋，无绝缘垫、无监护人等。</w:t>
      </w:r>
    </w:p>
    <w:p w14:paraId="4765AF05">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28" w:name="_Toc20134"/>
      <w:bookmarkStart w:id="329" w:name="_Toc19953"/>
      <w:bookmarkStart w:id="330" w:name="_Toc6569"/>
      <w:bookmarkStart w:id="331" w:name="_Toc146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3.6.6物体打击危险性分析</w:t>
      </w:r>
      <w:bookmarkEnd w:id="328"/>
      <w:bookmarkEnd w:id="329"/>
      <w:bookmarkEnd w:id="330"/>
      <w:bookmarkEnd w:id="331"/>
    </w:p>
    <w:p w14:paraId="10D476B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物体打击，是指物体在重力或其他外力的作用下产生运动，打击人体造成人身伤亡事故。对其导致物体打击的主要原因分析如下：</w:t>
      </w:r>
    </w:p>
    <w:p w14:paraId="3D6C72B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若高处的防护栏、安全盖板等安全设施缺失，在生产过程中、对设备进行维护和检修过程中，在高处的工具和材料从高处跌落，或人为向下抛掷物件，均易造成对人员的物体打击伤害。</w:t>
      </w:r>
    </w:p>
    <w:p w14:paraId="7D08301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物料、物件摆放不稳，倾覆，也会对人体造成物体打击，造成人员伤亡事故。</w:t>
      </w:r>
    </w:p>
    <w:p w14:paraId="195E142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如果在高空平台、通道上堆物或者高空装置零件破损，可能会造成物料或装置部件坠落。</w:t>
      </w:r>
    </w:p>
    <w:p w14:paraId="0F52CF8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val="en-US"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高空抛物，未划定警戒线，无人监护。</w:t>
      </w:r>
    </w:p>
    <w:p w14:paraId="3ADDB63E">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32" w:name="_Toc7275"/>
      <w:bookmarkStart w:id="333" w:name="_Toc22305"/>
      <w:bookmarkStart w:id="334" w:name="_Toc12840"/>
      <w:bookmarkStart w:id="335" w:name="_Toc12404"/>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3.6.7车辆伤害危险性分析</w:t>
      </w:r>
      <w:bookmarkEnd w:id="332"/>
      <w:bookmarkEnd w:id="333"/>
      <w:bookmarkEnd w:id="334"/>
      <w:bookmarkEnd w:id="335"/>
    </w:p>
    <w:p w14:paraId="3FCF77B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该项目中的原料及成品主要通过车辆运输</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运输量较大，运送产品的机动车辆、货物运输的车辆如没有严格的交通管理措施，可能发生造成车辆伤害。车辆伤害事故的原因是多方面的，但主要是涉及人（驾驶员、行人、装卸工）、车（机动车与非机动车）、道路环境这三个综合因素。对产生车辆伤害的主要原因分析如下：</w:t>
      </w:r>
    </w:p>
    <w:p w14:paraId="4FFAB09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违章驾车</w:t>
      </w:r>
    </w:p>
    <w:p w14:paraId="30D846E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指事故的当事人，由于思想方面的原因而导致的错误操作行为，不按有关规定行驶，扰乱正常的企业内搬运秩序，致使事故发生。如酒后驾车，疲劳驾车，非驾驶员驾车，超速行驶，争道抢行，违章超车，违章装载等原因造成的车辆伤害事故。</w:t>
      </w:r>
    </w:p>
    <w:p w14:paraId="19351D8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疏忽大意</w:t>
      </w:r>
    </w:p>
    <w:p w14:paraId="42A0CD8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指当事人由于心理或生理方面的原因，没有及时、正确的观察和判断道路情况，而造成失误，如情绪急躁、精神分散、心理烦乱、身体不适等都可能造成注意力下降，反应迟钝，表现出嘹望观察不周，遇到情况采取措施不及时或不当；也有的只凭主观想象判断情况，或过高地估计自己的经验技术，过分自信，引起操作失误导致事故。</w:t>
      </w:r>
    </w:p>
    <w:p w14:paraId="1906107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车况不良</w:t>
      </w:r>
    </w:p>
    <w:p w14:paraId="3453D9F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车辆的安全装置如转向、制动、喇叭、照明；后视镜和转向指示灯等不齐全有效；车辆维护修理不及时，带“病”行驶。</w:t>
      </w:r>
    </w:p>
    <w:p w14:paraId="35F9A20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道路环境</w:t>
      </w:r>
    </w:p>
    <w:p w14:paraId="237C013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道路条件差、因建筑物或自然环境影响造成视线不良等。</w:t>
      </w:r>
    </w:p>
    <w:p w14:paraId="404604EF">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高位原料堆场斜坡、弯道等处未设置防滑措施和挡车装置，导致车辆倒退过界，发生翻车事故。</w:t>
      </w:r>
    </w:p>
    <w:p w14:paraId="6757448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管理因素</w:t>
      </w:r>
    </w:p>
    <w:p w14:paraId="643ED4D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车辆安全行驶制度不落实，管理规章制度或操作规程不健全，非驾驶员驾车，车辆维修不及时，交通信号、标志、设施缺陷。</w:t>
      </w:r>
    </w:p>
    <w:bookmarkEnd w:id="305"/>
    <w:bookmarkEnd w:id="317"/>
    <w:bookmarkEnd w:id="318"/>
    <w:bookmarkEnd w:id="319"/>
    <w:bookmarkEnd w:id="320"/>
    <w:bookmarkEnd w:id="321"/>
    <w:bookmarkEnd w:id="322"/>
    <w:bookmarkEnd w:id="323"/>
    <w:p w14:paraId="7A5A902E">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36" w:name="_Toc31207"/>
      <w:bookmarkStart w:id="337" w:name="_Toc22876"/>
      <w:bookmarkStart w:id="338" w:name="_Toc10579"/>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3.6.8坍塌危险性分析</w:t>
      </w:r>
      <w:bookmarkEnd w:id="336"/>
      <w:bookmarkEnd w:id="337"/>
      <w:bookmarkEnd w:id="338"/>
    </w:p>
    <w:p w14:paraId="6C2D435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厂区工程地质不符合要求，会造成建成的建、构筑物坍塌；建、构筑物设计不合理，或施工质量不合格，可能造成建、构筑物坍塌。该项目车间、仓库、原料堆场等场所若堆放的原料或成品过高，堆放不整齐，未划分相应的定置管理区域，则在周围作业时会发生坍塌事故；另外若物料靠墙堆放可能会导致建筑物坍塌。若人员被物料掩埋，甚至可能发生人员伤亡事故。</w:t>
      </w:r>
    </w:p>
    <w:p w14:paraId="714439BB">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39" w:name="_Toc15047"/>
      <w:bookmarkStart w:id="340" w:name="_Toc30161"/>
      <w:bookmarkStart w:id="341" w:name="_Toc7575"/>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3.6.9 起重伤害危险性分析</w:t>
      </w:r>
      <w:bookmarkEnd w:id="339"/>
      <w:bookmarkEnd w:id="340"/>
      <w:bookmarkEnd w:id="341"/>
    </w:p>
    <w:p w14:paraId="372FB3E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起重伤害是指从事各种起重作业时发生的伤害事故。生产过程中所用到的叉车、</w:t>
      </w:r>
      <w:r>
        <w:rPr>
          <w:rFonts w:hint="eastAsia" w:ascii="宋体" w:hAnsi="宋体" w:eastAsia="宋体" w:cs="宋体"/>
          <w:color w:val="000000" w:themeColor="text1"/>
          <w:sz w:val="28"/>
          <w:szCs w:val="28"/>
          <w:lang w:val="en-US" w:eastAsia="zh-CN"/>
          <w14:textFill>
            <w14:solidFill>
              <w14:schemeClr w14:val="tx1"/>
            </w14:solidFill>
          </w14:textFill>
        </w:rPr>
        <w:t>起重机</w:t>
      </w:r>
      <w:r>
        <w:rPr>
          <w:rFonts w:hint="eastAsia" w:ascii="宋体" w:hAnsi="宋体" w:eastAsia="宋体" w:cs="宋体"/>
          <w:color w:val="000000" w:themeColor="text1"/>
          <w:sz w:val="28"/>
          <w:szCs w:val="28"/>
          <w:lang w:val="zh-CN" w:eastAsia="zh-CN"/>
          <w14:textFill>
            <w14:solidFill>
              <w14:schemeClr w14:val="tx1"/>
            </w14:solidFill>
          </w14:textFill>
        </w:rPr>
        <w:t>会因自身缺陷、操作不当、架设不牢、联系不当等原因，发生吊物坠落、撞击、挤压等伤及人身的事故。</w:t>
      </w:r>
    </w:p>
    <w:p w14:paraId="754DE37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本项目车间内设置有行车。</w:t>
      </w:r>
      <w:r>
        <w:rPr>
          <w:rFonts w:hint="eastAsia" w:ascii="宋体" w:hAnsi="宋体" w:eastAsia="宋体" w:cs="宋体"/>
          <w:color w:val="000000" w:themeColor="text1"/>
          <w:sz w:val="28"/>
          <w:szCs w:val="28"/>
          <w:lang w:val="zh-CN" w:eastAsia="zh-CN"/>
          <w14:textFill>
            <w14:solidFill>
              <w14:schemeClr w14:val="tx1"/>
            </w14:solidFill>
          </w14:textFill>
        </w:rPr>
        <w:t>发生起重伤害事故的原因主要有以下几点：</w:t>
      </w:r>
    </w:p>
    <w:p w14:paraId="4391D1F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lang w:val="zh-CN" w:eastAsia="zh-CN"/>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1.</w:t>
      </w:r>
      <w:r>
        <w:rPr>
          <w:rFonts w:hint="eastAsia" w:ascii="宋体" w:hAnsi="宋体" w:eastAsia="宋体" w:cs="宋体"/>
          <w:color w:val="000000" w:themeColor="text1"/>
          <w:spacing w:val="8"/>
          <w:sz w:val="28"/>
          <w:szCs w:val="28"/>
          <w:lang w:val="zh-CN" w:eastAsia="zh-CN"/>
          <w14:textFill>
            <w14:solidFill>
              <w14:schemeClr w14:val="tx1"/>
            </w14:solidFill>
          </w14:textFill>
        </w:rPr>
        <w:t>脱钩</w:t>
      </w:r>
    </w:p>
    <w:p w14:paraId="168E5C8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（1）起重工在吊运物体时，因现场无人指挥，吊物下降过快造成脱钩；</w:t>
      </w:r>
    </w:p>
    <w:p w14:paraId="6E803FC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lang w:val="en-US" w:eastAsia="zh-CN"/>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（2）吊运时起吊物体不稳，致使吊钩在空中悠荡，在悠荡过程中</w:t>
      </w:r>
      <w:r>
        <w:rPr>
          <w:rFonts w:hint="eastAsia" w:ascii="宋体" w:hAnsi="宋体" w:eastAsia="宋体" w:cs="宋体"/>
          <w:color w:val="000000" w:themeColor="text1"/>
          <w:spacing w:val="8"/>
          <w:sz w:val="28"/>
          <w:szCs w:val="28"/>
          <w:lang w:val="en-US" w:eastAsia="zh-CN"/>
          <w14:textFill>
            <w14:solidFill>
              <w14:schemeClr w14:val="tx1"/>
            </w14:solidFill>
          </w14:textFill>
        </w:rPr>
        <w:t>钩头由于离心惯性力甩出而引起脱钩；</w:t>
      </w:r>
    </w:p>
    <w:p w14:paraId="491B402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lang w:val="en-US" w:eastAsia="zh-CN"/>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（3）行车因操作不稳，紧急起动、制动可能引起钩头惯性飞出；</w:t>
      </w:r>
    </w:p>
    <w:p w14:paraId="5C525B2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lang w:val="en-US" w:eastAsia="zh-CN"/>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（4）具有主、副钩头的行车吊运重物时，当另一不用钩头挂在吊索的小圈上时，因钩头粗不容易插牢在圈环内，在操作和振动、摆动时，由于离心惯性力的作用，而引起钩头脱出坠落伤人。</w:t>
      </w:r>
    </w:p>
    <w:p w14:paraId="3E42D46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zh-CN" w:eastAsia="zh-CN"/>
          <w14:textFill>
            <w14:solidFill>
              <w14:schemeClr w14:val="tx1"/>
            </w14:solidFill>
          </w14:textFill>
        </w:rPr>
        <w:t>钢丝绳折断</w:t>
      </w:r>
    </w:p>
    <w:p w14:paraId="38CDDC8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钢丝绳发生折断的原因很多，其主要和常见的原因是：操作前没有对钢丝绳进行安全技术检验或认真检查，对已断丝的钢丝绳没有按钢丝绳报废标准处理或降低负荷使用，吊运作业时严重超负荷等。</w:t>
      </w:r>
    </w:p>
    <w:p w14:paraId="36D064B3">
      <w:pPr>
        <w:numPr>
          <w:ilvl w:val="0"/>
          <w:numId w:val="0"/>
        </w:numPr>
        <w:snapToGrid w:val="0"/>
        <w:spacing w:line="500" w:lineRule="exact"/>
        <w:ind w:left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安全防护装置缺乏或失灵</w:t>
      </w:r>
    </w:p>
    <w:p w14:paraId="048CC16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起重机械的安全装置（制动器、缓冲器、行程限位器、起重量限制器、防护罩等）是各类起重机不可缺少的安全防护装置，当安全装置缺乏或失灵又未检修时，因操作不慎和超负荷等原因，将发生翻车、碰撞、钢丝绳折断等事故。起重机械上的齿轮和传动轴，没有设置安全罩或其它安全设施，会将人的衣服卷入。</w:t>
      </w:r>
    </w:p>
    <w:p w14:paraId="79F1348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lang w:val="zh-CN" w:eastAsia="zh-CN"/>
          <w14:textFill>
            <w14:solidFill>
              <w14:schemeClr w14:val="tx1"/>
            </w14:solidFill>
          </w14:textFill>
        </w:rPr>
        <w:t>吊物坠落</w:t>
      </w:r>
    </w:p>
    <w:p w14:paraId="4DE934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起重机吊运物体时，由于其他原因，物体突然坠落，将地面的人员砸伤，造成严重人员伤亡事故，因为坠落的重物一般都是击中人的头部（立姿）或腰部（蹲姿）。</w:t>
      </w:r>
    </w:p>
    <w:p w14:paraId="4AE9EBD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lang w:val="zh-CN" w:eastAsia="zh-CN"/>
          <w14:textFill>
            <w14:solidFill>
              <w14:schemeClr w14:val="tx1"/>
            </w14:solidFill>
          </w14:textFill>
        </w:rPr>
        <w:t>碰撞致伤</w:t>
      </w:r>
    </w:p>
    <w:p w14:paraId="097A203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物体在吊运中，因碰撞或刹车等原因，使吊件在空中悠荡，吊件撞倒设备或积物而引起事故。</w:t>
      </w:r>
    </w:p>
    <w:p w14:paraId="38895F5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6.</w:t>
      </w:r>
      <w:r>
        <w:rPr>
          <w:rFonts w:hint="eastAsia" w:ascii="宋体" w:hAnsi="宋体" w:eastAsia="宋体" w:cs="宋体"/>
          <w:color w:val="000000" w:themeColor="text1"/>
          <w:sz w:val="28"/>
          <w:szCs w:val="28"/>
          <w:lang w:val="zh-CN" w:eastAsia="zh-CN"/>
          <w14:textFill>
            <w14:solidFill>
              <w14:schemeClr w14:val="tx1"/>
            </w14:solidFill>
          </w14:textFill>
        </w:rPr>
        <w:t>指挥信号不明或乱指挥</w:t>
      </w:r>
    </w:p>
    <w:p w14:paraId="566C680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现场起吊时，指挥者乱指挥或指挥信号不明，易使现场起重人员产生错误判断或错误操作，尤其当几台起重设备在同一场所操作时，因各自的指挥信号不同引起的错误操作往往会产生严重后果。</w:t>
      </w:r>
    </w:p>
    <w:p w14:paraId="0FEB3B4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工件紧固不牢</w:t>
      </w:r>
    </w:p>
    <w:p w14:paraId="41319A1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当起吊散装金属物体或工件时，若没有捆扎牢固，吊运或搬运过程中零星小件会脱落坠下，极易伤人</w:t>
      </w:r>
      <w:r>
        <w:rPr>
          <w:rFonts w:hint="eastAsia" w:ascii="宋体" w:hAnsi="宋体" w:eastAsia="宋体" w:cs="宋体"/>
          <w:sz w:val="28"/>
          <w:szCs w:val="28"/>
          <w:lang w:eastAsia="zh-CN"/>
        </w:rPr>
        <w:t>。</w:t>
      </w:r>
    </w:p>
    <w:p w14:paraId="2AFE047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8．光线阴暗看不清物体</w:t>
      </w:r>
    </w:p>
    <w:p w14:paraId="6DFDBC4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如起重现场粉尘大，能见度差，晚间光线太暗或眩目刺眼，看不清物体和周围障碍物，可能导致指挥或操作失误而造成起重伤害事故的发生。</w:t>
      </w:r>
    </w:p>
    <w:p w14:paraId="3A2C6CA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9．起重设备带病运转</w:t>
      </w:r>
    </w:p>
    <w:p w14:paraId="5550DE2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起重设备带病运转，未定期进行检测检验或检测检验不合格，使用这类起重设备作业时极易导致设备和人身事故的发生。</w:t>
      </w:r>
    </w:p>
    <w:p w14:paraId="1A67E48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10．开车前未发开车信号</w:t>
      </w:r>
    </w:p>
    <w:p w14:paraId="1EB5C3E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起重设备在开车前未预先发出开车信号，而导致起重伤害事故的发生。</w:t>
      </w:r>
    </w:p>
    <w:p w14:paraId="3E29B17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11．人为事故因素</w:t>
      </w:r>
    </w:p>
    <w:p w14:paraId="7D891D1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起重机械作业人员在操作时违规操作或作业人员未经专业技术培训取得相应的资证持证上岗，不具备操作的技能和安全知识，导致起重伤害事故的发生。</w:t>
      </w:r>
    </w:p>
    <w:p w14:paraId="0097B81F">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42" w:name="_Toc9495"/>
      <w:bookmarkStart w:id="343" w:name="_Toc3634"/>
      <w:bookmarkStart w:id="344" w:name="_Toc14933"/>
      <w:bookmarkStart w:id="345" w:name="_Toc1257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3.6.10静电、雷电危险性分析</w:t>
      </w:r>
      <w:bookmarkEnd w:id="342"/>
      <w:bookmarkEnd w:id="343"/>
      <w:bookmarkEnd w:id="344"/>
    </w:p>
    <w:p w14:paraId="176BE98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静电危害</w:t>
      </w:r>
    </w:p>
    <w:p w14:paraId="107D338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生产过程中，在配电</w:t>
      </w:r>
      <w:r>
        <w:rPr>
          <w:rFonts w:hint="eastAsia" w:ascii="宋体" w:hAnsi="宋体" w:eastAsia="宋体" w:cs="宋体"/>
          <w:color w:val="000000" w:themeColor="text1"/>
          <w:spacing w:val="8"/>
          <w:sz w:val="28"/>
          <w:szCs w:val="28"/>
          <w:lang w:val="en-US" w:eastAsia="zh-CN"/>
          <w14:textFill>
            <w14:solidFill>
              <w14:schemeClr w14:val="tx1"/>
            </w14:solidFill>
          </w14:textFill>
        </w:rPr>
        <w:t>柜</w:t>
      </w:r>
      <w:r>
        <w:rPr>
          <w:rFonts w:hint="eastAsia" w:ascii="宋体" w:hAnsi="宋体" w:eastAsia="宋体" w:cs="宋体"/>
          <w:color w:val="000000" w:themeColor="text1"/>
          <w:spacing w:val="8"/>
          <w:sz w:val="28"/>
          <w:szCs w:val="28"/>
          <w14:textFill>
            <w14:solidFill>
              <w14:schemeClr w14:val="tx1"/>
            </w14:solidFill>
          </w14:textFill>
        </w:rPr>
        <w:t>、厂房等有弱电、强电操作的环境处，都可能会出现静电放电和雷电放电现象，均可成为引起燃烧的点火源，导致火灾或其他因控制失灵产生的事故。</w:t>
      </w:r>
    </w:p>
    <w:p w14:paraId="32D04B9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雷电的危害</w:t>
      </w:r>
    </w:p>
    <w:p w14:paraId="3E22908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雷电的破坏作用主要为三种：直接雷击破坏、感应雷破坏和雷电波侵入破坏。</w:t>
      </w:r>
    </w:p>
    <w:p w14:paraId="429720C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（1）直接雷击破坏</w:t>
      </w:r>
    </w:p>
    <w:p w14:paraId="21B2E84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lang w:eastAsia="zh-CN"/>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当雷电直接击在建筑物上，强大的雷电流使建 (构) 筑物水分受热汽化膨胀，从而产生很大的机械力，导致建筑物燃烧或爆炸。另外，当雷电击中接闪器，电流沿引下线向大地泻放时，这时对地电位升高，有可能向临近的物体跳击，称为雷电“反击”，从而造成火灾或人身伤亡</w:t>
      </w:r>
      <w:r>
        <w:rPr>
          <w:rFonts w:hint="eastAsia" w:ascii="宋体" w:hAnsi="宋体" w:eastAsia="宋体" w:cs="宋体"/>
          <w:color w:val="000000" w:themeColor="text1"/>
          <w:spacing w:val="8"/>
          <w:sz w:val="28"/>
          <w:szCs w:val="28"/>
          <w:lang w:eastAsia="zh-CN"/>
          <w14:textFill>
            <w14:solidFill>
              <w14:schemeClr w14:val="tx1"/>
            </w14:solidFill>
          </w14:textFill>
        </w:rPr>
        <w:t>。</w:t>
      </w:r>
    </w:p>
    <w:p w14:paraId="500F7E0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（2）感应雷破坏</w:t>
      </w:r>
    </w:p>
    <w:p w14:paraId="1A0E023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感应雷破坏也称为二次破坏。由于雷电流变化梯度很大，会产生强大的交变磁场，使得周围的金属构件产生感应电流，这种电流可能向周围物体放电，如附近有可燃物就会引发火灾和爆炸，而感应到正在联机的导线上就会对设备产生强烈的破坏性。</w:t>
      </w:r>
    </w:p>
    <w:p w14:paraId="5ECCC11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（3）雷电波侵入破坏</w:t>
      </w:r>
    </w:p>
    <w:p w14:paraId="1B8B2B4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当雷电接近架空管线时，高压冲击波会沿架空管线侵入室内，造成高电流引入，这样可能引起设备损坏或人身伤亡事故。如果附近有可燃物，容易酿成火灾。</w:t>
      </w:r>
    </w:p>
    <w:p w14:paraId="787A955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当遇到雷雨天气时，全厂各建、构筑物、设备、管道和人员均可能受到雷击伤害。</w:t>
      </w:r>
    </w:p>
    <w:bookmarkEnd w:id="345"/>
    <w:p w14:paraId="404C74E0">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46" w:name="_Toc19873"/>
      <w:bookmarkStart w:id="347" w:name="_Toc19695"/>
      <w:bookmarkStart w:id="348" w:name="_Toc19098"/>
      <w:bookmarkStart w:id="349" w:name="_Toc772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3.6.11其他伤害危险性分析</w:t>
      </w:r>
      <w:bookmarkEnd w:id="346"/>
      <w:bookmarkEnd w:id="347"/>
      <w:bookmarkEnd w:id="348"/>
      <w:bookmarkEnd w:id="349"/>
    </w:p>
    <w:p w14:paraId="00779A4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噪声危害</w:t>
      </w:r>
    </w:p>
    <w:p w14:paraId="106814D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噪声就是各种不同频率和强度的声音，呈无规律的杂乱组合，其波形呈无规则变化，听起来使人感到厌烦或音量过强而危害人体健康的声音。可分为：机械噪声、空气动力性噪声和电磁噪声。该项目产生的噪声主要是由空压机运行发出的声音，其次是电磁噪声。</w:t>
      </w:r>
    </w:p>
    <w:p w14:paraId="2EC43A3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噪声能引起听觉功能敏感度下降甚至造成耳聋，或引起神经衰弱心血管疾病及消化系统等疾病的高发，使误操作率上升。其主要危害是对听力系统的损害，强噪声作用下，可导致永久性听力下降，内耳感音细胞遭损伤，引起噪声性耳聋。引发噪声危害的原因主要有：</w:t>
      </w:r>
    </w:p>
    <w:p w14:paraId="2AD76ED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（1）机械设备运转不正常，造成噪声超标；</w:t>
      </w:r>
    </w:p>
    <w:p w14:paraId="0B313B7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（2）工作环境中噪声超标；</w:t>
      </w:r>
    </w:p>
    <w:p w14:paraId="2D11FC1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（3）人员未采取防护措施或防护措施失效；</w:t>
      </w:r>
    </w:p>
    <w:p w14:paraId="32EAB66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（4）高噪声设备未采取隔声、消声、吸声、隔振等安全措施；</w:t>
      </w:r>
    </w:p>
    <w:p w14:paraId="0DB8C74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（5）人员长时间在噪声环境中劳动；</w:t>
      </w:r>
    </w:p>
    <w:p w14:paraId="4E4B7C9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（6）安全资金投入不足、安全教育培训不够、个体防护不到位等。</w:t>
      </w:r>
    </w:p>
    <w:p w14:paraId="03108DE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bookmarkStart w:id="350" w:name="_Toc4617"/>
      <w:bookmarkStart w:id="351" w:name="_Toc10588"/>
      <w:r>
        <w:rPr>
          <w:rFonts w:hint="eastAsia" w:ascii="宋体" w:hAnsi="宋体" w:eastAsia="宋体" w:cs="宋体"/>
          <w:color w:val="000000" w:themeColor="text1"/>
          <w:spacing w:val="8"/>
          <w:sz w:val="28"/>
          <w:szCs w:val="28"/>
          <w:lang w:val="en-US" w:eastAsia="zh-CN"/>
          <w14:textFill>
            <w14:solidFill>
              <w14:schemeClr w14:val="tx1"/>
            </w14:solidFill>
          </w14:textFill>
        </w:rPr>
        <w:t>2.</w:t>
      </w:r>
      <w:r>
        <w:rPr>
          <w:rFonts w:hint="eastAsia" w:ascii="宋体" w:hAnsi="宋体" w:eastAsia="宋体" w:cs="宋体"/>
          <w:color w:val="000000" w:themeColor="text1"/>
          <w:spacing w:val="8"/>
          <w:sz w:val="28"/>
          <w:szCs w:val="28"/>
          <w14:textFill>
            <w14:solidFill>
              <w14:schemeClr w14:val="tx1"/>
            </w14:solidFill>
          </w14:textFill>
        </w:rPr>
        <w:t>其它</w:t>
      </w:r>
      <w:bookmarkEnd w:id="350"/>
      <w:bookmarkEnd w:id="351"/>
    </w:p>
    <w:p w14:paraId="46C26CE0">
      <w:pPr>
        <w:adjustRightInd w:val="0"/>
        <w:snapToGrid w:val="0"/>
        <w:spacing w:line="500" w:lineRule="exact"/>
        <w:ind w:firstLine="560" w:firstLineChars="200"/>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本项目在生产过程中，还存在着其它危险、有害因素，例如地震等自然灾害。其主要危险性如下：</w:t>
      </w:r>
    </w:p>
    <w:p w14:paraId="4CEF991E">
      <w:pPr>
        <w:adjustRightInd w:val="0"/>
        <w:snapToGrid w:val="0"/>
        <w:spacing w:line="500" w:lineRule="exact"/>
        <w:ind w:firstLine="560" w:firstLineChars="200"/>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地震是一种自然灾害，是不可抗拒的，甚至是毁灭性的因素。其对人造成伤亡或对建筑物及设备造成突发损害的因素；有害因素直接或间接影响人的身体健康，导致疾病或对建筑物和设备、环境造成损害的因素；</w:t>
      </w:r>
    </w:p>
    <w:p w14:paraId="383FB032">
      <w:pPr>
        <w:adjustRightInd w:val="0"/>
        <w:snapToGrid w:val="0"/>
        <w:spacing w:line="500" w:lineRule="exact"/>
        <w:ind w:firstLine="560" w:firstLineChars="200"/>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（2）不良地质：由于地质构造、岩浆活动等地质异常活动现象，易产生地震自然灾害；</w:t>
      </w:r>
    </w:p>
    <w:p w14:paraId="43EB98C8">
      <w:pPr>
        <w:adjustRightInd w:val="0"/>
        <w:snapToGrid w:val="0"/>
        <w:spacing w:line="500" w:lineRule="exact"/>
        <w:ind w:firstLine="560" w:firstLineChars="200"/>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（3）气温：人体有最适宜的环境温度，当其超过一定范围时，会产生不舒服感，气温极端会使人发生中暑和冻伤；</w:t>
      </w:r>
    </w:p>
    <w:p w14:paraId="379A0B45">
      <w:pPr>
        <w:adjustRightInd w:val="0"/>
        <w:snapToGrid w:val="0"/>
        <w:spacing w:line="500" w:lineRule="exact"/>
        <w:ind w:firstLine="560" w:firstLineChars="200"/>
        <w:contextualSpacing/>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（4）其他：暴雨和洪水威胁工厂安全，其作用范围大。</w:t>
      </w:r>
    </w:p>
    <w:p w14:paraId="047A6086">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352" w:name="_Toc10634"/>
      <w:bookmarkStart w:id="353" w:name="_Toc13018"/>
      <w:bookmarkStart w:id="354" w:name="_Toc186"/>
      <w:bookmarkStart w:id="355" w:name="_Toc11502"/>
      <w:bookmarkStart w:id="356" w:name="_Toc61474425"/>
      <w:bookmarkStart w:id="357" w:name="_Toc30001402"/>
      <w:r>
        <w:rPr>
          <w:rFonts w:hint="eastAsia" w:ascii="宋体" w:hAnsi="宋体" w:eastAsia="宋体" w:cs="宋体"/>
          <w:color w:val="000000" w:themeColor="text1"/>
          <w:kern w:val="0"/>
          <w:lang w:val="en-US" w:eastAsia="zh-CN"/>
          <w14:textFill>
            <w14:solidFill>
              <w14:schemeClr w14:val="tx1"/>
            </w14:solidFill>
          </w14:textFill>
        </w:rPr>
        <w:t>3.7特殊作业危险性分析</w:t>
      </w:r>
      <w:bookmarkEnd w:id="352"/>
      <w:bookmarkEnd w:id="353"/>
      <w:bookmarkEnd w:id="354"/>
      <w:bookmarkEnd w:id="355"/>
    </w:p>
    <w:p w14:paraId="0BC63F59">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58" w:name="_Toc31820"/>
      <w:bookmarkStart w:id="359" w:name="_Toc11966"/>
      <w:bookmarkStart w:id="360" w:name="_Toc19644"/>
      <w:bookmarkStart w:id="361" w:name="_Toc1069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3.7.1临时用电作业危险、有害因素分析</w:t>
      </w:r>
      <w:bookmarkEnd w:id="358"/>
      <w:bookmarkEnd w:id="359"/>
      <w:bookmarkEnd w:id="360"/>
      <w:bookmarkEnd w:id="361"/>
    </w:p>
    <w:p w14:paraId="201C8A4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该项目在施工或检维修过程中会涉及临时用电作业，在此过程中可能因违章操作等原因而引发触电、电气火灾等危险。其引发事故主要原因分析如下：</w:t>
      </w:r>
    </w:p>
    <w:p w14:paraId="67AEE68F">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临时用电线路未设置保护开关，或使用前未检查电气装置和保护设施的可靠性或为接地。</w:t>
      </w:r>
    </w:p>
    <w:p w14:paraId="11A39D8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临时用电线路经过有高温、振动、腐蚀、积水等区域时有接头，且未采取相应的保护措施。</w:t>
      </w:r>
    </w:p>
    <w:p w14:paraId="2496715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临时用电架空线设置不规范，未采用绝缘铜芯线，且未架设在专用电杆或支架上。</w:t>
      </w:r>
    </w:p>
    <w:p w14:paraId="1C2202C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在特别潮湿的场所或罐内等金属设备内作业时，临时照明行灯的电压不符合规范要求，超过12V。</w:t>
      </w:r>
    </w:p>
    <w:p w14:paraId="0F71B70E">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用电结束后，未及时拆除临时用电线路。</w:t>
      </w:r>
    </w:p>
    <w:p w14:paraId="3BDBE990">
      <w:pPr>
        <w:adjustRightInd w:val="0"/>
        <w:snapToGrid w:val="0"/>
        <w:spacing w:line="500" w:lineRule="exact"/>
        <w:ind w:firstLine="592" w:firstLineChars="200"/>
        <w:contextualSpacing/>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作业人员未持证上岗，违章作业等其他原因。</w:t>
      </w:r>
    </w:p>
    <w:p w14:paraId="58800378">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62" w:name="_Toc28586"/>
      <w:bookmarkStart w:id="363" w:name="_Toc4657"/>
      <w:bookmarkStart w:id="364" w:name="_Toc22629"/>
      <w:bookmarkStart w:id="365" w:name="_Toc1457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3.7.2动火作业危险、有害因素分析</w:t>
      </w:r>
      <w:bookmarkEnd w:id="362"/>
      <w:bookmarkEnd w:id="363"/>
      <w:bookmarkEnd w:id="364"/>
      <w:bookmarkEnd w:id="365"/>
    </w:p>
    <w:p w14:paraId="1296E95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在进行设备检修、安装过程常常需要进行电焊、气焊（割）、电钻、砂轮等进行可能产生火焰、火花和炽热表面的动火作业。本项目中，动火作业可能造成火灾、其他爆炸、灼烫等危险。</w:t>
      </w:r>
    </w:p>
    <w:p w14:paraId="734C7E4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动火作业未办理动火安全作业证，未对动火作业存在的危险有害因素进行充分辨识，未制定相应处理措施。</w:t>
      </w:r>
    </w:p>
    <w:p w14:paraId="5F2F2F6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未配备监护人员或监护人员脱岗。</w:t>
      </w:r>
    </w:p>
    <w:p w14:paraId="4341AA5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未设警戒线，未设监护人员，未设安全警示标志。</w:t>
      </w:r>
    </w:p>
    <w:p w14:paraId="567EEAA1">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动火前未清除动火现场及周围的易燃物品，未配备足够适用的消防器材。</w:t>
      </w:r>
    </w:p>
    <w:p w14:paraId="6A9B9AD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对于涉及液压油、真空泵油等易燃物、可燃物的管路、容器等在动火前未经过隔离、清洗、置换，取样分析。</w:t>
      </w:r>
    </w:p>
    <w:p w14:paraId="78D6F4D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在有限空间动火时，未采取排风措施，有毒烟气聚集导致人员中毒。</w:t>
      </w:r>
    </w:p>
    <w:p w14:paraId="776A83AF">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使用气焊、气割动火作业时，乙炔瓶、氧气瓶使用不规范。</w:t>
      </w:r>
    </w:p>
    <w:p w14:paraId="7E849F2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8</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人员违章作业等。</w:t>
      </w:r>
    </w:p>
    <w:p w14:paraId="0A09F815">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66" w:name="_Toc30172"/>
      <w:bookmarkStart w:id="367" w:name="_Toc28723"/>
      <w:bookmarkStart w:id="368" w:name="_Toc6208"/>
      <w:bookmarkStart w:id="369" w:name="_Toc30904"/>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3.7.3高处作业危险、有害因素分析</w:t>
      </w:r>
      <w:bookmarkEnd w:id="366"/>
      <w:bookmarkEnd w:id="367"/>
      <w:bookmarkEnd w:id="368"/>
      <w:bookmarkEnd w:id="369"/>
    </w:p>
    <w:p w14:paraId="2B1F3F1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该项目在生产、运行过程中需要高处作业时，有可能发生高处坠落、物体打击等危险。其主要引发原因分析如下：</w:t>
      </w:r>
    </w:p>
    <w:p w14:paraId="638985F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作业前未办理高处作业安全作业证，未对作业存在的危险有害因素进行充分辨识，未制定相应处理措施。</w:t>
      </w:r>
    </w:p>
    <w:p w14:paraId="6CAC094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作业区未划分警戒区，未设监护人员，未设警示标志。</w:t>
      </w:r>
    </w:p>
    <w:p w14:paraId="669364E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高处作业脚手架、梯子、防护围栏等质量不良，使用前未经检查。</w:t>
      </w:r>
    </w:p>
    <w:p w14:paraId="57346FC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高处作业时作业人员未按要求佩戴安全带（绳）、疲劳过度或酒后作业、未采取安全防护措施和使用可靠的安全保护装置等。</w:t>
      </w:r>
    </w:p>
    <w:p w14:paraId="0698172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在6级以上大风、大雾天气进行高处作业。</w:t>
      </w:r>
    </w:p>
    <w:p w14:paraId="4123BAF2">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高处作业人员患有职业禁忌，如高血压、心脏病、贫血病、疲劳过度、视力不佳等。</w:t>
      </w:r>
    </w:p>
    <w:p w14:paraId="25EC367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高处作业下方未设防坠物措施，工具、零件、螺丝等坠下造成物体，高空抛物、物件设备摆放不稳，倾覆等易造成物体打击事故。</w:t>
      </w:r>
    </w:p>
    <w:p w14:paraId="68B1A4C4">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70" w:name="_Toc20771"/>
      <w:bookmarkStart w:id="371" w:name="_Toc17935"/>
      <w:bookmarkStart w:id="372" w:name="_Toc5906"/>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3.7.4吊装作业</w:t>
      </w:r>
      <w:bookmarkEnd w:id="370"/>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危险、有害因素分析</w:t>
      </w:r>
      <w:bookmarkEnd w:id="371"/>
      <w:bookmarkEnd w:id="372"/>
    </w:p>
    <w:p w14:paraId="35B2CFF8">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项目进行检修、设备安装等工程时需要进行吊装作业，在进行吊装作业时，可能发生起重伤害。</w:t>
      </w:r>
    </w:p>
    <w:p w14:paraId="5BFA25F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1.</w:t>
      </w:r>
      <w:r>
        <w:rPr>
          <w:rFonts w:hint="eastAsia" w:ascii="宋体" w:hAnsi="宋体" w:eastAsia="宋体" w:cs="宋体"/>
          <w:color w:val="000000" w:themeColor="text1"/>
          <w:spacing w:val="8"/>
          <w:sz w:val="28"/>
          <w:szCs w:val="28"/>
          <w14:textFill>
            <w14:solidFill>
              <w14:schemeClr w14:val="tx1"/>
            </w14:solidFill>
          </w14:textFill>
        </w:rPr>
        <w:t>未对吊装作业场所、环境进行充分的危险因素辨识，未经过办证审批；</w:t>
      </w:r>
    </w:p>
    <w:p w14:paraId="190D3C39">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2.</w:t>
      </w:r>
      <w:r>
        <w:rPr>
          <w:rFonts w:hint="eastAsia" w:ascii="宋体" w:hAnsi="宋体" w:eastAsia="宋体" w:cs="宋体"/>
          <w:color w:val="000000" w:themeColor="text1"/>
          <w:spacing w:val="8"/>
          <w:sz w:val="28"/>
          <w:szCs w:val="28"/>
          <w14:textFill>
            <w14:solidFill>
              <w14:schemeClr w14:val="tx1"/>
            </w14:solidFill>
          </w14:textFill>
        </w:rPr>
        <w:t>吊装作业人员无证作业；</w:t>
      </w:r>
    </w:p>
    <w:p w14:paraId="5CF22147">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3.</w:t>
      </w:r>
      <w:r>
        <w:rPr>
          <w:rFonts w:hint="eastAsia" w:ascii="宋体" w:hAnsi="宋体" w:eastAsia="宋体" w:cs="宋体"/>
          <w:color w:val="000000" w:themeColor="text1"/>
          <w:spacing w:val="8"/>
          <w:sz w:val="28"/>
          <w:szCs w:val="28"/>
          <w14:textFill>
            <w14:solidFill>
              <w14:schemeClr w14:val="tx1"/>
            </w14:solidFill>
          </w14:textFill>
        </w:rPr>
        <w:t>起吊前未对起重吊装机械、吊具等进行安全确认；</w:t>
      </w:r>
    </w:p>
    <w:p w14:paraId="55982725">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4.</w:t>
      </w:r>
      <w:r>
        <w:rPr>
          <w:rFonts w:hint="eastAsia" w:ascii="宋体" w:hAnsi="宋体" w:eastAsia="宋体" w:cs="宋体"/>
          <w:color w:val="000000" w:themeColor="text1"/>
          <w:spacing w:val="8"/>
          <w:sz w:val="28"/>
          <w:szCs w:val="28"/>
          <w14:textFill>
            <w14:solidFill>
              <w14:schemeClr w14:val="tx1"/>
            </w14:solidFill>
          </w14:textFill>
        </w:rPr>
        <w:t xml:space="preserve">吊装区域内未划定警戒区域，未设安全警示标志，未设专人监护； </w:t>
      </w:r>
    </w:p>
    <w:p w14:paraId="1E42BAB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5.</w:t>
      </w:r>
      <w:r>
        <w:rPr>
          <w:rFonts w:hint="eastAsia" w:ascii="宋体" w:hAnsi="宋体" w:eastAsia="宋体" w:cs="宋体"/>
          <w:color w:val="000000" w:themeColor="text1"/>
          <w:spacing w:val="8"/>
          <w:sz w:val="28"/>
          <w:szCs w:val="28"/>
          <w14:textFill>
            <w14:solidFill>
              <w14:schemeClr w14:val="tx1"/>
            </w14:solidFill>
          </w14:textFill>
        </w:rPr>
        <w:t>未设吊运指挥人员，指挥人员站立于起吊区域；</w:t>
      </w:r>
    </w:p>
    <w:p w14:paraId="42B53A33">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lang w:val="en-US" w:eastAsia="zh-CN"/>
          <w14:textFill>
            <w14:solidFill>
              <w14:schemeClr w14:val="tx1"/>
            </w14:solidFill>
          </w14:textFill>
        </w:rPr>
        <w:t>6.</w:t>
      </w:r>
      <w:r>
        <w:rPr>
          <w:rFonts w:hint="eastAsia" w:ascii="宋体" w:hAnsi="宋体" w:eastAsia="宋体" w:cs="宋体"/>
          <w:color w:val="000000" w:themeColor="text1"/>
          <w:spacing w:val="8"/>
          <w:sz w:val="28"/>
          <w:szCs w:val="28"/>
          <w14:textFill>
            <w14:solidFill>
              <w14:schemeClr w14:val="tx1"/>
            </w14:solidFill>
          </w14:textFill>
        </w:rPr>
        <w:t>人员违章作业。</w:t>
      </w:r>
    </w:p>
    <w:p w14:paraId="01E29080">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373" w:name="_Toc21969"/>
      <w:bookmarkStart w:id="374" w:name="_Toc20142"/>
      <w:bookmarkStart w:id="375" w:name="_Toc12062"/>
      <w:bookmarkStart w:id="376" w:name="_Toc4999"/>
      <w:r>
        <w:rPr>
          <w:rFonts w:hint="eastAsia" w:ascii="宋体" w:hAnsi="宋体" w:eastAsia="宋体" w:cs="宋体"/>
          <w:color w:val="000000" w:themeColor="text1"/>
          <w:kern w:val="0"/>
          <w:lang w:val="en-US" w:eastAsia="zh-CN"/>
          <w14:textFill>
            <w14:solidFill>
              <w14:schemeClr w14:val="tx1"/>
            </w14:solidFill>
          </w14:textFill>
        </w:rPr>
        <w:t>3.8设备检维修过程危险、有害因素分析</w:t>
      </w:r>
      <w:bookmarkEnd w:id="373"/>
      <w:bookmarkEnd w:id="374"/>
      <w:bookmarkEnd w:id="375"/>
      <w:bookmarkEnd w:id="376"/>
    </w:p>
    <w:p w14:paraId="0699225C">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该项目检修、安装过程中可能会引发火灾、容器爆炸、高处坠落、物体打击、触电、机械伤害、</w:t>
      </w:r>
      <w:r>
        <w:rPr>
          <w:rFonts w:hint="eastAsia" w:ascii="宋体" w:hAnsi="宋体" w:eastAsia="宋体" w:cs="宋体"/>
          <w:color w:val="000000" w:themeColor="text1"/>
          <w:spacing w:val="8"/>
          <w:sz w:val="28"/>
          <w:szCs w:val="28"/>
          <w:lang w:val="en-US" w:eastAsia="zh-CN"/>
          <w14:textFill>
            <w14:solidFill>
              <w14:schemeClr w14:val="tx1"/>
            </w14:solidFill>
          </w14:textFill>
        </w:rPr>
        <w:t>起重伤害</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噪声危害等危险，其主要引发原因如下：</w:t>
      </w:r>
    </w:p>
    <w:p w14:paraId="029B77EB">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1</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在使用电钻、砂轮等进行可能产生火焰、火花和炽热表面的动火作业，如果控制不好，可能发生火灾爆炸事故。</w:t>
      </w:r>
      <w:r>
        <w:rPr>
          <w:rFonts w:hint="eastAsia" w:ascii="宋体" w:hAnsi="宋体" w:eastAsia="宋体" w:cs="宋体"/>
          <w:color w:val="000000" w:themeColor="text1"/>
          <w:spacing w:val="8"/>
          <w:sz w:val="28"/>
          <w:szCs w:val="28"/>
          <w:lang w:val="en-US" w:eastAsia="zh-CN"/>
          <w14:textFill>
            <w14:solidFill>
              <w14:schemeClr w14:val="tx1"/>
            </w14:solidFill>
          </w14:textFill>
        </w:rPr>
        <w:t>检维修作业</w:t>
      </w:r>
      <w:r>
        <w:rPr>
          <w:rFonts w:hint="eastAsia" w:ascii="宋体" w:hAnsi="宋体" w:eastAsia="宋体" w:cs="宋体"/>
          <w:sz w:val="28"/>
          <w:szCs w:val="28"/>
        </w:rPr>
        <w:t>过程中还可能发生电气火灾</w:t>
      </w:r>
      <w:r>
        <w:rPr>
          <w:rFonts w:hint="eastAsia" w:ascii="宋体" w:hAnsi="宋体" w:eastAsia="宋体" w:cs="宋体"/>
          <w:color w:val="000000" w:themeColor="text1"/>
          <w:spacing w:val="8"/>
          <w:sz w:val="28"/>
          <w:szCs w:val="28"/>
          <w14:textFill>
            <w14:solidFill>
              <w14:schemeClr w14:val="tx1"/>
            </w14:solidFill>
          </w14:textFill>
        </w:rPr>
        <w:t>。</w:t>
      </w:r>
    </w:p>
    <w:p w14:paraId="11776A44">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2</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作业平台未设置安全防护栏或防护网或失效；检修作业平台、脚手架强度不符合规范要求；未设置安全警示标识或失效；安排高处作业禁忌者从事高处作业；原有装置、设备强度与该项目装置不匹配，直接利用原有装置作安装、检修平台，并未对其承载能力进行论证；高处作业的临边、洞口等处未设置有效的防高坠措施；高处作业人员未系安全带或失效；作业人员缺乏安全知识；作业人员未执行检修安全操作规程等可能会引发高处坠落危险。</w:t>
      </w:r>
    </w:p>
    <w:p w14:paraId="154C3910">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3</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安装作业时未设置安全防护网或安全警戒线或失效；未设置有效的安全警示标识；检修作业平台、设施及设备倒塌；作业人员未穿戴有效的劳动防护用品例如安全帽；未制定检修作业安全操作规程等可能会引发物体打击危险。</w:t>
      </w:r>
    </w:p>
    <w:p w14:paraId="1FA3572A">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4</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安装过程时未采取有效的降尘措施或失效；作业人员未穿戴劳动防护用品例如戴防尘口罩、穿防尘服等；检修、安装作业前未清除、原有设备、装置中的粉尘等杂物；未制定安全检修方案或未执行；作业人员缺乏安全知识等可能会引发粉尘危害危险。</w:t>
      </w:r>
    </w:p>
    <w:p w14:paraId="16B20F36">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5</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过程中的检修用电线路布置混乱；发生漏电；检修作业场所潮湿；检修作业时未按规范要求使用安全电压；检修电工未持证上岗；检修人员缺乏安全知识；检修、安装作业时未将原有装置涉及的电气线路、电气设备理顺、未切断电源；检修作业人员未穿戴劳动防护用品或失效；检修作业人员缺乏安全知识等可能会引发触电危险。</w:t>
      </w:r>
    </w:p>
    <w:p w14:paraId="3670165D">
      <w:pPr>
        <w:adjustRightInd w:val="0"/>
        <w:snapToGrid w:val="0"/>
        <w:spacing w:line="500" w:lineRule="exact"/>
        <w:ind w:firstLine="592" w:firstLineChars="200"/>
        <w:contextualSpacing/>
        <w:rPr>
          <w:rFonts w:hint="eastAsia" w:ascii="宋体" w:hAnsi="宋体" w:eastAsia="宋体" w:cs="宋体"/>
          <w:color w:val="000000" w:themeColor="text1"/>
          <w:spacing w:val="8"/>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6</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检修过程中使用的机械、转动设施及设备设计、安装、施工缺陷；未设置机械防护装置或失效；其强度不符合规范要求；未定期进行维护、保养；功能与实际需求不匹配等可能会引发机械伤害危险。</w:t>
      </w:r>
    </w:p>
    <w:p w14:paraId="3E2BB081">
      <w:pPr>
        <w:adjustRightInd w:val="0"/>
        <w:snapToGrid w:val="0"/>
        <w:spacing w:line="500" w:lineRule="exact"/>
        <w:ind w:firstLine="592" w:firstLineChars="200"/>
        <w:contextualSpacing/>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pacing w:val="8"/>
          <w:sz w:val="28"/>
          <w:szCs w:val="28"/>
          <w14:textFill>
            <w14:solidFill>
              <w14:schemeClr w14:val="tx1"/>
            </w14:solidFill>
          </w14:textFill>
        </w:rPr>
        <w:t>7</w:t>
      </w:r>
      <w:r>
        <w:rPr>
          <w:rFonts w:hint="eastAsia" w:ascii="宋体" w:hAnsi="宋体" w:eastAsia="宋体" w:cs="宋体"/>
          <w:color w:val="000000" w:themeColor="text1"/>
          <w:spacing w:val="8"/>
          <w:sz w:val="28"/>
          <w:szCs w:val="28"/>
          <w:lang w:eastAsia="zh-CN"/>
          <w14:textFill>
            <w14:solidFill>
              <w14:schemeClr w14:val="tx1"/>
            </w14:solidFill>
          </w14:textFill>
        </w:rPr>
        <w:t>.</w:t>
      </w:r>
      <w:r>
        <w:rPr>
          <w:rFonts w:hint="eastAsia" w:ascii="宋体" w:hAnsi="宋体" w:eastAsia="宋体" w:cs="宋体"/>
          <w:color w:val="000000" w:themeColor="text1"/>
          <w:spacing w:val="8"/>
          <w:sz w:val="28"/>
          <w:szCs w:val="28"/>
          <w14:textFill>
            <w14:solidFill>
              <w14:schemeClr w14:val="tx1"/>
            </w14:solidFill>
          </w14:textFill>
        </w:rPr>
        <w:t>检修、安装作业时，未对原有设施、装置采取有效的防护措施或失效；未考虑原有装置、设施强度直接搭建安装平台；作业人员缺乏安全知识等可能会毁坏原有建构筑物。</w:t>
      </w:r>
    </w:p>
    <w:p w14:paraId="34C60578">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377" w:name="_Toc32171"/>
      <w:bookmarkStart w:id="378" w:name="_Toc15256"/>
      <w:bookmarkStart w:id="379" w:name="_Toc17629"/>
      <w:r>
        <w:rPr>
          <w:rFonts w:hint="eastAsia" w:ascii="宋体" w:hAnsi="宋体" w:eastAsia="宋体" w:cs="宋体"/>
          <w:color w:val="000000" w:themeColor="text1"/>
          <w:kern w:val="0"/>
          <w:lang w:val="en-US" w:eastAsia="zh-CN"/>
          <w14:textFill>
            <w14:solidFill>
              <w14:schemeClr w14:val="tx1"/>
            </w14:solidFill>
          </w14:textFill>
        </w:rPr>
        <w:t>3.9安全管理危险性分析</w:t>
      </w:r>
      <w:bookmarkEnd w:id="356"/>
      <w:bookmarkEnd w:id="357"/>
      <w:bookmarkEnd w:id="377"/>
      <w:bookmarkEnd w:id="378"/>
      <w:bookmarkEnd w:id="379"/>
    </w:p>
    <w:p w14:paraId="397AC897">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80" w:name="_Toc17960"/>
      <w:bookmarkStart w:id="381" w:name="_Toc331963309"/>
      <w:bookmarkStart w:id="382" w:name="_Toc18572"/>
      <w:bookmarkStart w:id="383" w:name="_Toc313453508"/>
      <w:bookmarkStart w:id="384" w:name="_Toc61474426"/>
      <w:bookmarkStart w:id="385" w:name="_Toc6549"/>
      <w:bookmarkStart w:id="386" w:name="_Toc30001403"/>
      <w:bookmarkStart w:id="387" w:name="_Toc32395"/>
      <w:bookmarkStart w:id="388" w:name="_Toc278151404"/>
      <w:bookmarkStart w:id="389" w:name="_Toc201767293"/>
      <w:bookmarkStart w:id="390" w:name="_Toc20257569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3.9.1安全管理组织体系方面危险性分析</w:t>
      </w:r>
      <w:bookmarkEnd w:id="380"/>
      <w:bookmarkEnd w:id="381"/>
      <w:bookmarkEnd w:id="382"/>
      <w:bookmarkEnd w:id="383"/>
      <w:bookmarkEnd w:id="384"/>
      <w:bookmarkEnd w:id="385"/>
      <w:bookmarkEnd w:id="386"/>
      <w:bookmarkEnd w:id="387"/>
    </w:p>
    <w:p w14:paraId="66563E7E">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安全管理组织体系是企业安全生产重要保障，安全生产管理的分级、协调等管理缺陷，可能因为安全管理组织体系缺陷引发事故，或事故进一步扩大。</w:t>
      </w:r>
    </w:p>
    <w:p w14:paraId="6E720095">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1</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未按相关法律法规设置安全管理机构或配置安全管理人员，安全管理人员未参加安全培训，风险评价、事故调查分析、应急处理、安全检测和试验研究、系统安全评价能力不足；</w:t>
      </w:r>
    </w:p>
    <w:p w14:paraId="4336C136">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2</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未定期召开的安全领导小组会议内容，未对企业安全工作进行具体、有效的落实；</w:t>
      </w:r>
    </w:p>
    <w:p w14:paraId="5FB810FA">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3</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对从业人员的安全教育培训不足，如安全管理人员和基层操作人员未经过培训考核或培训学时不足，不具备相应的安全生产知识和上岗能力；员工素质低下，知识陈旧，观念落后，致使人员安全意识差、不安全行为数量增多；</w:t>
      </w:r>
    </w:p>
    <w:p w14:paraId="0C3C9155">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4</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忽视对临时用工、外来参观、学习人员的安全教育培训等；</w:t>
      </w:r>
    </w:p>
    <w:p w14:paraId="1EBE2AEE">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5</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安全管理人员未有效履行安全管理职责，发现问题，置之不理；</w:t>
      </w:r>
    </w:p>
    <w:p w14:paraId="1CF36965">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6</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人员职权交叉，造成管理混乱；</w:t>
      </w:r>
    </w:p>
    <w:p w14:paraId="1A2076B5">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7</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职工日常活动随意，下班后（夜间）随意进入生产区域等；</w:t>
      </w:r>
    </w:p>
    <w:p w14:paraId="5615CA8A">
      <w:pPr>
        <w:tabs>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8</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未与相关方签订安全管理协议，或安全管理协议中未明确双方安全管理职责，权利和义务等内容，造成相关方管理混乱。</w:t>
      </w:r>
    </w:p>
    <w:p w14:paraId="13233242">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91" w:name="_Toc331963310"/>
      <w:bookmarkStart w:id="392" w:name="_Toc313453509"/>
      <w:bookmarkStart w:id="393" w:name="_Toc30001404"/>
      <w:bookmarkStart w:id="394" w:name="_Toc25343"/>
      <w:bookmarkStart w:id="395" w:name="_Toc2351"/>
      <w:bookmarkStart w:id="396" w:name="_Toc4485"/>
      <w:bookmarkStart w:id="397" w:name="_Toc61474427"/>
      <w:bookmarkStart w:id="398" w:name="_Toc6528"/>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3.9.2安全管理制度方面危险性分析</w:t>
      </w:r>
      <w:bookmarkEnd w:id="391"/>
      <w:bookmarkEnd w:id="392"/>
      <w:bookmarkEnd w:id="393"/>
      <w:bookmarkEnd w:id="394"/>
      <w:bookmarkEnd w:id="395"/>
      <w:bookmarkEnd w:id="396"/>
      <w:bookmarkEnd w:id="397"/>
      <w:bookmarkEnd w:id="398"/>
    </w:p>
    <w:p w14:paraId="1AEB1849">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安全管理制度是为加强企业生产工作的劳动保护、改善劳动条件，保护劳动者在生产过程中的安全和健康，促进企业的发展，根据有关劳动保护的法令、法规等有关规定，结合企业的实际情况制订的规定；可能因为安全管理制度不健全，引发事故，其主要原因有：</w:t>
      </w:r>
    </w:p>
    <w:p w14:paraId="04CD868F">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1</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未根据自身特点制定、完善安全生产责任制、安全生产管理制度，造成工作中无章可循，生产次序混乱；</w:t>
      </w:r>
    </w:p>
    <w:p w14:paraId="7CD5ADE5">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2</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各岗位或职能部门职责不明确；安全生产责任制未落实到每个环节、每个岗位、每个人；</w:t>
      </w:r>
    </w:p>
    <w:p w14:paraId="6688E591">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3</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不同的安全规章管理制度之间缺少相互配合和促进机制；</w:t>
      </w:r>
    </w:p>
    <w:p w14:paraId="50465DF8">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4</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安全规章管理制度流于形式，内容不完善、不全面；</w:t>
      </w:r>
    </w:p>
    <w:p w14:paraId="7367A274">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5</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安全规章管理制度要求与实际工作脱节等；</w:t>
      </w:r>
    </w:p>
    <w:p w14:paraId="1B3CB5AF">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lang w:eastAsia="zh-CN"/>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6</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特种作业人员未经培训，未掌握专业操作知识进行特种作业等</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根据</w:t>
      </w:r>
      <w:r>
        <w:rPr>
          <w:rFonts w:hint="eastAsia" w:ascii="宋体" w:hAnsi="宋体" w:eastAsia="宋体" w:cs="宋体"/>
          <w:snapToGrid w:val="0"/>
          <w:color w:val="000000" w:themeColor="text1"/>
          <w:kern w:val="0"/>
          <w:sz w:val="28"/>
          <w:szCs w:val="28"/>
          <w14:textFill>
            <w14:solidFill>
              <w14:schemeClr w14:val="tx1"/>
            </w14:solidFill>
          </w14:textFill>
        </w:rPr>
        <w:t>《中华人民共和国安全生产法》第三十条规定:"生产经营单位的特种作业人员必须按照国家有关规定经专门的安全作业培训,取得相应资格,方可上岗作业。"</w:t>
      </w:r>
    </w:p>
    <w:p w14:paraId="151A8457">
      <w:pPr>
        <w:tabs>
          <w:tab w:val="left" w:pos="945"/>
          <w:tab w:val="left" w:pos="3900"/>
        </w:tabs>
        <w:adjustRightInd w:val="0"/>
        <w:snapToGrid w:val="0"/>
        <w:spacing w:line="500" w:lineRule="exact"/>
        <w:ind w:firstLine="573"/>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7</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作业现场周边有其他企业人员来往，可能由于管理不到位，导致车辆伤害、机械伤害、触电等事故。</w:t>
      </w:r>
    </w:p>
    <w:p w14:paraId="06711864">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399" w:name="_Toc61474428"/>
      <w:bookmarkStart w:id="400" w:name="_Toc27617"/>
      <w:bookmarkStart w:id="401" w:name="_Toc26397"/>
      <w:bookmarkStart w:id="402" w:name="_Toc20876"/>
      <w:bookmarkStart w:id="403" w:name="_Toc20313"/>
      <w:bookmarkStart w:id="404" w:name="_Toc30001405"/>
      <w:bookmarkStart w:id="405" w:name="_Toc331963311"/>
      <w:bookmarkStart w:id="406" w:name="_Toc313453510"/>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3.9.3事故应急方面危险性分析</w:t>
      </w:r>
      <w:bookmarkEnd w:id="399"/>
      <w:bookmarkEnd w:id="400"/>
      <w:bookmarkEnd w:id="401"/>
      <w:bookmarkEnd w:id="402"/>
      <w:bookmarkEnd w:id="403"/>
      <w:bookmarkEnd w:id="404"/>
      <w:bookmarkEnd w:id="405"/>
      <w:bookmarkEnd w:id="406"/>
    </w:p>
    <w:p w14:paraId="03C91671">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事故应急是针对可能发生的重大事故，为保证迅速、有效、有序地开展应急救援行动，以便预防、降低事故损失，可能因为事故应急措施不当等引发事故，其主要原因有：</w:t>
      </w:r>
    </w:p>
    <w:p w14:paraId="49D571C5">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1</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企业未编制生产安全事故应急预案，或编制的预案未按照相关要求邀请相关专家组织评审、备案，内容不满足《生产经营单位生产安全事故应急预案编制导则》（GB/T 29639-2020）内容要求；</w:t>
      </w:r>
    </w:p>
    <w:p w14:paraId="1E3C3446">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2</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应急救援时未按照事故应急原则进行处置；</w:t>
      </w:r>
    </w:p>
    <w:p w14:paraId="02826741">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3</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救援人员不服从指挥；</w:t>
      </w:r>
    </w:p>
    <w:p w14:paraId="54FE304C">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4</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事故判断不准确，导致采取的应急救援行动和战术决策不准确；</w:t>
      </w:r>
    </w:p>
    <w:p w14:paraId="0A39541E">
      <w:pPr>
        <w:tabs>
          <w:tab w:val="left" w:pos="945"/>
          <w:tab w:val="left" w:pos="3900"/>
        </w:tabs>
        <w:adjustRightInd w:val="0"/>
        <w:snapToGrid w:val="0"/>
        <w:spacing w:line="500" w:lineRule="exact"/>
        <w:ind w:firstLine="57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5</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未能配备足够、有效的应急救援物资或物资维护保养不力失效；</w:t>
      </w:r>
    </w:p>
    <w:p w14:paraId="74E1E658">
      <w:pPr>
        <w:adjustRightInd w:val="0"/>
        <w:snapToGrid w:val="0"/>
        <w:spacing w:line="500" w:lineRule="exact"/>
        <w:ind w:firstLine="560" w:firstLineChars="20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6</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未能按规定对应急预案进行定期演练，未进行定期修订或预案可操作性不强。</w:t>
      </w:r>
    </w:p>
    <w:p w14:paraId="5DB3152E">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407" w:name="_Toc4761"/>
      <w:bookmarkStart w:id="408" w:name="_Toc30001423"/>
      <w:bookmarkStart w:id="409" w:name="_Toc12699"/>
      <w:bookmarkStart w:id="410" w:name="_Toc31917"/>
      <w:bookmarkStart w:id="411" w:name="_Toc61474446"/>
      <w:r>
        <w:rPr>
          <w:rFonts w:hint="eastAsia" w:ascii="宋体" w:hAnsi="宋体" w:eastAsia="宋体" w:cs="宋体"/>
          <w:color w:val="000000" w:themeColor="text1"/>
          <w:kern w:val="0"/>
          <w:lang w:val="en-US" w:eastAsia="zh-CN"/>
          <w14:textFill>
            <w14:solidFill>
              <w14:schemeClr w14:val="tx1"/>
            </w14:solidFill>
          </w14:textFill>
        </w:rPr>
        <w:t>3.10重大危险源辨识</w:t>
      </w:r>
      <w:bookmarkEnd w:id="388"/>
      <w:bookmarkEnd w:id="389"/>
      <w:bookmarkEnd w:id="390"/>
      <w:bookmarkEnd w:id="407"/>
      <w:bookmarkEnd w:id="408"/>
      <w:bookmarkEnd w:id="409"/>
      <w:bookmarkEnd w:id="410"/>
      <w:bookmarkEnd w:id="411"/>
    </w:p>
    <w:p w14:paraId="5B00F2D0">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412" w:name="_Toc172021604"/>
      <w:bookmarkStart w:id="413" w:name="_Toc24138"/>
      <w:bookmarkStart w:id="414" w:name="_Toc28580"/>
      <w:bookmarkStart w:id="415" w:name="_Toc27538"/>
      <w:bookmarkStart w:id="416" w:name="_Toc61474447"/>
      <w:bookmarkStart w:id="417" w:name="_Toc30001424"/>
      <w:bookmarkStart w:id="418" w:name="_Toc23947"/>
      <w:bookmarkStart w:id="419" w:name="_Toc121910244"/>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3.10.1方法介绍</w:t>
      </w:r>
      <w:bookmarkEnd w:id="412"/>
      <w:bookmarkEnd w:id="413"/>
      <w:bookmarkEnd w:id="414"/>
      <w:bookmarkEnd w:id="415"/>
      <w:bookmarkEnd w:id="416"/>
      <w:bookmarkEnd w:id="417"/>
      <w:bookmarkEnd w:id="418"/>
      <w:bookmarkEnd w:id="419"/>
    </w:p>
    <w:p w14:paraId="196B8A69">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危险化学品重大危险源是指“长期地或临时地生产、储存、使用和经营危险化学品，且危险化学品的数量等于或超过临界量的单元。”。</w:t>
      </w:r>
    </w:p>
    <w:p w14:paraId="621E755C">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注：1）危险化学品——具有毒害、腐蚀爆炸、燃烧、助燃等性质，对人体、设施、环境具有危害的剧毒化学品和其他化学品。</w:t>
      </w:r>
    </w:p>
    <w:p w14:paraId="78DB7FE4">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2）临界量——某种或某类危险化学品构成重大危险源所规定的最小数量。</w:t>
      </w:r>
    </w:p>
    <w:p w14:paraId="1BE3C5B4">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3）生产单元——危险化学品的生产、加工及使用等的装置及设施,当装置及设施之间有切断阀时，以切断阀作为分隔界限划分为独立的单元。</w:t>
      </w:r>
    </w:p>
    <w:p w14:paraId="2A1F51F7">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4）储存单元——用于储存危险化学品的储罐或仓库组成的相对独立的区域,</w:t>
      </w:r>
      <w:r>
        <w:rPr>
          <w:rFonts w:hint="eastAsia" w:ascii="宋体" w:hAnsi="宋体" w:eastAsia="宋体" w:cs="宋体"/>
          <w:color w:val="000000" w:themeColor="text1"/>
          <w:sz w:val="28"/>
          <w:szCs w:val="28"/>
          <w:lang w:val="en-US" w:eastAsia="zh-CN"/>
          <w14:textFill>
            <w14:solidFill>
              <w14:schemeClr w14:val="tx1"/>
            </w14:solidFill>
          </w14:textFill>
        </w:rPr>
        <w:t>储</w:t>
      </w:r>
      <w:r>
        <w:rPr>
          <w:rFonts w:hint="eastAsia" w:ascii="宋体" w:hAnsi="宋体" w:eastAsia="宋体" w:cs="宋体"/>
          <w:color w:val="000000" w:themeColor="text1"/>
          <w:sz w:val="28"/>
          <w:szCs w:val="28"/>
          <w14:textFill>
            <w14:solidFill>
              <w14:schemeClr w14:val="tx1"/>
            </w14:solidFill>
          </w14:textFill>
        </w:rPr>
        <w:t>罐区以罐区防火堤为界限划分为独立的单元，仓库以独立库房（独立建筑物）为界限划分为独立的单元。</w:t>
      </w:r>
    </w:p>
    <w:p w14:paraId="568F1F12">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按照《危险化学品重大危险源辨识》（GB18218-2018）规定，危险化学品重大危险源是指长期地或临时地生产、储存、使用或经营危险化学品，且危险化学品的数量等于或超过临界量的单元。</w:t>
      </w:r>
    </w:p>
    <w:p w14:paraId="63EDF4F5">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生产单元、储存单元内存在危险化学品的数量等于或超过规定的临界量，即被定为重大危险源。单元内存在的危险化学品的数量根据危险化学品种类的多少区分为以下两种情况：</w:t>
      </w:r>
    </w:p>
    <w:p w14:paraId="662C58A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1）生产单元、储存单元内存在的危险化学品为单一品种时，该危险化学品的数量即为单元内危险化学品的总量，若等于或超过相应的临界量，则定为重大危险源。</w:t>
      </w:r>
    </w:p>
    <w:p w14:paraId="6A40F7FA">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2）生产单元、储存单元内存在的危险化学品为多品种时，按式（1）计算，若满足式（1），则定为重大危险源：</w:t>
      </w:r>
    </w:p>
    <w:p w14:paraId="0B15D9FD">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S=q1/Q1+q2/Q2+……+qn/Qn≥1   ……………………（1）        </w:t>
      </w:r>
    </w:p>
    <w:p w14:paraId="1452192D">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式中：S ——辨识指标；</w:t>
      </w:r>
    </w:p>
    <w:p w14:paraId="30A687F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q1，q2……qn——每种危险化学品的实际存在量，单位为吨（t）；</w:t>
      </w:r>
    </w:p>
    <w:p w14:paraId="0AA41600">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Q1，Q2……Qn——与每种危险化学品相对应的临界量，单位为吨。</w:t>
      </w:r>
    </w:p>
    <w:p w14:paraId="3761CCA1">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420" w:name="_Toc65029557"/>
      <w:bookmarkStart w:id="421" w:name="_Toc121910245"/>
      <w:bookmarkStart w:id="422" w:name="_Toc172021605"/>
      <w:bookmarkStart w:id="423" w:name="_Toc65291067"/>
      <w:bookmarkStart w:id="424" w:name="_Toc5944"/>
      <w:bookmarkStart w:id="425" w:name="_Toc2271"/>
      <w:bookmarkStart w:id="426" w:name="_Toc1879"/>
      <w:bookmarkStart w:id="427" w:name="_Toc25871"/>
      <w:bookmarkStart w:id="428" w:name="_Toc30001425"/>
      <w:bookmarkStart w:id="429" w:name="_Toc61474448"/>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3.10.2辨识</w:t>
      </w:r>
      <w:bookmarkEnd w:id="420"/>
      <w:bookmarkEnd w:id="421"/>
      <w:bookmarkEnd w:id="422"/>
      <w:bookmarkEnd w:id="423"/>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过程及结果</w:t>
      </w:r>
      <w:bookmarkEnd w:id="424"/>
      <w:bookmarkEnd w:id="425"/>
      <w:bookmarkEnd w:id="426"/>
      <w:bookmarkEnd w:id="427"/>
      <w:bookmarkEnd w:id="428"/>
      <w:bookmarkEnd w:id="429"/>
    </w:p>
    <w:p w14:paraId="5C72F609">
      <w:pPr>
        <w:pStyle w:val="5"/>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14:textFill>
            <w14:solidFill>
              <w14:schemeClr w14:val="tx1"/>
            </w14:solidFill>
          </w14:textFill>
        </w:rPr>
      </w:pPr>
      <w:bookmarkStart w:id="430" w:name="_Toc360019842"/>
      <w:r>
        <w:rPr>
          <w:rFonts w:hint="eastAsia" w:ascii="宋体" w:hAnsi="宋体" w:eastAsia="宋体" w:cs="宋体"/>
          <w:color w:val="000000" w:themeColor="text1"/>
          <w:kern w:val="0"/>
          <w14:textFill>
            <w14:solidFill>
              <w14:schemeClr w14:val="tx1"/>
            </w14:solidFill>
          </w14:textFill>
        </w:rPr>
        <w:t>3.10.2.1危险化学品重大危险源辨识</w:t>
      </w:r>
      <w:bookmarkEnd w:id="430"/>
    </w:p>
    <w:p w14:paraId="1F5F92F9">
      <w:pPr>
        <w:adjustRightInd w:val="0"/>
        <w:snapToGrid w:val="0"/>
        <w:spacing w:line="500" w:lineRule="exact"/>
        <w:ind w:firstLine="560" w:firstLineChars="200"/>
        <w:contextualSpacing/>
        <w:rPr>
          <w:rFonts w:hint="eastAsia" w:ascii="宋体" w:hAnsi="宋体" w:eastAsia="宋体" w:cs="宋体"/>
          <w:bCs/>
          <w:color w:val="000000" w:themeColor="text1"/>
          <w:sz w:val="28"/>
          <w:szCs w:val="28"/>
          <w:lang w:eastAsia="zh-CN"/>
          <w14:textFill>
            <w14:solidFill>
              <w14:schemeClr w14:val="tx1"/>
            </w14:solidFill>
          </w14:textFill>
        </w:rPr>
      </w:pPr>
      <w:r>
        <w:rPr>
          <w:rFonts w:hint="eastAsia" w:ascii="宋体" w:hAnsi="宋体" w:eastAsia="宋体" w:cs="宋体"/>
          <w:bCs/>
          <w:color w:val="000000" w:themeColor="text1"/>
          <w:sz w:val="28"/>
          <w:szCs w:val="28"/>
          <w:lang w:val="en-US" w:eastAsia="zh-CN"/>
          <w14:textFill>
            <w14:solidFill>
              <w14:schemeClr w14:val="tx1"/>
            </w14:solidFill>
          </w14:textFill>
        </w:rPr>
        <w:t>经辨识，</w:t>
      </w:r>
      <w:r>
        <w:rPr>
          <w:rFonts w:hint="eastAsia" w:ascii="宋体" w:hAnsi="宋体" w:eastAsia="宋体" w:cs="宋体"/>
          <w:bCs/>
          <w:color w:val="000000" w:themeColor="text1"/>
          <w:sz w:val="28"/>
          <w:szCs w:val="28"/>
          <w14:textFill>
            <w14:solidFill>
              <w14:schemeClr w14:val="tx1"/>
            </w14:solidFill>
          </w14:textFill>
        </w:rPr>
        <w:t>本项目涉及</w:t>
      </w:r>
      <w:r>
        <w:rPr>
          <w:rFonts w:hint="eastAsia" w:ascii="宋体" w:hAnsi="宋体" w:eastAsia="宋体" w:cs="宋体"/>
          <w:bCs/>
          <w:color w:val="000000" w:themeColor="text1"/>
          <w:sz w:val="28"/>
          <w:szCs w:val="28"/>
          <w:lang w:val="en-US" w:eastAsia="zh-CN"/>
          <w14:textFill>
            <w14:solidFill>
              <w14:schemeClr w14:val="tx1"/>
            </w14:solidFill>
          </w14:textFill>
        </w:rPr>
        <w:t>使用危险</w:t>
      </w:r>
      <w:r>
        <w:rPr>
          <w:rFonts w:hint="eastAsia" w:ascii="宋体" w:hAnsi="宋体" w:eastAsia="宋体" w:cs="宋体"/>
          <w:bCs/>
          <w:color w:val="000000" w:themeColor="text1"/>
          <w:sz w:val="28"/>
          <w:szCs w:val="28"/>
          <w14:textFill>
            <w14:solidFill>
              <w14:schemeClr w14:val="tx1"/>
            </w14:solidFill>
          </w14:textFill>
        </w:rPr>
        <w:t>化学品</w:t>
      </w:r>
      <w:r>
        <w:rPr>
          <w:rFonts w:hint="eastAsia" w:ascii="宋体" w:hAnsi="宋体" w:eastAsia="宋体" w:cs="宋体"/>
          <w:bCs/>
          <w:color w:val="000000" w:themeColor="text1"/>
          <w:sz w:val="28"/>
          <w:szCs w:val="28"/>
          <w:lang w:val="en-US" w:eastAsia="zh-CN"/>
          <w14:textFill>
            <w14:solidFill>
              <w14:schemeClr w14:val="tx1"/>
            </w14:solidFill>
          </w14:textFill>
        </w:rPr>
        <w:t>为生产时擦拭机床配件使用的零星柴油5L（</w:t>
      </w:r>
      <w:r>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t>柴油密度为 0.85×10</w:t>
      </w:r>
      <w:r>
        <w:rPr>
          <w:rFonts w:hint="eastAsia" w:ascii="宋体" w:hAnsi="宋体" w:eastAsia="宋体" w:cs="宋体"/>
          <w:b w:val="0"/>
          <w:bCs w:val="0"/>
          <w:color w:val="000000" w:themeColor="text1"/>
          <w:kern w:val="0"/>
          <w:sz w:val="28"/>
          <w:szCs w:val="28"/>
          <w:vertAlign w:val="superscript"/>
          <w:lang w:val="en-US" w:eastAsia="zh-CN" w:bidi="ar"/>
          <w14:textFill>
            <w14:solidFill>
              <w14:schemeClr w14:val="tx1"/>
            </w14:solidFill>
          </w14:textFill>
        </w:rPr>
        <w:t>3</w:t>
      </w:r>
      <w:r>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t xml:space="preserve"> kg/m</w:t>
      </w:r>
      <w:r>
        <w:rPr>
          <w:rFonts w:hint="eastAsia" w:ascii="宋体" w:hAnsi="宋体" w:eastAsia="宋体" w:cs="宋体"/>
          <w:b w:val="0"/>
          <w:bCs w:val="0"/>
          <w:color w:val="000000" w:themeColor="text1"/>
          <w:kern w:val="0"/>
          <w:sz w:val="28"/>
          <w:szCs w:val="28"/>
          <w:vertAlign w:val="superscript"/>
          <w:lang w:val="en-US" w:eastAsia="zh-CN" w:bidi="ar"/>
          <w14:textFill>
            <w14:solidFill>
              <w14:schemeClr w14:val="tx1"/>
            </w14:solidFill>
          </w14:textFill>
        </w:rPr>
        <w:t>3</w:t>
      </w:r>
      <w:r>
        <w:rPr>
          <w:rFonts w:hint="eastAsia" w:ascii="宋体" w:hAnsi="宋体" w:eastAsia="宋体" w:cs="宋体"/>
          <w:bCs/>
          <w:color w:val="000000" w:themeColor="text1"/>
          <w:sz w:val="28"/>
          <w:szCs w:val="28"/>
          <w:lang w:val="en-US" w:eastAsia="zh-CN"/>
          <w14:textFill>
            <w14:solidFill>
              <w14:schemeClr w14:val="tx1"/>
            </w14:solidFill>
          </w14:textFill>
        </w:rPr>
        <w:t>），不作存储</w:t>
      </w:r>
      <w:r>
        <w:rPr>
          <w:rFonts w:hint="eastAsia" w:ascii="宋体" w:hAnsi="宋体" w:eastAsia="宋体" w:cs="宋体"/>
          <w:bCs/>
          <w:color w:val="000000" w:themeColor="text1"/>
          <w:sz w:val="28"/>
          <w:szCs w:val="28"/>
          <w:lang w:eastAsia="zh-CN"/>
          <w14:textFill>
            <w14:solidFill>
              <w14:schemeClr w14:val="tx1"/>
            </w14:solidFill>
          </w14:textFill>
        </w:rPr>
        <w:t>。</w:t>
      </w:r>
    </w:p>
    <w:p w14:paraId="5B74CA9B">
      <w:pPr>
        <w:overflowPunct w:val="0"/>
        <w:adjustRightInd w:val="0"/>
        <w:snapToGrid w:val="0"/>
        <w:spacing w:line="500" w:lineRule="exact"/>
        <w:jc w:val="center"/>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表</w:t>
      </w:r>
      <w:r>
        <w:rPr>
          <w:rFonts w:hint="eastAsia" w:ascii="宋体" w:hAnsi="宋体" w:eastAsia="宋体" w:cs="宋体"/>
          <w:b/>
          <w:bCs/>
          <w:color w:val="000000" w:themeColor="text1"/>
          <w:sz w:val="24"/>
          <w:lang w:val="en-US" w:eastAsia="zh-CN"/>
          <w14:textFill>
            <w14:solidFill>
              <w14:schemeClr w14:val="tx1"/>
            </w14:solidFill>
          </w14:textFill>
        </w:rPr>
        <w:t xml:space="preserve">3-9 </w:t>
      </w:r>
      <w:r>
        <w:rPr>
          <w:rFonts w:hint="eastAsia" w:ascii="宋体" w:hAnsi="宋体" w:eastAsia="宋体" w:cs="宋体"/>
          <w:b/>
          <w:bCs/>
          <w:color w:val="000000" w:themeColor="text1"/>
          <w:sz w:val="24"/>
          <w14:textFill>
            <w14:solidFill>
              <w14:schemeClr w14:val="tx1"/>
            </w14:solidFill>
          </w14:textFill>
        </w:rPr>
        <w:t>危险化学品重大危险源计算表</w:t>
      </w:r>
    </w:p>
    <w:tbl>
      <w:tblPr>
        <w:tblStyle w:val="24"/>
        <w:tblW w:w="5230" w:type="pct"/>
        <w:tblInd w:w="-2" w:type="dxa"/>
        <w:tblLayout w:type="autofit"/>
        <w:tblCellMar>
          <w:top w:w="0" w:type="dxa"/>
          <w:left w:w="0" w:type="dxa"/>
          <w:bottom w:w="0" w:type="dxa"/>
          <w:right w:w="0" w:type="dxa"/>
        </w:tblCellMar>
      </w:tblPr>
      <w:tblGrid>
        <w:gridCol w:w="437"/>
        <w:gridCol w:w="910"/>
        <w:gridCol w:w="1463"/>
        <w:gridCol w:w="2110"/>
        <w:gridCol w:w="1648"/>
        <w:gridCol w:w="2087"/>
        <w:gridCol w:w="963"/>
      </w:tblGrid>
      <w:tr w14:paraId="4E63D126">
        <w:tblPrEx>
          <w:tblCellMar>
            <w:top w:w="0" w:type="dxa"/>
            <w:left w:w="0" w:type="dxa"/>
            <w:bottom w:w="0" w:type="dxa"/>
            <w:right w:w="0" w:type="dxa"/>
          </w:tblCellMar>
        </w:tblPrEx>
        <w:trPr>
          <w:cantSplit/>
          <w:trHeight w:val="804" w:hRule="atLeast"/>
          <w:tblHeader/>
        </w:trPr>
        <w:tc>
          <w:tcPr>
            <w:tcW w:w="247" w:type="pct"/>
            <w:tcBorders>
              <w:top w:val="single" w:color="000000" w:sz="4" w:space="0"/>
              <w:left w:val="single" w:color="000000" w:sz="4" w:space="0"/>
              <w:bottom w:val="single" w:color="000000" w:sz="4" w:space="0"/>
              <w:right w:val="single" w:color="000000" w:sz="4" w:space="0"/>
            </w:tcBorders>
            <w:noWrap/>
            <w:vAlign w:val="center"/>
          </w:tcPr>
          <w:p w14:paraId="42AD04EE">
            <w:pPr>
              <w:pStyle w:val="46"/>
              <w:overflowPunct w:val="0"/>
              <w:adjustRightInd w:val="0"/>
              <w:snapToGrid w:val="0"/>
              <w:spacing w:line="300" w:lineRule="exact"/>
              <w:ind w:left="0" w:leftChars="0"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b/>
                <w:bCs/>
                <w:color w:val="000000" w:themeColor="text1"/>
                <w:sz w:val="21"/>
                <w14:textFill>
                  <w14:solidFill>
                    <w14:schemeClr w14:val="tx1"/>
                  </w14:solidFill>
                </w14:textFill>
              </w:rPr>
              <w:t>序号</w:t>
            </w:r>
          </w:p>
        </w:tc>
        <w:tc>
          <w:tcPr>
            <w:tcW w:w="493" w:type="pct"/>
            <w:tcBorders>
              <w:top w:val="single" w:color="000000" w:sz="4" w:space="0"/>
              <w:left w:val="single" w:color="000000" w:sz="4" w:space="0"/>
              <w:bottom w:val="single" w:color="000000" w:sz="4" w:space="0"/>
              <w:right w:val="single" w:color="000000" w:sz="4" w:space="0"/>
            </w:tcBorders>
            <w:noWrap/>
            <w:vAlign w:val="center"/>
          </w:tcPr>
          <w:p w14:paraId="10F28B1C">
            <w:pPr>
              <w:pStyle w:val="46"/>
              <w:overflowPunct w:val="0"/>
              <w:adjustRightInd w:val="0"/>
              <w:snapToGrid w:val="0"/>
              <w:spacing w:line="300" w:lineRule="exact"/>
              <w:ind w:left="0" w:leftChars="0"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b/>
                <w:bCs/>
                <w:color w:val="000000" w:themeColor="text1"/>
                <w:sz w:val="21"/>
                <w14:textFill>
                  <w14:solidFill>
                    <w14:schemeClr w14:val="tx1"/>
                  </w14:solidFill>
                </w14:textFill>
              </w:rPr>
              <w:t>物质名称</w:t>
            </w:r>
          </w:p>
        </w:tc>
        <w:tc>
          <w:tcPr>
            <w:tcW w:w="780" w:type="pct"/>
            <w:tcBorders>
              <w:top w:val="single" w:color="000000" w:sz="4" w:space="0"/>
              <w:left w:val="single" w:color="000000" w:sz="4" w:space="0"/>
              <w:bottom w:val="single" w:color="000000" w:sz="4" w:space="0"/>
              <w:right w:val="single" w:color="000000" w:sz="4" w:space="0"/>
            </w:tcBorders>
            <w:noWrap/>
            <w:vAlign w:val="center"/>
          </w:tcPr>
          <w:p w14:paraId="4DF6A574">
            <w:pPr>
              <w:pStyle w:val="46"/>
              <w:overflowPunct w:val="0"/>
              <w:adjustRightInd w:val="0"/>
              <w:snapToGrid w:val="0"/>
              <w:spacing w:line="300" w:lineRule="exact"/>
              <w:ind w:left="0" w:leftChars="0"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b/>
                <w:bCs/>
                <w:color w:val="000000" w:themeColor="text1"/>
                <w:sz w:val="21"/>
                <w14:textFill>
                  <w14:solidFill>
                    <w14:schemeClr w14:val="tx1"/>
                  </w14:solidFill>
                </w14:textFill>
              </w:rPr>
              <w:t>临界量Q（t）</w:t>
            </w:r>
          </w:p>
        </w:tc>
        <w:tc>
          <w:tcPr>
            <w:tcW w:w="976" w:type="pct"/>
            <w:tcBorders>
              <w:top w:val="single" w:color="000000" w:sz="4" w:space="0"/>
              <w:left w:val="single" w:color="000000" w:sz="4" w:space="0"/>
              <w:bottom w:val="single" w:color="000000" w:sz="4" w:space="0"/>
              <w:right w:val="single" w:color="000000" w:sz="4" w:space="0"/>
            </w:tcBorders>
            <w:noWrap/>
            <w:vAlign w:val="center"/>
          </w:tcPr>
          <w:p w14:paraId="614725C4">
            <w:pPr>
              <w:pStyle w:val="46"/>
              <w:overflowPunct w:val="0"/>
              <w:adjustRightInd w:val="0"/>
              <w:snapToGrid w:val="0"/>
              <w:spacing w:line="300" w:lineRule="exact"/>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b/>
                <w:bCs/>
                <w:color w:val="000000" w:themeColor="text1"/>
                <w:sz w:val="21"/>
                <w:lang w:eastAsia="zh-CN"/>
                <w14:textFill>
                  <w14:solidFill>
                    <w14:schemeClr w14:val="tx1"/>
                  </w14:solidFill>
                </w14:textFill>
              </w:rPr>
              <w:t>实际存在量</w:t>
            </w:r>
            <w:r>
              <w:rPr>
                <w:rFonts w:hint="default" w:ascii="Times New Roman" w:hAnsi="Times New Roman" w:cs="Times New Roman"/>
                <w:b/>
                <w:bCs/>
                <w:color w:val="000000" w:themeColor="text1"/>
                <w:spacing w:val="-104"/>
                <w:sz w:val="21"/>
                <w14:textFill>
                  <w14:solidFill>
                    <w14:schemeClr w14:val="tx1"/>
                  </w14:solidFill>
                </w14:textFill>
              </w:rPr>
              <w:t>q</w:t>
            </w:r>
            <w:r>
              <w:rPr>
                <w:rFonts w:hint="default" w:ascii="Times New Roman" w:hAnsi="Times New Roman" w:cs="Times New Roman"/>
                <w:b/>
                <w:bCs/>
                <w:color w:val="000000" w:themeColor="text1"/>
                <w:spacing w:val="2"/>
                <w:sz w:val="21"/>
                <w14:textFill>
                  <w14:solidFill>
                    <w14:schemeClr w14:val="tx1"/>
                  </w14:solidFill>
                </w14:textFill>
              </w:rPr>
              <w:t>（</w:t>
            </w:r>
            <w:r>
              <w:rPr>
                <w:rFonts w:hint="default" w:ascii="Times New Roman" w:hAnsi="Times New Roman" w:cs="Times New Roman"/>
                <w:b/>
                <w:bCs/>
                <w:color w:val="000000" w:themeColor="text1"/>
                <w:spacing w:val="-4"/>
                <w:sz w:val="21"/>
                <w14:textFill>
                  <w14:solidFill>
                    <w14:schemeClr w14:val="tx1"/>
                  </w14:solidFill>
                </w14:textFill>
              </w:rPr>
              <w:t>t</w:t>
            </w:r>
            <w:r>
              <w:rPr>
                <w:rFonts w:hint="default" w:ascii="Times New Roman" w:hAnsi="Times New Roman" w:cs="Times New Roman"/>
                <w:b/>
                <w:bCs/>
                <w:color w:val="000000" w:themeColor="text1"/>
                <w:sz w:val="21"/>
                <w14:textFill>
                  <w14:solidFill>
                    <w14:schemeClr w14:val="tx1"/>
                  </w14:solidFill>
                </w14:textFill>
              </w:rPr>
              <w:t>）</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48FFE">
            <w:pPr>
              <w:snapToGrid w:val="0"/>
              <w:spacing w:line="276" w:lineRule="auto"/>
              <w:contextualSpacing/>
              <w:jc w:val="center"/>
              <w:rPr>
                <w:rFonts w:hint="default" w:ascii="Times New Roman" w:hAnsi="Times New Roman" w:eastAsia="宋体" w:cs="Times New Roman"/>
                <w:b/>
                <w:color w:val="000000" w:themeColor="text1"/>
                <w:sz w:val="24"/>
                <w:szCs w:val="21"/>
                <w:lang w:val="en-US" w:eastAsia="zh-CN" w:bidi="ar-SA"/>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S=q/Q</w:t>
            </w:r>
          </w:p>
        </w:tc>
        <w:tc>
          <w:tcPr>
            <w:tcW w:w="1104" w:type="pct"/>
            <w:tcBorders>
              <w:top w:val="single" w:color="000000" w:sz="4" w:space="0"/>
              <w:left w:val="single" w:color="000000" w:sz="4" w:space="0"/>
              <w:bottom w:val="single" w:color="000000" w:sz="4" w:space="0"/>
              <w:right w:val="single" w:color="000000" w:sz="4" w:space="0"/>
            </w:tcBorders>
            <w:noWrap/>
            <w:vAlign w:val="center"/>
          </w:tcPr>
          <w:p w14:paraId="3949613D">
            <w:pPr>
              <w:pStyle w:val="46"/>
              <w:overflowPunct w:val="0"/>
              <w:adjustRightInd w:val="0"/>
              <w:snapToGrid w:val="0"/>
              <w:spacing w:line="300" w:lineRule="exact"/>
              <w:ind w:left="0" w:leftChars="0" w:firstLine="0" w:firstLineChars="0"/>
              <w:jc w:val="center"/>
              <w:rPr>
                <w:rFonts w:hint="default" w:ascii="Times New Roman" w:hAnsi="Times New Roman" w:cs="Times New Roman"/>
                <w:color w:val="000000" w:themeColor="text1"/>
                <w:sz w:val="21"/>
                <w:lang w:eastAsia="zh-CN"/>
                <w14:textFill>
                  <w14:solidFill>
                    <w14:schemeClr w14:val="tx1"/>
                  </w14:solidFill>
                </w14:textFill>
              </w:rPr>
            </w:pPr>
            <w:r>
              <w:rPr>
                <w:rFonts w:hint="default" w:ascii="Times New Roman" w:hAnsi="Times New Roman" w:cs="Times New Roman"/>
                <w:b/>
                <w:color w:val="000000" w:themeColor="text1"/>
                <w:sz w:val="21"/>
                <w:lang w:eastAsia="zh-CN"/>
                <w14:textFill>
                  <w14:solidFill>
                    <w14:schemeClr w14:val="tx1"/>
                  </w14:solidFill>
                </w14:textFill>
              </w:rPr>
              <w:t>是否构成重大危险源</w:t>
            </w:r>
          </w:p>
        </w:tc>
        <w:tc>
          <w:tcPr>
            <w:tcW w:w="520" w:type="pct"/>
            <w:tcBorders>
              <w:top w:val="single" w:color="000000" w:sz="4" w:space="0"/>
              <w:left w:val="single" w:color="000000" w:sz="4" w:space="0"/>
              <w:bottom w:val="single" w:color="000000" w:sz="4" w:space="0"/>
              <w:right w:val="single" w:color="000000" w:sz="4" w:space="0"/>
            </w:tcBorders>
            <w:noWrap/>
            <w:vAlign w:val="center"/>
          </w:tcPr>
          <w:p w14:paraId="299A8160">
            <w:pPr>
              <w:pStyle w:val="46"/>
              <w:overflowPunct w:val="0"/>
              <w:adjustRightInd w:val="0"/>
              <w:snapToGrid w:val="0"/>
              <w:spacing w:line="300" w:lineRule="exact"/>
              <w:ind w:left="0" w:leftChars="0" w:firstLine="0" w:firstLineChars="0"/>
              <w:jc w:val="center"/>
              <w:rPr>
                <w:rFonts w:hint="default" w:ascii="Times New Roman" w:hAnsi="Times New Roman" w:cs="Times New Roman"/>
                <w:b/>
                <w:bCs/>
                <w:color w:val="000000" w:themeColor="text1"/>
                <w:sz w:val="21"/>
                <w:lang w:eastAsia="zh-CN"/>
                <w14:textFill>
                  <w14:solidFill>
                    <w14:schemeClr w14:val="tx1"/>
                  </w14:solidFill>
                </w14:textFill>
              </w:rPr>
            </w:pPr>
            <w:r>
              <w:rPr>
                <w:rFonts w:hint="default" w:ascii="Times New Roman" w:hAnsi="Times New Roman" w:cs="Times New Roman"/>
                <w:b/>
                <w:bCs/>
                <w:color w:val="000000" w:themeColor="text1"/>
                <w:sz w:val="21"/>
                <w:lang w:eastAsia="zh-CN"/>
                <w14:textFill>
                  <w14:solidFill>
                    <w14:schemeClr w14:val="tx1"/>
                  </w14:solidFill>
                </w14:textFill>
              </w:rPr>
              <w:t>备注</w:t>
            </w:r>
          </w:p>
        </w:tc>
      </w:tr>
      <w:tr w14:paraId="2941A8B0">
        <w:tblPrEx>
          <w:tblCellMar>
            <w:top w:w="0" w:type="dxa"/>
            <w:left w:w="0" w:type="dxa"/>
            <w:bottom w:w="0" w:type="dxa"/>
            <w:right w:w="0" w:type="dxa"/>
          </w:tblCellMar>
        </w:tblPrEx>
        <w:trPr>
          <w:cantSplit/>
          <w:trHeight w:val="454" w:hRule="atLeast"/>
        </w:trPr>
        <w:tc>
          <w:tcPr>
            <w:tcW w:w="247" w:type="pct"/>
            <w:tcBorders>
              <w:top w:val="single" w:color="000000" w:sz="4" w:space="0"/>
              <w:left w:val="single" w:color="000000" w:sz="4" w:space="0"/>
              <w:bottom w:val="single" w:color="000000" w:sz="4" w:space="0"/>
              <w:right w:val="single" w:color="000000" w:sz="4" w:space="0"/>
            </w:tcBorders>
            <w:noWrap/>
            <w:vAlign w:val="center"/>
          </w:tcPr>
          <w:p w14:paraId="27DD2A3C">
            <w:pPr>
              <w:pStyle w:val="46"/>
              <w:overflowPunct w:val="0"/>
              <w:adjustRightInd w:val="0"/>
              <w:snapToGrid w:val="0"/>
              <w:spacing w:line="300" w:lineRule="exact"/>
              <w:ind w:left="0" w:leftChars="0" w:firstLine="0" w:firstLineChars="0"/>
              <w:jc w:val="center"/>
              <w:rPr>
                <w:rFonts w:hint="default" w:ascii="宋体" w:hAnsi="宋体" w:eastAsia="宋体" w:cs="宋体"/>
                <w:color w:val="000000" w:themeColor="text1"/>
                <w:sz w:val="21"/>
                <w:lang w:val="en-US" w:eastAsia="zh-CN"/>
                <w14:textFill>
                  <w14:solidFill>
                    <w14:schemeClr w14:val="tx1"/>
                  </w14:solidFill>
                </w14:textFill>
              </w:rPr>
            </w:pPr>
            <w:r>
              <w:rPr>
                <w:rFonts w:hint="eastAsia" w:ascii="宋体" w:hAnsi="宋体" w:cs="宋体"/>
                <w:color w:val="000000" w:themeColor="text1"/>
                <w:sz w:val="21"/>
                <w:lang w:val="en-US" w:eastAsia="zh-CN"/>
                <w14:textFill>
                  <w14:solidFill>
                    <w14:schemeClr w14:val="tx1"/>
                  </w14:solidFill>
                </w14:textFill>
              </w:rPr>
              <w:t>1</w:t>
            </w:r>
          </w:p>
        </w:tc>
        <w:tc>
          <w:tcPr>
            <w:tcW w:w="493" w:type="pct"/>
            <w:tcBorders>
              <w:top w:val="single" w:color="000000" w:sz="4" w:space="0"/>
              <w:left w:val="single" w:color="000000" w:sz="4" w:space="0"/>
              <w:bottom w:val="single" w:color="000000" w:sz="4" w:space="0"/>
              <w:right w:val="single" w:color="000000" w:sz="4" w:space="0"/>
            </w:tcBorders>
            <w:noWrap/>
            <w:vAlign w:val="center"/>
          </w:tcPr>
          <w:p w14:paraId="2AEBB775">
            <w:pPr>
              <w:pStyle w:val="46"/>
              <w:overflowPunct w:val="0"/>
              <w:adjustRightInd w:val="0"/>
              <w:snapToGrid w:val="0"/>
              <w:spacing w:line="300" w:lineRule="exact"/>
              <w:ind w:left="0" w:leftChars="0" w:firstLine="0" w:firstLineChars="0"/>
              <w:jc w:val="center"/>
              <w:rPr>
                <w:rFonts w:hint="default" w:ascii="宋体" w:hAnsi="宋体" w:eastAsia="宋体" w:cs="宋体"/>
                <w:color w:val="000000" w:themeColor="text1"/>
                <w:sz w:val="21"/>
                <w:lang w:val="en-US" w:eastAsia="zh-CN"/>
                <w14:textFill>
                  <w14:solidFill>
                    <w14:schemeClr w14:val="tx1"/>
                  </w14:solidFill>
                </w14:textFill>
              </w:rPr>
            </w:pPr>
            <w:r>
              <w:rPr>
                <w:rFonts w:hint="eastAsia" w:ascii="宋体" w:hAnsi="宋体" w:eastAsia="宋体" w:cs="宋体"/>
                <w:color w:val="000000" w:themeColor="text1"/>
                <w:sz w:val="21"/>
                <w:lang w:val="en-US" w:eastAsia="zh-CN"/>
                <w14:textFill>
                  <w14:solidFill>
                    <w14:schemeClr w14:val="tx1"/>
                  </w14:solidFill>
                </w14:textFill>
              </w:rPr>
              <w:t>柴油</w:t>
            </w:r>
          </w:p>
        </w:tc>
        <w:tc>
          <w:tcPr>
            <w:tcW w:w="780" w:type="pct"/>
            <w:tcBorders>
              <w:top w:val="single" w:color="000000" w:sz="4" w:space="0"/>
              <w:left w:val="single" w:color="000000" w:sz="4" w:space="0"/>
              <w:bottom w:val="single" w:color="000000" w:sz="4" w:space="0"/>
              <w:right w:val="single" w:color="000000" w:sz="4" w:space="0"/>
            </w:tcBorders>
            <w:noWrap/>
            <w:vAlign w:val="center"/>
          </w:tcPr>
          <w:p w14:paraId="0A610847">
            <w:pPr>
              <w:pStyle w:val="46"/>
              <w:overflowPunct w:val="0"/>
              <w:adjustRightInd w:val="0"/>
              <w:snapToGrid w:val="0"/>
              <w:spacing w:line="300" w:lineRule="exact"/>
              <w:ind w:left="0" w:leftChars="0" w:firstLine="0" w:firstLineChars="0"/>
              <w:jc w:val="center"/>
              <w:rPr>
                <w:rFonts w:hint="default" w:ascii="宋体" w:hAnsi="宋体" w:eastAsia="宋体" w:cs="宋体"/>
                <w:color w:val="000000" w:themeColor="text1"/>
                <w:sz w:val="21"/>
                <w:lang w:val="en-US" w:eastAsia="zh-CN"/>
                <w14:textFill>
                  <w14:solidFill>
                    <w14:schemeClr w14:val="tx1"/>
                  </w14:solidFill>
                </w14:textFill>
              </w:rPr>
            </w:pPr>
            <w:r>
              <w:rPr>
                <w:rFonts w:hint="eastAsia" w:ascii="宋体" w:hAnsi="宋体" w:eastAsia="宋体" w:cs="宋体"/>
                <w:color w:val="000000" w:themeColor="text1"/>
                <w:sz w:val="21"/>
                <w:lang w:val="en-US" w:eastAsia="zh-CN"/>
                <w14:textFill>
                  <w14:solidFill>
                    <w14:schemeClr w14:val="tx1"/>
                  </w14:solidFill>
                </w14:textFill>
              </w:rPr>
              <w:t>5000</w:t>
            </w:r>
          </w:p>
        </w:tc>
        <w:tc>
          <w:tcPr>
            <w:tcW w:w="976" w:type="pct"/>
            <w:tcBorders>
              <w:top w:val="single" w:color="000000" w:sz="4" w:space="0"/>
              <w:left w:val="single" w:color="000000" w:sz="4" w:space="0"/>
              <w:bottom w:val="single" w:color="000000" w:sz="4" w:space="0"/>
              <w:right w:val="single" w:color="000000" w:sz="4" w:space="0"/>
            </w:tcBorders>
            <w:noWrap/>
            <w:vAlign w:val="center"/>
          </w:tcPr>
          <w:p w14:paraId="39095EC7">
            <w:pPr>
              <w:pStyle w:val="46"/>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lang w:eastAsia="zh-CN"/>
                <w14:textFill>
                  <w14:solidFill>
                    <w14:schemeClr w14:val="tx1"/>
                  </w14:solidFill>
                </w14:textFill>
              </w:rPr>
            </w:pPr>
            <w:r>
              <w:rPr>
                <w:rFonts w:hint="eastAsia" w:ascii="宋体" w:hAnsi="宋体" w:cs="宋体"/>
                <w:color w:val="000000" w:themeColor="text1"/>
                <w:sz w:val="21"/>
                <w:lang w:val="en-US" w:eastAsia="zh-CN"/>
                <w14:textFill>
                  <w14:solidFill>
                    <w14:schemeClr w14:val="tx1"/>
                  </w14:solidFill>
                </w14:textFill>
              </w:rPr>
              <w:t>0.005</w:t>
            </w:r>
            <w:r>
              <w:rPr>
                <w:rFonts w:hint="eastAsia" w:ascii="宋体" w:hAnsi="宋体" w:eastAsia="宋体" w:cs="宋体"/>
                <w:color w:val="000000" w:themeColor="text1"/>
                <w:sz w:val="21"/>
                <w:lang w:eastAsia="zh-CN"/>
                <w14:textFill>
                  <w14:solidFill>
                    <w14:schemeClr w14:val="tx1"/>
                  </w14:solidFill>
                </w14:textFill>
              </w:rPr>
              <w:t>×0.</w:t>
            </w:r>
            <w:r>
              <w:rPr>
                <w:rFonts w:hint="eastAsia" w:ascii="宋体" w:hAnsi="宋体" w:cs="宋体"/>
                <w:color w:val="000000" w:themeColor="text1"/>
                <w:sz w:val="21"/>
                <w:lang w:val="en-US" w:eastAsia="zh-CN"/>
                <w14:textFill>
                  <w14:solidFill>
                    <w14:schemeClr w14:val="tx1"/>
                  </w14:solidFill>
                </w14:textFill>
              </w:rPr>
              <w:t>85</w:t>
            </w:r>
            <w:r>
              <w:rPr>
                <w:rFonts w:hint="eastAsia" w:ascii="宋体" w:hAnsi="宋体" w:eastAsia="宋体" w:cs="宋体"/>
                <w:color w:val="000000" w:themeColor="text1"/>
                <w:sz w:val="21"/>
                <w:lang w:eastAsia="zh-CN"/>
                <w14:textFill>
                  <w14:solidFill>
                    <w14:schemeClr w14:val="tx1"/>
                  </w14:solidFill>
                </w14:textFill>
              </w:rPr>
              <w:t>=0.0</w:t>
            </w:r>
            <w:r>
              <w:rPr>
                <w:rFonts w:hint="eastAsia" w:ascii="宋体" w:hAnsi="宋体" w:cs="宋体"/>
                <w:color w:val="000000" w:themeColor="text1"/>
                <w:sz w:val="21"/>
                <w:lang w:val="en-US" w:eastAsia="zh-CN"/>
                <w14:textFill>
                  <w14:solidFill>
                    <w14:schemeClr w14:val="tx1"/>
                  </w14:solidFill>
                </w14:textFill>
              </w:rPr>
              <w:t>0425</w:t>
            </w:r>
            <w:r>
              <w:rPr>
                <w:rFonts w:hint="eastAsia" w:ascii="宋体" w:hAnsi="宋体" w:eastAsia="宋体" w:cs="宋体"/>
                <w:color w:val="000000" w:themeColor="text1"/>
                <w:sz w:val="21"/>
                <w:lang w:eastAsia="zh-CN"/>
                <w14:textFill>
                  <w14:solidFill>
                    <w14:schemeClr w14:val="tx1"/>
                  </w14:solidFill>
                </w14:textFill>
              </w:rPr>
              <w:t>t</w:t>
            </w:r>
          </w:p>
        </w:tc>
        <w:tc>
          <w:tcPr>
            <w:tcW w:w="876" w:type="pct"/>
            <w:tcBorders>
              <w:top w:val="single" w:color="000000" w:sz="4" w:space="0"/>
              <w:left w:val="single" w:color="000000" w:sz="4" w:space="0"/>
              <w:bottom w:val="single" w:color="000000" w:sz="4" w:space="0"/>
              <w:right w:val="single" w:color="000000" w:sz="4" w:space="0"/>
            </w:tcBorders>
            <w:noWrap/>
            <w:vAlign w:val="center"/>
          </w:tcPr>
          <w:p w14:paraId="082AABBF">
            <w:pPr>
              <w:pStyle w:val="46"/>
              <w:overflowPunct w:val="0"/>
              <w:adjustRightInd w:val="0"/>
              <w:snapToGrid w:val="0"/>
              <w:spacing w:line="300" w:lineRule="exact"/>
              <w:jc w:val="center"/>
              <w:rPr>
                <w:rFonts w:hint="default" w:ascii="宋体" w:hAnsi="宋体" w:eastAsia="宋体" w:cs="宋体"/>
                <w:color w:val="000000" w:themeColor="text1"/>
                <w:sz w:val="21"/>
                <w:lang w:val="en-US" w:eastAsia="zh-CN"/>
                <w14:textFill>
                  <w14:solidFill>
                    <w14:schemeClr w14:val="tx1"/>
                  </w14:solidFill>
                </w14:textFill>
              </w:rPr>
            </w:pPr>
            <w:r>
              <w:rPr>
                <w:rFonts w:hint="eastAsia" w:ascii="宋体" w:hAnsi="宋体" w:cs="宋体"/>
                <w:color w:val="000000" w:themeColor="text1"/>
                <w:sz w:val="21"/>
                <w:lang w:val="en-US" w:eastAsia="zh-CN"/>
                <w14:textFill>
                  <w14:solidFill>
                    <w14:schemeClr w14:val="tx1"/>
                  </w14:solidFill>
                </w14:textFill>
              </w:rPr>
              <w:t>0.00000085</w:t>
            </w:r>
          </w:p>
        </w:tc>
        <w:tc>
          <w:tcPr>
            <w:tcW w:w="1104" w:type="pct"/>
            <w:tcBorders>
              <w:top w:val="single" w:color="000000" w:sz="4" w:space="0"/>
              <w:left w:val="single" w:color="000000" w:sz="4" w:space="0"/>
              <w:bottom w:val="single" w:color="000000" w:sz="4" w:space="0"/>
              <w:right w:val="single" w:color="000000" w:sz="4" w:space="0"/>
            </w:tcBorders>
            <w:noWrap/>
            <w:vAlign w:val="center"/>
          </w:tcPr>
          <w:p w14:paraId="3C8E4D2B">
            <w:pPr>
              <w:pStyle w:val="46"/>
              <w:overflowPunct w:val="0"/>
              <w:adjustRightInd w:val="0"/>
              <w:snapToGrid w:val="0"/>
              <w:spacing w:line="300" w:lineRule="exact"/>
              <w:jc w:val="center"/>
              <w:rPr>
                <w:rFonts w:hint="default" w:ascii="Times New Roman" w:hAnsi="Times New Roman" w:cs="Times New Roman"/>
                <w:color w:val="000000" w:themeColor="text1"/>
                <w:sz w:val="22"/>
                <w:lang w:eastAsia="en-US"/>
                <w14:textFill>
                  <w14:solidFill>
                    <w14:schemeClr w14:val="tx1"/>
                  </w14:solidFill>
                </w14:textFill>
              </w:rPr>
            </w:pPr>
            <w:r>
              <w:rPr>
                <w:rFonts w:hint="eastAsia" w:ascii="宋体" w:hAnsi="宋体" w:eastAsia="宋体" w:cs="宋体"/>
                <w:color w:val="000000" w:themeColor="text1"/>
                <w:sz w:val="21"/>
                <w:lang w:eastAsia="zh-CN"/>
                <w14:textFill>
                  <w14:solidFill>
                    <w14:schemeClr w14:val="tx1"/>
                  </w14:solidFill>
                </w14:textFill>
              </w:rPr>
              <w:t>否</w:t>
            </w:r>
          </w:p>
        </w:tc>
        <w:tc>
          <w:tcPr>
            <w:tcW w:w="520" w:type="pct"/>
            <w:tcBorders>
              <w:top w:val="single" w:color="000000" w:sz="4" w:space="0"/>
              <w:left w:val="single" w:color="000000" w:sz="4" w:space="0"/>
              <w:bottom w:val="single" w:color="000000" w:sz="4" w:space="0"/>
              <w:right w:val="single" w:color="000000" w:sz="4" w:space="0"/>
            </w:tcBorders>
            <w:noWrap/>
            <w:vAlign w:val="center"/>
          </w:tcPr>
          <w:p w14:paraId="2760B818">
            <w:pPr>
              <w:overflowPunct w:val="0"/>
              <w:adjustRightInd w:val="0"/>
              <w:snapToGrid w:val="0"/>
              <w:spacing w:line="300" w:lineRule="exact"/>
              <w:jc w:val="center"/>
              <w:rPr>
                <w:rFonts w:hint="default" w:ascii="Times New Roman" w:hAnsi="Times New Roman" w:cs="Times New Roman"/>
                <w:color w:val="000000" w:themeColor="text1"/>
                <w:sz w:val="22"/>
                <w:lang w:eastAsia="en-US"/>
                <w14:textFill>
                  <w14:solidFill>
                    <w14:schemeClr w14:val="tx1"/>
                  </w14:solidFill>
                </w14:textFill>
              </w:rPr>
            </w:pPr>
          </w:p>
        </w:tc>
      </w:tr>
    </w:tbl>
    <w:p w14:paraId="0672A745">
      <w:pPr>
        <w:adjustRightInd w:val="0"/>
        <w:snapToGrid w:val="0"/>
        <w:spacing w:line="500" w:lineRule="exact"/>
        <w:contextualSpacing/>
        <w:rPr>
          <w:rFonts w:hint="eastAsia" w:ascii="宋体" w:hAnsi="宋体" w:eastAsia="宋体" w:cs="宋体"/>
          <w:bCs/>
          <w:color w:val="000000" w:themeColor="text1"/>
          <w:sz w:val="28"/>
          <w:szCs w:val="28"/>
          <w:lang w:eastAsia="zh-CN"/>
          <w14:textFill>
            <w14:solidFill>
              <w14:schemeClr w14:val="tx1"/>
            </w14:solidFill>
          </w14:textFill>
        </w:rPr>
      </w:pPr>
      <w:r>
        <w:rPr>
          <w:rFonts w:ascii="Times New Roman" w:hAnsi="Times New Roman"/>
          <w:b/>
          <w:sz w:val="28"/>
          <w:szCs w:val="28"/>
        </w:rPr>
        <w:t>辨识结果：</w:t>
      </w:r>
      <w:r>
        <w:rPr>
          <w:rFonts w:hint="eastAsia" w:ascii="宋体" w:hAnsi="宋体"/>
          <w:bCs/>
          <w:color w:val="000000"/>
          <w:spacing w:val="8"/>
          <w:sz w:val="28"/>
          <w:szCs w:val="28"/>
        </w:rPr>
        <w:t>企业涉及的危险化学品</w:t>
      </w:r>
      <w:r>
        <w:rPr>
          <w:rFonts w:hint="default" w:ascii="Times New Roman" w:hAnsi="Times New Roman" w:cs="Times New Roman"/>
          <w:color w:val="000000" w:themeColor="text1"/>
          <w:sz w:val="28"/>
          <w:szCs w:val="28"/>
          <w14:textFill>
            <w14:solidFill>
              <w14:schemeClr w14:val="tx1"/>
            </w14:solidFill>
          </w14:textFill>
        </w:rPr>
        <w:t>S＜1</w:t>
      </w:r>
      <w:r>
        <w:rPr>
          <w:rFonts w:hint="eastAsia" w:ascii="Times New Roman" w:hAnsi="Times New Roman" w:cs="Times New Roman"/>
          <w:color w:val="000000" w:themeColor="text1"/>
          <w:sz w:val="28"/>
          <w:szCs w:val="28"/>
          <w:lang w:eastAsia="zh-CN"/>
          <w14:textFill>
            <w14:solidFill>
              <w14:schemeClr w14:val="tx1"/>
            </w14:solidFill>
          </w14:textFill>
        </w:rPr>
        <w:t>，</w:t>
      </w:r>
      <w:r>
        <w:rPr>
          <w:rFonts w:hint="eastAsia" w:ascii="Times New Roman" w:hAnsi="Times New Roman" w:cs="Times New Roman"/>
          <w:color w:val="000000" w:themeColor="text1"/>
          <w:sz w:val="28"/>
          <w:szCs w:val="28"/>
          <w:lang w:val="en-US" w:eastAsia="zh-CN"/>
          <w14:textFill>
            <w14:solidFill>
              <w14:schemeClr w14:val="tx1"/>
            </w14:solidFill>
          </w14:textFill>
        </w:rPr>
        <w:t>故</w:t>
      </w:r>
      <w:r>
        <w:rPr>
          <w:rFonts w:hint="eastAsia" w:ascii="宋体" w:hAnsi="宋体"/>
          <w:bCs/>
          <w:color w:val="000000"/>
          <w:spacing w:val="8"/>
          <w:sz w:val="28"/>
          <w:szCs w:val="28"/>
        </w:rPr>
        <w:t>不构成重大危险源。</w:t>
      </w:r>
    </w:p>
    <w:p w14:paraId="4CE92AD7">
      <w:pPr>
        <w:pStyle w:val="5"/>
        <w:keepNext w:val="0"/>
        <w:keepLines w:val="0"/>
        <w:pageBreakBefore w:val="0"/>
        <w:widowControl w:val="0"/>
        <w:kinsoku/>
        <w:wordWrap/>
        <w:overflowPunct/>
        <w:topLinePunct w:val="0"/>
        <w:autoSpaceDE/>
        <w:autoSpaceDN/>
        <w:bidi w:val="0"/>
        <w:adjustRightInd/>
        <w:snapToGrid w:val="0"/>
        <w:spacing w:line="520" w:lineRule="exact"/>
        <w:ind w:firstLine="0" w:firstLineChars="0"/>
        <w:jc w:val="both"/>
        <w:textAlignment w:val="auto"/>
        <w:rPr>
          <w:rFonts w:hint="eastAsia" w:ascii="宋体" w:hAnsi="宋体" w:eastAsia="宋体" w:cs="宋体"/>
          <w:color w:val="000000" w:themeColor="text1"/>
          <w:kern w:val="0"/>
          <w14:textFill>
            <w14:solidFill>
              <w14:schemeClr w14:val="tx1"/>
            </w14:solidFill>
          </w14:textFill>
        </w:rPr>
      </w:pPr>
      <w:bookmarkStart w:id="431" w:name="_Toc360019845"/>
      <w:r>
        <w:rPr>
          <w:rFonts w:hint="eastAsia" w:ascii="宋体" w:hAnsi="宋体" w:eastAsia="宋体" w:cs="宋体"/>
          <w:color w:val="000000" w:themeColor="text1"/>
          <w:kern w:val="0"/>
          <w14:textFill>
            <w14:solidFill>
              <w14:schemeClr w14:val="tx1"/>
            </w14:solidFill>
          </w14:textFill>
        </w:rPr>
        <w:t>3.10.2.2重大危险源辨识</w:t>
      </w:r>
      <w:bookmarkEnd w:id="431"/>
      <w:r>
        <w:rPr>
          <w:rFonts w:hint="eastAsia" w:ascii="宋体" w:hAnsi="宋体" w:eastAsia="宋体" w:cs="宋体"/>
          <w:color w:val="000000" w:themeColor="text1"/>
          <w:kern w:val="0"/>
          <w14:textFill>
            <w14:solidFill>
              <w14:schemeClr w14:val="tx1"/>
            </w14:solidFill>
          </w14:textFill>
        </w:rPr>
        <w:t>结论</w:t>
      </w:r>
    </w:p>
    <w:p w14:paraId="79D20063">
      <w:pPr>
        <w:adjustRightInd w:val="0"/>
        <w:snapToGrid w:val="0"/>
        <w:spacing w:line="500" w:lineRule="exact"/>
        <w:ind w:firstLine="560" w:firstLineChars="200"/>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根据《危险化学品重大危险源辨识》（</w:t>
      </w:r>
      <w:r>
        <w:rPr>
          <w:rFonts w:hint="eastAsia" w:ascii="宋体" w:hAnsi="宋体" w:eastAsia="宋体" w:cs="宋体"/>
          <w:color w:val="000000" w:themeColor="text1"/>
          <w:sz w:val="28"/>
          <w:szCs w:val="28"/>
          <w14:textFill>
            <w14:solidFill>
              <w14:schemeClr w14:val="tx1"/>
            </w14:solidFill>
          </w14:textFill>
        </w:rPr>
        <w:t>GB 18218-2018），</w:t>
      </w:r>
      <w:r>
        <w:rPr>
          <w:rFonts w:hint="eastAsia" w:ascii="宋体" w:hAnsi="宋体" w:eastAsia="宋体" w:cs="宋体"/>
          <w:color w:val="000000" w:themeColor="text1"/>
          <w:sz w:val="28"/>
          <w:szCs w:val="28"/>
          <w:lang w:eastAsia="zh-CN"/>
          <w14:textFill>
            <w14:solidFill>
              <w14:schemeClr w14:val="tx1"/>
            </w14:solidFill>
          </w14:textFill>
        </w:rPr>
        <w:t>玉溪正宇智能科技有限公司</w:t>
      </w:r>
      <w:r>
        <w:rPr>
          <w:rFonts w:hint="eastAsia" w:ascii="宋体" w:hAnsi="宋体" w:eastAsia="宋体" w:cs="宋体"/>
          <w:color w:val="000000" w:themeColor="text1"/>
          <w:sz w:val="28"/>
          <w:szCs w:val="28"/>
          <w:lang w:val="en-US" w:eastAsia="zh-CN"/>
          <w14:textFill>
            <w14:solidFill>
              <w14:schemeClr w14:val="tx1"/>
            </w14:solidFill>
          </w14:textFill>
        </w:rPr>
        <w:t>安全现状评价</w:t>
      </w:r>
      <w:r>
        <w:rPr>
          <w:rFonts w:hint="eastAsia" w:ascii="宋体" w:hAnsi="宋体" w:eastAsia="宋体" w:cs="宋体"/>
          <w:color w:val="000000" w:themeColor="text1"/>
          <w:sz w:val="28"/>
          <w:szCs w:val="28"/>
          <w:lang w:eastAsia="zh-CN"/>
          <w14:textFill>
            <w14:solidFill>
              <w14:schemeClr w14:val="tx1"/>
            </w14:solidFill>
          </w14:textFill>
        </w:rPr>
        <w:t>项目</w:t>
      </w:r>
      <w:r>
        <w:rPr>
          <w:rFonts w:hint="eastAsia" w:ascii="宋体" w:hAnsi="宋体" w:eastAsia="宋体" w:cs="宋体"/>
          <w:color w:val="000000" w:themeColor="text1"/>
          <w:sz w:val="28"/>
          <w:szCs w:val="28"/>
          <w14:textFill>
            <w14:solidFill>
              <w14:schemeClr w14:val="tx1"/>
            </w14:solidFill>
          </w14:textFill>
        </w:rPr>
        <w:t>涉及</w:t>
      </w:r>
      <w:r>
        <w:rPr>
          <w:rFonts w:hint="eastAsia" w:ascii="宋体" w:hAnsi="宋体" w:eastAsia="宋体" w:cs="宋体"/>
          <w:color w:val="000000" w:themeColor="text1"/>
          <w:sz w:val="28"/>
          <w:szCs w:val="28"/>
          <w:lang w:val="en-US" w:eastAsia="zh-CN"/>
          <w14:textFill>
            <w14:solidFill>
              <w14:schemeClr w14:val="tx1"/>
            </w14:solidFill>
          </w14:textFill>
        </w:rPr>
        <w:t>使用的</w:t>
      </w:r>
      <w:r>
        <w:rPr>
          <w:rFonts w:hint="eastAsia" w:ascii="宋体" w:hAnsi="宋体" w:eastAsia="宋体" w:cs="宋体"/>
          <w:color w:val="000000" w:themeColor="text1"/>
          <w:sz w:val="28"/>
          <w14:textFill>
            <w14:solidFill>
              <w14:schemeClr w14:val="tx1"/>
            </w14:solidFill>
          </w14:textFill>
        </w:rPr>
        <w:t>危险化学品</w:t>
      </w:r>
      <w:r>
        <w:rPr>
          <w:rFonts w:hint="eastAsia" w:ascii="宋体" w:hAnsi="宋体" w:eastAsia="宋体" w:cs="宋体"/>
          <w:color w:val="000000" w:themeColor="text1"/>
          <w:sz w:val="28"/>
          <w:szCs w:val="28"/>
          <w14:textFill>
            <w14:solidFill>
              <w14:schemeClr w14:val="tx1"/>
            </w14:solidFill>
          </w14:textFill>
        </w:rPr>
        <w:t>不构成危险化学品重大危险源</w:t>
      </w:r>
      <w:r>
        <w:rPr>
          <w:rFonts w:hint="eastAsia" w:ascii="宋体" w:hAnsi="宋体" w:eastAsia="宋体" w:cs="宋体"/>
          <w:snapToGrid w:val="0"/>
          <w:color w:val="000000" w:themeColor="text1"/>
          <w:kern w:val="0"/>
          <w:sz w:val="28"/>
          <w:szCs w:val="28"/>
          <w14:textFill>
            <w14:solidFill>
              <w14:schemeClr w14:val="tx1"/>
            </w14:solidFill>
          </w14:textFill>
        </w:rPr>
        <w:t>。</w:t>
      </w:r>
    </w:p>
    <w:p w14:paraId="56FFB72C">
      <w:pPr>
        <w:adjustRightInd w:val="0"/>
        <w:snapToGrid w:val="0"/>
        <w:spacing w:line="500" w:lineRule="exact"/>
        <w:rPr>
          <w:rFonts w:hint="eastAsia" w:ascii="宋体" w:hAnsi="宋体" w:eastAsia="宋体" w:cs="宋体"/>
          <w:snapToGrid w:val="0"/>
          <w:color w:val="000000" w:themeColor="text1"/>
          <w:kern w:val="0"/>
          <w:sz w:val="28"/>
          <w:szCs w:val="28"/>
          <w14:textFill>
            <w14:solidFill>
              <w14:schemeClr w14:val="tx1"/>
            </w14:solidFill>
          </w14:textFill>
        </w:rPr>
      </w:pPr>
    </w:p>
    <w:p w14:paraId="173AAA62">
      <w:pPr>
        <w:pStyle w:val="2"/>
        <w:keepNext/>
        <w:keepLines/>
        <w:pageBreakBefore w:val="0"/>
        <w:widowControl w:val="0"/>
        <w:kinsoku/>
        <w:wordWrap/>
        <w:overflowPunct/>
        <w:topLinePunct w:val="0"/>
        <w:autoSpaceDE/>
        <w:autoSpaceDN/>
        <w:bidi w:val="0"/>
        <w:adjustRightInd/>
        <w:snapToGrid w:val="0"/>
        <w:spacing w:before="100" w:beforeAutospacing="1" w:after="100" w:afterAutospacing="1"/>
        <w:textAlignment w:val="auto"/>
        <w:rPr>
          <w:rFonts w:hint="eastAsia" w:ascii="宋体" w:hAnsi="宋体" w:eastAsia="宋体" w:cs="宋体"/>
          <w:color w:val="000000" w:themeColor="text1"/>
          <w14:textFill>
            <w14:solidFill>
              <w14:schemeClr w14:val="tx1"/>
            </w14:solidFill>
          </w14:textFill>
        </w:rPr>
      </w:pPr>
      <w:bookmarkStart w:id="432" w:name="_Toc22200"/>
      <w:bookmarkStart w:id="433" w:name="_Toc1699"/>
      <w:bookmarkStart w:id="434" w:name="_Toc19234"/>
      <w:bookmarkStart w:id="435" w:name="_Toc9226"/>
      <w:bookmarkStart w:id="436" w:name="_Toc7256"/>
      <w:r>
        <w:rPr>
          <w:rFonts w:hint="eastAsia" w:ascii="宋体" w:hAnsi="宋体" w:eastAsia="宋体" w:cs="宋体"/>
          <w:color w:val="000000" w:themeColor="text1"/>
          <w14:textFill>
            <w14:solidFill>
              <w14:schemeClr w14:val="tx1"/>
            </w14:solidFill>
          </w14:textFill>
        </w:rPr>
        <w:t>第4章  评价单元划分及评价方法选择</w:t>
      </w:r>
      <w:bookmarkEnd w:id="432"/>
      <w:bookmarkEnd w:id="433"/>
      <w:bookmarkEnd w:id="434"/>
      <w:bookmarkEnd w:id="435"/>
      <w:bookmarkEnd w:id="436"/>
    </w:p>
    <w:p w14:paraId="26A1EEB4">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437" w:name="_Toc213410604"/>
      <w:bookmarkStart w:id="438" w:name="_Toc195156252"/>
      <w:bookmarkStart w:id="439" w:name="_Toc207527407"/>
      <w:bookmarkStart w:id="440" w:name="_Toc4065"/>
      <w:bookmarkStart w:id="441" w:name="_Toc212043609"/>
      <w:bookmarkStart w:id="442" w:name="_Toc30933"/>
      <w:bookmarkStart w:id="443" w:name="_Toc14224"/>
      <w:bookmarkStart w:id="444" w:name="_Toc231978505"/>
      <w:bookmarkStart w:id="445" w:name="_Toc233668306"/>
      <w:bookmarkStart w:id="446" w:name="_Toc5393"/>
      <w:bookmarkStart w:id="447" w:name="_Toc13276"/>
      <w:bookmarkStart w:id="448" w:name="_Toc14423"/>
      <w:bookmarkStart w:id="449" w:name="_Toc3727"/>
      <w:bookmarkStart w:id="450" w:name="_Toc5033"/>
      <w:bookmarkStart w:id="451" w:name="_Toc335926256"/>
      <w:bookmarkStart w:id="452" w:name="_Toc13141"/>
      <w:bookmarkStart w:id="453" w:name="_Toc313453581"/>
      <w:bookmarkStart w:id="454" w:name="_Toc10765"/>
      <w:bookmarkStart w:id="455" w:name="_Toc32119"/>
      <w:r>
        <w:rPr>
          <w:rFonts w:hint="eastAsia" w:ascii="宋体" w:hAnsi="宋体" w:eastAsia="宋体" w:cs="宋体"/>
          <w:color w:val="000000" w:themeColor="text1"/>
          <w:kern w:val="0"/>
          <w14:textFill>
            <w14:solidFill>
              <w14:schemeClr w14:val="tx1"/>
            </w14:solidFill>
          </w14:textFill>
        </w:rPr>
        <w:t>4.1</w:t>
      </w:r>
      <w:r>
        <w:rPr>
          <w:rFonts w:hint="eastAsia" w:ascii="宋体" w:hAnsi="宋体" w:eastAsia="宋体" w:cs="宋体"/>
          <w:color w:val="000000" w:themeColor="text1"/>
          <w:kern w:val="0"/>
          <w:lang w:val="en-US" w:eastAsia="zh-CN"/>
          <w14:textFill>
            <w14:solidFill>
              <w14:schemeClr w14:val="tx1"/>
            </w14:solidFill>
          </w14:textFill>
        </w:rPr>
        <w:t xml:space="preserve"> </w:t>
      </w:r>
      <w:r>
        <w:rPr>
          <w:rFonts w:hint="eastAsia" w:ascii="宋体" w:hAnsi="宋体" w:eastAsia="宋体" w:cs="宋体"/>
          <w:color w:val="000000" w:themeColor="text1"/>
          <w:kern w:val="0"/>
          <w14:textFill>
            <w14:solidFill>
              <w14:schemeClr w14:val="tx1"/>
            </w14:solidFill>
          </w14:textFill>
        </w:rPr>
        <w:t>安全评价单元划分</w:t>
      </w:r>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p>
    <w:p w14:paraId="37E7188C">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456" w:name="_Toc233668307"/>
      <w:bookmarkStart w:id="457" w:name="_Toc28570"/>
      <w:bookmarkStart w:id="458" w:name="_Toc2810"/>
      <w:bookmarkStart w:id="459" w:name="_Toc3603"/>
      <w:bookmarkStart w:id="460" w:name="_Toc207527408"/>
      <w:bookmarkStart w:id="461" w:name="_Toc187699915"/>
      <w:bookmarkStart w:id="462" w:name="_Toc213410605"/>
      <w:bookmarkStart w:id="463" w:name="_Toc188863910"/>
      <w:bookmarkStart w:id="464" w:name="_Toc17788"/>
      <w:bookmarkStart w:id="465" w:name="_Toc28774"/>
      <w:bookmarkStart w:id="466" w:name="_Toc30637"/>
      <w:bookmarkStart w:id="467" w:name="_Toc8884"/>
      <w:bookmarkStart w:id="468" w:name="_Toc231978506"/>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4.1.1 评价单元划分原则</w:t>
      </w:r>
      <w:bookmarkEnd w:id="456"/>
      <w:bookmarkEnd w:id="457"/>
      <w:bookmarkEnd w:id="458"/>
      <w:bookmarkEnd w:id="459"/>
      <w:bookmarkEnd w:id="460"/>
      <w:bookmarkEnd w:id="461"/>
      <w:bookmarkEnd w:id="462"/>
      <w:bookmarkEnd w:id="463"/>
      <w:bookmarkEnd w:id="464"/>
      <w:bookmarkEnd w:id="465"/>
      <w:bookmarkEnd w:id="466"/>
      <w:bookmarkEnd w:id="467"/>
      <w:bookmarkEnd w:id="468"/>
    </w:p>
    <w:p w14:paraId="2066B85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划分评价单元是为评价目标和选用评价方法服务的，要便于评价工作的进行，有利于提高评价工作的准确性。评价单元的划分，一般将生产工艺、工艺装置、物料的特点和特性与危险、有害因素的类别、分布有机结合进行划分，还可以按评价的需要将一个评价单元再划分为若干子评价单元或更细致的单元。</w:t>
      </w:r>
    </w:p>
    <w:p w14:paraId="383F33F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常用的评价单元划分原则如下：</w:t>
      </w:r>
    </w:p>
    <w:p w14:paraId="0D3BFD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eastAsia="zh-CN"/>
          <w14:textFill>
            <w14:solidFill>
              <w14:schemeClr w14:val="tx1"/>
            </w14:solidFill>
          </w14:textFill>
        </w:rPr>
        <w:t>1．</w:t>
      </w:r>
      <w:r>
        <w:rPr>
          <w:rFonts w:hint="eastAsia" w:ascii="宋体" w:hAnsi="宋体" w:eastAsia="宋体" w:cs="宋体"/>
          <w:color w:val="000000" w:themeColor="text1"/>
          <w:sz w:val="28"/>
          <w:szCs w:val="28"/>
          <w:lang w:val="en-GB"/>
          <w14:textFill>
            <w14:solidFill>
              <w14:schemeClr w14:val="tx1"/>
            </w14:solidFill>
          </w14:textFill>
        </w:rPr>
        <w:t>按危险、有害因素的类别为主划分评价单元；</w:t>
      </w:r>
    </w:p>
    <w:p w14:paraId="602E0A2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eastAsia="zh-CN"/>
          <w14:textFill>
            <w14:solidFill>
              <w14:schemeClr w14:val="tx1"/>
            </w14:solidFill>
          </w14:textFill>
        </w:rPr>
        <w:t>2．</w:t>
      </w:r>
      <w:r>
        <w:rPr>
          <w:rFonts w:hint="eastAsia" w:ascii="宋体" w:hAnsi="宋体" w:eastAsia="宋体" w:cs="宋体"/>
          <w:color w:val="000000" w:themeColor="text1"/>
          <w:sz w:val="28"/>
          <w:szCs w:val="28"/>
          <w:lang w:val="en-GB"/>
          <w14:textFill>
            <w14:solidFill>
              <w14:schemeClr w14:val="tx1"/>
            </w14:solidFill>
          </w14:textFill>
        </w:rPr>
        <w:t>按装置和物质特征划分评价单元；</w:t>
      </w:r>
    </w:p>
    <w:p w14:paraId="38C25CB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eastAsia="zh-CN"/>
          <w14:textFill>
            <w14:solidFill>
              <w14:schemeClr w14:val="tx1"/>
            </w14:solidFill>
          </w14:textFill>
        </w:rPr>
        <w:t>3．</w:t>
      </w:r>
      <w:r>
        <w:rPr>
          <w:rFonts w:hint="eastAsia" w:ascii="宋体" w:hAnsi="宋体" w:eastAsia="宋体" w:cs="宋体"/>
          <w:color w:val="000000" w:themeColor="text1"/>
          <w:sz w:val="28"/>
          <w:szCs w:val="28"/>
          <w:lang w:val="en-GB"/>
          <w14:textFill>
            <w14:solidFill>
              <w14:schemeClr w14:val="tx1"/>
            </w14:solidFill>
          </w14:textFill>
        </w:rPr>
        <w:t>可以将安全管理、外部周边情况分别划为一个评价单元。</w:t>
      </w:r>
    </w:p>
    <w:p w14:paraId="71CA134D">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469" w:name="_Toc18070"/>
      <w:bookmarkStart w:id="470" w:name="_Toc7612"/>
      <w:bookmarkStart w:id="471" w:name="_Toc1682"/>
      <w:bookmarkStart w:id="472" w:name="_Toc61474454"/>
      <w:bookmarkStart w:id="473" w:name="_Toc22354"/>
      <w:bookmarkStart w:id="474" w:name="_Toc19182"/>
      <w:bookmarkStart w:id="475" w:name="_Toc30001431"/>
      <w:bookmarkStart w:id="476" w:name="_Toc278151412"/>
      <w:bookmarkStart w:id="477" w:name="_Toc216867553"/>
      <w:bookmarkStart w:id="478" w:name="_Toc2178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4.1.2评价单元划分方法</w:t>
      </w:r>
      <w:bookmarkEnd w:id="469"/>
      <w:bookmarkEnd w:id="470"/>
      <w:bookmarkEnd w:id="471"/>
      <w:bookmarkEnd w:id="472"/>
      <w:bookmarkEnd w:id="473"/>
      <w:bookmarkEnd w:id="474"/>
      <w:bookmarkEnd w:id="475"/>
      <w:bookmarkEnd w:id="476"/>
      <w:bookmarkEnd w:id="477"/>
      <w:bookmarkEnd w:id="478"/>
    </w:p>
    <w:p w14:paraId="70535C1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划分评价单元的方法主要有两类，一是以危险、有害因素的类别为主来划分；二是以生产工艺装置或场所为主来划分。常用的评价单元划分方法有：</w:t>
      </w:r>
    </w:p>
    <w:p w14:paraId="4901E1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lang w:val="zh-CN"/>
          <w14:textFill>
            <w14:solidFill>
              <w14:schemeClr w14:val="tx1"/>
            </w14:solidFill>
          </w14:textFill>
        </w:rPr>
        <w:t>以危险、有害因素的类别为主划分评价单元。</w:t>
      </w:r>
    </w:p>
    <w:p w14:paraId="683526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（1）对工艺方案、总体布置及自然条件、环境对系统影响等综合方面的危险、有害因素的分析和评价，可将整个系统作为一个评价单元；</w:t>
      </w:r>
    </w:p>
    <w:p w14:paraId="5A1C44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（2）将具有共性危险因素、有害因素的场所和装置划为一个单元。</w:t>
      </w:r>
    </w:p>
    <w:p w14:paraId="096F73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zh-CN"/>
          <w14:textFill>
            <w14:solidFill>
              <w14:schemeClr w14:val="tx1"/>
            </w14:solidFill>
          </w14:textFill>
        </w:rPr>
        <w:t>以装置和物质特征划分评价单元。</w:t>
      </w:r>
    </w:p>
    <w:p w14:paraId="139D55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（1）按装置工艺功能划分；</w:t>
      </w:r>
    </w:p>
    <w:p w14:paraId="15F517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（2）按布置的相对独立性划分；</w:t>
      </w:r>
    </w:p>
    <w:p w14:paraId="76904CE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（3）按工艺条件划分评价单元；</w:t>
      </w:r>
    </w:p>
    <w:p w14:paraId="18E3C6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（4）按贮存、处理危险物品的潜在化学能、毒性和危险物品的数量划分评价单元；</w:t>
      </w:r>
    </w:p>
    <w:p w14:paraId="754456A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（5）根据以往事故资料，将发生事故能导致停产、波及范围大、造成巨大损失和伤害的关键设备作为一个单元；</w:t>
      </w:r>
    </w:p>
    <w:p w14:paraId="59BD19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（6）将危险性大且资金密度大的区域作为一个评价单元；</w:t>
      </w:r>
    </w:p>
    <w:p w14:paraId="467C1C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（7）将危险性特别大的区域、装置作为一个评价单元；</w:t>
      </w:r>
    </w:p>
    <w:p w14:paraId="224E1C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（8）将具有类似危险性潜能的单元合并为一个大单元。</w:t>
      </w:r>
    </w:p>
    <w:p w14:paraId="1C67508C">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479" w:name="_Toc17199"/>
      <w:bookmarkStart w:id="480" w:name="_Toc9692"/>
      <w:bookmarkStart w:id="481" w:name="_Toc30492"/>
      <w:r>
        <w:rPr>
          <w:rFonts w:hint="eastAsia" w:ascii="宋体" w:hAnsi="宋体" w:eastAsia="宋体" w:cs="宋体"/>
          <w:color w:val="000000" w:themeColor="text1"/>
          <w:kern w:val="0"/>
          <w14:textFill>
            <w14:solidFill>
              <w14:schemeClr w14:val="tx1"/>
            </w14:solidFill>
          </w14:textFill>
        </w:rPr>
        <w:t>4.2</w:t>
      </w:r>
      <w:r>
        <w:rPr>
          <w:rFonts w:hint="eastAsia" w:ascii="宋体" w:hAnsi="宋体" w:eastAsia="宋体" w:cs="宋体"/>
          <w:color w:val="000000" w:themeColor="text1"/>
          <w:kern w:val="0"/>
          <w:lang w:val="en-US" w:eastAsia="zh-CN"/>
          <w14:textFill>
            <w14:solidFill>
              <w14:schemeClr w14:val="tx1"/>
            </w14:solidFill>
          </w14:textFill>
        </w:rPr>
        <w:t xml:space="preserve"> </w:t>
      </w:r>
      <w:r>
        <w:rPr>
          <w:rFonts w:hint="eastAsia" w:ascii="宋体" w:hAnsi="宋体" w:eastAsia="宋体" w:cs="宋体"/>
          <w:color w:val="000000" w:themeColor="text1"/>
          <w:kern w:val="0"/>
          <w14:textFill>
            <w14:solidFill>
              <w14:schemeClr w14:val="tx1"/>
            </w14:solidFill>
          </w14:textFill>
        </w:rPr>
        <w:t>评价单元划分</w:t>
      </w:r>
      <w:bookmarkEnd w:id="451"/>
      <w:bookmarkEnd w:id="452"/>
      <w:bookmarkEnd w:id="453"/>
      <w:r>
        <w:rPr>
          <w:rFonts w:hint="eastAsia" w:ascii="宋体" w:hAnsi="宋体" w:eastAsia="宋体" w:cs="宋体"/>
          <w:color w:val="000000" w:themeColor="text1"/>
          <w:kern w:val="0"/>
          <w14:textFill>
            <w14:solidFill>
              <w14:schemeClr w14:val="tx1"/>
            </w14:solidFill>
          </w14:textFill>
        </w:rPr>
        <w:t>结果</w:t>
      </w:r>
      <w:bookmarkEnd w:id="454"/>
      <w:bookmarkEnd w:id="455"/>
      <w:bookmarkEnd w:id="479"/>
      <w:bookmarkEnd w:id="480"/>
      <w:bookmarkEnd w:id="481"/>
    </w:p>
    <w:p w14:paraId="69C919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zh-CN"/>
          <w14:textFill>
            <w14:solidFill>
              <w14:schemeClr w14:val="tx1"/>
            </w14:solidFill>
          </w14:textFill>
        </w:rPr>
      </w:pPr>
      <w:bookmarkStart w:id="482" w:name="_Toc191799968"/>
      <w:bookmarkStart w:id="483" w:name="_Toc11884"/>
      <w:bookmarkStart w:id="484" w:name="_Toc313453582"/>
      <w:bookmarkStart w:id="485" w:name="_Toc335926257"/>
      <w:r>
        <w:rPr>
          <w:rFonts w:hint="eastAsia" w:ascii="宋体" w:hAnsi="宋体" w:eastAsia="宋体" w:cs="宋体"/>
          <w:color w:val="000000" w:themeColor="text1"/>
          <w:sz w:val="28"/>
          <w:szCs w:val="28"/>
          <w:lang w:val="en-GB"/>
          <w14:textFill>
            <w14:solidFill>
              <w14:schemeClr w14:val="tx1"/>
            </w14:solidFill>
          </w14:textFill>
        </w:rPr>
        <w:t>根据安全评价单元的划分原则</w:t>
      </w:r>
      <w:r>
        <w:rPr>
          <w:rFonts w:hint="eastAsia" w:ascii="宋体" w:hAnsi="宋体" w:eastAsia="宋体" w:cs="宋体"/>
          <w:color w:val="000000" w:themeColor="text1"/>
          <w:sz w:val="28"/>
          <w:szCs w:val="28"/>
          <w:lang w:val="zh-CN"/>
          <w14:textFill>
            <w14:solidFill>
              <w14:schemeClr w14:val="tx1"/>
            </w14:solidFill>
          </w14:textFill>
        </w:rPr>
        <w:t>和依据</w:t>
      </w:r>
      <w:r>
        <w:rPr>
          <w:rFonts w:hint="eastAsia" w:ascii="宋体" w:hAnsi="宋体" w:eastAsia="宋体" w:cs="宋体"/>
          <w:color w:val="000000" w:themeColor="text1"/>
          <w:sz w:val="28"/>
          <w:szCs w:val="28"/>
          <w:lang w:val="en-GB"/>
          <w14:textFill>
            <w14:solidFill>
              <w14:schemeClr w14:val="tx1"/>
            </w14:solidFill>
          </w14:textFill>
        </w:rPr>
        <w:t>，结合企业的实际情况及安全评价的需要，本次评价根据生产装置和物质特征的相关特点，将公司安全评价单元划分为</w:t>
      </w:r>
      <w:r>
        <w:rPr>
          <w:rFonts w:hint="eastAsia" w:ascii="宋体" w:hAnsi="宋体" w:eastAsia="宋体" w:cs="宋体"/>
          <w:color w:val="000000" w:themeColor="text1"/>
          <w:sz w:val="28"/>
          <w:szCs w:val="28"/>
          <w:lang w:val="en-US" w:eastAsia="zh-CN"/>
          <w14:textFill>
            <w14:solidFill>
              <w14:schemeClr w14:val="tx1"/>
            </w14:solidFill>
          </w14:textFill>
        </w:rPr>
        <w:t>六</w:t>
      </w:r>
      <w:r>
        <w:rPr>
          <w:rFonts w:hint="eastAsia" w:ascii="宋体" w:hAnsi="宋体" w:eastAsia="宋体" w:cs="宋体"/>
          <w:color w:val="000000" w:themeColor="text1"/>
          <w:sz w:val="28"/>
          <w:szCs w:val="28"/>
          <w:lang w:val="en-GB"/>
          <w14:textFill>
            <w14:solidFill>
              <w14:schemeClr w14:val="tx1"/>
            </w14:solidFill>
          </w14:textFill>
        </w:rPr>
        <w:t>个评价单元，</w:t>
      </w:r>
      <w:r>
        <w:rPr>
          <w:rFonts w:hint="eastAsia" w:ascii="宋体" w:hAnsi="宋体" w:eastAsia="宋体" w:cs="宋体"/>
          <w:color w:val="000000" w:themeColor="text1"/>
          <w:sz w:val="28"/>
          <w:szCs w:val="28"/>
          <w:lang w:val="zh-CN"/>
          <w14:textFill>
            <w14:solidFill>
              <w14:schemeClr w14:val="tx1"/>
            </w14:solidFill>
          </w14:textFill>
        </w:rPr>
        <w:t>具体的划分情况和使用的评价方法见表4-1。</w:t>
      </w:r>
    </w:p>
    <w:p w14:paraId="10F6F34A">
      <w:pPr>
        <w:keepNext w:val="0"/>
        <w:keepLines w:val="0"/>
        <w:pageBreakBefore w:val="0"/>
        <w:widowControl w:val="0"/>
        <w:kinsoku/>
        <w:wordWrap/>
        <w:overflowPunct/>
        <w:topLinePunct w:val="0"/>
        <w:autoSpaceDE/>
        <w:autoSpaceDN/>
        <w:bidi w:val="0"/>
        <w:adjustRightInd/>
        <w:snapToGrid w:val="0"/>
        <w:spacing w:line="520" w:lineRule="exact"/>
        <w:ind w:firstLine="482" w:firstLineChars="200"/>
        <w:jc w:val="center"/>
        <w:textAlignment w:val="auto"/>
        <w:rPr>
          <w:rFonts w:hint="eastAsia" w:ascii="宋体" w:hAnsi="宋体" w:eastAsia="宋体" w:cs="宋体"/>
          <w:color w:val="000000" w:themeColor="text1"/>
          <w:lang w:val="en-GB"/>
          <w14:textFill>
            <w14:solidFill>
              <w14:schemeClr w14:val="tx1"/>
            </w14:solidFill>
          </w14:textFill>
        </w:rPr>
      </w:pPr>
      <w:r>
        <w:rPr>
          <w:rFonts w:hint="eastAsia" w:ascii="宋体" w:hAnsi="宋体" w:eastAsia="宋体" w:cs="宋体"/>
          <w:b/>
          <w:bCs/>
          <w:color w:val="000000" w:themeColor="text1"/>
          <w:lang w:val="en-GB"/>
          <w14:textFill>
            <w14:solidFill>
              <w14:schemeClr w14:val="tx1"/>
            </w14:solidFill>
          </w14:textFill>
        </w:rPr>
        <w:t>表4-1 各单元采取安全评价方法对应表</w:t>
      </w:r>
    </w:p>
    <w:tbl>
      <w:tblPr>
        <w:tblStyle w:val="24"/>
        <w:tblW w:w="48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3327"/>
        <w:gridCol w:w="5016"/>
      </w:tblGrid>
      <w:tr w14:paraId="167F2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6C1EF4DA">
            <w:pPr>
              <w:pStyle w:val="3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1834" w:type="pct"/>
            <w:vAlign w:val="center"/>
          </w:tcPr>
          <w:p w14:paraId="33AE7E21">
            <w:pPr>
              <w:pStyle w:val="3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评价单元名称</w:t>
            </w:r>
          </w:p>
        </w:tc>
        <w:tc>
          <w:tcPr>
            <w:tcW w:w="2765" w:type="pct"/>
            <w:vAlign w:val="center"/>
          </w:tcPr>
          <w:p w14:paraId="12003CF6">
            <w:pPr>
              <w:pStyle w:val="3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安全评价方法</w:t>
            </w:r>
          </w:p>
        </w:tc>
      </w:tr>
      <w:tr w14:paraId="4202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511349B0">
            <w:pPr>
              <w:pStyle w:val="3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834" w:type="pct"/>
            <w:vAlign w:val="center"/>
          </w:tcPr>
          <w:p w14:paraId="23D4D6C5">
            <w:pPr>
              <w:pStyle w:val="3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厂址及总平面布置</w:t>
            </w:r>
            <w:r>
              <w:rPr>
                <w:rFonts w:hint="eastAsia" w:ascii="宋体" w:hAnsi="宋体" w:eastAsia="宋体" w:cs="宋体"/>
                <w:color w:val="000000" w:themeColor="text1"/>
                <w:sz w:val="21"/>
                <w:szCs w:val="21"/>
                <w:lang w:val="en-US" w:eastAsia="zh-CN"/>
                <w14:textFill>
                  <w14:solidFill>
                    <w14:schemeClr w14:val="tx1"/>
                  </w14:solidFill>
                </w14:textFill>
              </w:rPr>
              <w:t>评价</w:t>
            </w:r>
            <w:r>
              <w:rPr>
                <w:rFonts w:hint="eastAsia" w:ascii="宋体" w:hAnsi="宋体" w:eastAsia="宋体" w:cs="宋体"/>
                <w:color w:val="000000" w:themeColor="text1"/>
                <w:sz w:val="21"/>
                <w:szCs w:val="21"/>
                <w14:textFill>
                  <w14:solidFill>
                    <w14:schemeClr w14:val="tx1"/>
                  </w14:solidFill>
                </w14:textFill>
              </w:rPr>
              <w:t xml:space="preserve">单元 </w:t>
            </w:r>
          </w:p>
        </w:tc>
        <w:tc>
          <w:tcPr>
            <w:tcW w:w="2765" w:type="pct"/>
            <w:vAlign w:val="center"/>
          </w:tcPr>
          <w:p w14:paraId="5FFE2655">
            <w:pPr>
              <w:pStyle w:val="3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p>
        </w:tc>
      </w:tr>
      <w:tr w14:paraId="2E922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3333D420">
            <w:pPr>
              <w:pStyle w:val="3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834" w:type="pct"/>
            <w:vAlign w:val="center"/>
          </w:tcPr>
          <w:p w14:paraId="7771D55D">
            <w:pPr>
              <w:pStyle w:val="3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生产工艺</w:t>
            </w:r>
            <w:r>
              <w:rPr>
                <w:rFonts w:hint="eastAsia" w:ascii="宋体" w:hAnsi="宋体" w:eastAsia="宋体" w:cs="宋体"/>
                <w:color w:val="000000" w:themeColor="text1"/>
                <w:sz w:val="21"/>
                <w:szCs w:val="21"/>
                <w:lang w:val="en-US" w:eastAsia="zh-CN"/>
                <w14:textFill>
                  <w14:solidFill>
                    <w14:schemeClr w14:val="tx1"/>
                  </w14:solidFill>
                </w14:textFill>
              </w:rPr>
              <w:t>及设备设施评价</w:t>
            </w:r>
            <w:r>
              <w:rPr>
                <w:rFonts w:hint="eastAsia" w:ascii="宋体" w:hAnsi="宋体" w:eastAsia="宋体" w:cs="宋体"/>
                <w:color w:val="000000" w:themeColor="text1"/>
                <w:sz w:val="21"/>
                <w:szCs w:val="21"/>
                <w14:textFill>
                  <w14:solidFill>
                    <w14:schemeClr w14:val="tx1"/>
                  </w14:solidFill>
                </w14:textFill>
              </w:rPr>
              <w:t>单元</w:t>
            </w:r>
          </w:p>
        </w:tc>
        <w:tc>
          <w:tcPr>
            <w:tcW w:w="2765" w:type="pct"/>
            <w:vAlign w:val="center"/>
          </w:tcPr>
          <w:p w14:paraId="79B7F511">
            <w:pPr>
              <w:pStyle w:val="31"/>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作业条件危险性分析</w:t>
            </w:r>
          </w:p>
        </w:tc>
      </w:tr>
      <w:tr w14:paraId="42C79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340FCD31">
            <w:pPr>
              <w:pStyle w:val="3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834" w:type="pct"/>
            <w:shd w:val="clear" w:color="auto" w:fill="auto"/>
            <w:vAlign w:val="center"/>
          </w:tcPr>
          <w:p w14:paraId="1FFB62E3">
            <w:pPr>
              <w:pStyle w:val="31"/>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安全防护设施评价单元</w:t>
            </w:r>
          </w:p>
        </w:tc>
        <w:tc>
          <w:tcPr>
            <w:tcW w:w="2765" w:type="pct"/>
            <w:shd w:val="clear" w:color="auto" w:fill="auto"/>
            <w:vAlign w:val="center"/>
          </w:tcPr>
          <w:p w14:paraId="1295E691">
            <w:pPr>
              <w:pStyle w:val="31"/>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p>
        </w:tc>
      </w:tr>
      <w:tr w14:paraId="0FC90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0F9EDA25">
            <w:pPr>
              <w:pStyle w:val="31"/>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1834" w:type="pct"/>
            <w:shd w:val="clear" w:color="auto" w:fill="auto"/>
            <w:vAlign w:val="center"/>
          </w:tcPr>
          <w:p w14:paraId="3023A502">
            <w:pPr>
              <w:pStyle w:val="31"/>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公用工程及辅助设施</w:t>
            </w:r>
            <w:r>
              <w:rPr>
                <w:rFonts w:hint="eastAsia" w:ascii="宋体" w:hAnsi="宋体" w:eastAsia="宋体" w:cs="宋体"/>
                <w:color w:val="000000" w:themeColor="text1"/>
                <w:sz w:val="21"/>
                <w:szCs w:val="21"/>
                <w:lang w:val="en-US" w:eastAsia="zh-CN"/>
                <w14:textFill>
                  <w14:solidFill>
                    <w14:schemeClr w14:val="tx1"/>
                  </w14:solidFill>
                </w14:textFill>
              </w:rPr>
              <w:t>评价</w:t>
            </w:r>
            <w:r>
              <w:rPr>
                <w:rFonts w:hint="eastAsia" w:ascii="宋体" w:hAnsi="宋体" w:eastAsia="宋体" w:cs="宋体"/>
                <w:color w:val="000000" w:themeColor="text1"/>
                <w:sz w:val="21"/>
                <w:szCs w:val="21"/>
                <w14:textFill>
                  <w14:solidFill>
                    <w14:schemeClr w14:val="tx1"/>
                  </w14:solidFill>
                </w14:textFill>
              </w:rPr>
              <w:t>单元</w:t>
            </w:r>
          </w:p>
        </w:tc>
        <w:tc>
          <w:tcPr>
            <w:tcW w:w="2765" w:type="pct"/>
            <w:shd w:val="clear" w:color="auto" w:fill="auto"/>
            <w:vAlign w:val="center"/>
          </w:tcPr>
          <w:p w14:paraId="6E9F37A0">
            <w:pPr>
              <w:pStyle w:val="31"/>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p>
        </w:tc>
      </w:tr>
      <w:tr w14:paraId="48969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41D69062">
            <w:pPr>
              <w:pStyle w:val="31"/>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1834" w:type="pct"/>
            <w:shd w:val="clear" w:color="auto" w:fill="auto"/>
            <w:vAlign w:val="center"/>
          </w:tcPr>
          <w:p w14:paraId="266F2120">
            <w:pPr>
              <w:pStyle w:val="31"/>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安全生产管理评价单元</w:t>
            </w:r>
          </w:p>
        </w:tc>
        <w:tc>
          <w:tcPr>
            <w:tcW w:w="2765" w:type="pct"/>
            <w:shd w:val="clear" w:color="auto" w:fill="auto"/>
            <w:vAlign w:val="center"/>
          </w:tcPr>
          <w:p w14:paraId="01A30D95">
            <w:pPr>
              <w:pStyle w:val="31"/>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p>
        </w:tc>
      </w:tr>
      <w:tr w14:paraId="14CB4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9" w:type="pct"/>
            <w:vAlign w:val="center"/>
          </w:tcPr>
          <w:p w14:paraId="39824FDD">
            <w:pPr>
              <w:pStyle w:val="31"/>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834" w:type="pct"/>
            <w:shd w:val="clear" w:color="auto" w:fill="auto"/>
            <w:vAlign w:val="center"/>
          </w:tcPr>
          <w:p w14:paraId="1AE1796C">
            <w:pPr>
              <w:pStyle w:val="31"/>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重大事故隐患评价单元</w:t>
            </w:r>
          </w:p>
        </w:tc>
        <w:tc>
          <w:tcPr>
            <w:tcW w:w="2765" w:type="pct"/>
            <w:shd w:val="clear" w:color="auto" w:fill="auto"/>
            <w:vAlign w:val="center"/>
          </w:tcPr>
          <w:p w14:paraId="0834F3D6">
            <w:pPr>
              <w:pStyle w:val="31"/>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w:t>
            </w:r>
          </w:p>
        </w:tc>
      </w:tr>
    </w:tbl>
    <w:p w14:paraId="1ADC8402">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486" w:name="_Toc24593"/>
      <w:bookmarkStart w:id="487" w:name="_Toc233668309"/>
      <w:bookmarkStart w:id="488" w:name="_Toc30651"/>
      <w:bookmarkStart w:id="489" w:name="_Toc195156256"/>
      <w:bookmarkStart w:id="490" w:name="_Toc231978508"/>
      <w:bookmarkStart w:id="491" w:name="_Toc21719"/>
      <w:bookmarkStart w:id="492" w:name="_Toc207527411"/>
      <w:bookmarkStart w:id="493" w:name="_Toc211837019"/>
      <w:bookmarkStart w:id="494" w:name="_Toc26599"/>
      <w:bookmarkStart w:id="495" w:name="_Toc211501735"/>
      <w:bookmarkStart w:id="496" w:name="_Toc213410607"/>
      <w:bookmarkStart w:id="497" w:name="_Toc20853"/>
      <w:bookmarkStart w:id="498" w:name="_Toc3005"/>
      <w:bookmarkStart w:id="499" w:name="_Toc5292"/>
      <w:bookmarkStart w:id="500" w:name="_Toc27354"/>
      <w:r>
        <w:rPr>
          <w:rFonts w:hint="eastAsia" w:ascii="宋体" w:hAnsi="宋体" w:eastAsia="宋体" w:cs="宋体"/>
          <w:color w:val="000000" w:themeColor="text1"/>
          <w:kern w:val="0"/>
          <w14:textFill>
            <w14:solidFill>
              <w14:schemeClr w14:val="tx1"/>
            </w14:solidFill>
          </w14:textFill>
        </w:rPr>
        <w:t>4.3</w:t>
      </w:r>
      <w:r>
        <w:rPr>
          <w:rFonts w:hint="eastAsia" w:ascii="宋体" w:hAnsi="宋体" w:eastAsia="宋体" w:cs="宋体"/>
          <w:color w:val="000000" w:themeColor="text1"/>
          <w:kern w:val="0"/>
          <w:lang w:val="en-US" w:eastAsia="zh-CN"/>
          <w14:textFill>
            <w14:solidFill>
              <w14:schemeClr w14:val="tx1"/>
            </w14:solidFill>
          </w14:textFill>
        </w:rPr>
        <w:t xml:space="preserve"> </w:t>
      </w:r>
      <w:r>
        <w:rPr>
          <w:rFonts w:hint="eastAsia" w:ascii="宋体" w:hAnsi="宋体" w:eastAsia="宋体" w:cs="宋体"/>
          <w:color w:val="000000" w:themeColor="text1"/>
          <w:kern w:val="0"/>
          <w14:textFill>
            <w14:solidFill>
              <w14:schemeClr w14:val="tx1"/>
            </w14:solidFill>
          </w14:textFill>
        </w:rPr>
        <w:t>评价方法</w:t>
      </w:r>
      <w:bookmarkEnd w:id="486"/>
      <w:bookmarkEnd w:id="487"/>
      <w:bookmarkEnd w:id="488"/>
      <w:bookmarkEnd w:id="489"/>
      <w:bookmarkEnd w:id="490"/>
      <w:bookmarkEnd w:id="491"/>
      <w:bookmarkEnd w:id="492"/>
      <w:bookmarkEnd w:id="493"/>
      <w:bookmarkEnd w:id="494"/>
      <w:bookmarkEnd w:id="495"/>
      <w:bookmarkEnd w:id="496"/>
      <w:bookmarkEnd w:id="497"/>
      <w:r>
        <w:rPr>
          <w:rFonts w:hint="eastAsia" w:ascii="宋体" w:hAnsi="宋体" w:eastAsia="宋体" w:cs="宋体"/>
          <w:color w:val="000000" w:themeColor="text1"/>
          <w:kern w:val="0"/>
          <w14:textFill>
            <w14:solidFill>
              <w14:schemeClr w14:val="tx1"/>
            </w14:solidFill>
          </w14:textFill>
        </w:rPr>
        <w:t>的确定</w:t>
      </w:r>
      <w:bookmarkEnd w:id="498"/>
      <w:bookmarkEnd w:id="499"/>
      <w:bookmarkEnd w:id="500"/>
    </w:p>
    <w:p w14:paraId="2FF63E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根据评价方法选取应遵循充分性、适应性、系统性、针对性和合理性的原则，结合该项目的特点，本报告选用安全检查表（SCA）、作业条件危险性分析法等</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en-GB"/>
          <w14:textFill>
            <w14:solidFill>
              <w14:schemeClr w14:val="tx1"/>
            </w14:solidFill>
          </w14:textFill>
        </w:rPr>
        <w:t>种安全评价方法对该工程项目危险、有害因素及危险、有害程度进行分析评价。</w:t>
      </w:r>
    </w:p>
    <w:p w14:paraId="7D1C8D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在安全评价过程中，为检查该厂址及总平面布置、生产工艺和设备设施、</w:t>
      </w:r>
      <w:r>
        <w:rPr>
          <w:rFonts w:hint="eastAsia" w:ascii="宋体" w:hAnsi="宋体" w:eastAsia="宋体" w:cs="宋体"/>
          <w:color w:val="000000" w:themeColor="text1"/>
          <w:sz w:val="28"/>
          <w:szCs w:val="28"/>
          <w:lang w:val="en-US" w:eastAsia="zh-CN"/>
          <w14:textFill>
            <w14:solidFill>
              <w14:schemeClr w14:val="tx1"/>
            </w14:solidFill>
          </w14:textFill>
        </w:rPr>
        <w:t>安全防护设施、</w:t>
      </w:r>
      <w:r>
        <w:rPr>
          <w:rFonts w:hint="eastAsia" w:ascii="宋体" w:hAnsi="宋体" w:eastAsia="宋体" w:cs="宋体"/>
          <w:color w:val="000000" w:themeColor="text1"/>
          <w:sz w:val="28"/>
          <w:szCs w:val="28"/>
          <w:lang w:val="en-GB"/>
          <w14:textFill>
            <w14:solidFill>
              <w14:schemeClr w14:val="tx1"/>
            </w14:solidFill>
          </w14:textFill>
        </w:rPr>
        <w:t>公用工程及辅助设施</w:t>
      </w:r>
      <w:r>
        <w:rPr>
          <w:rFonts w:hint="eastAsia" w:ascii="宋体" w:hAnsi="宋体" w:eastAsia="宋体" w:cs="宋体"/>
          <w:color w:val="000000" w:themeColor="text1"/>
          <w:sz w:val="28"/>
          <w:szCs w:val="28"/>
          <w:lang w:val="en-GB" w:eastAsia="zh-CN"/>
          <w14:textFill>
            <w14:solidFill>
              <w14:schemeClr w14:val="tx1"/>
            </w14:solidFill>
          </w14:textFill>
        </w:rPr>
        <w:t>、</w:t>
      </w:r>
      <w:r>
        <w:rPr>
          <w:rFonts w:hint="eastAsia" w:ascii="宋体" w:hAnsi="宋体" w:eastAsia="宋体" w:cs="宋体"/>
          <w:color w:val="000000" w:themeColor="text1"/>
          <w:sz w:val="28"/>
          <w:szCs w:val="28"/>
          <w:lang w:val="en-GB"/>
          <w14:textFill>
            <w14:solidFill>
              <w14:schemeClr w14:val="tx1"/>
            </w14:solidFill>
          </w14:textFill>
        </w:rPr>
        <w:t>安全管理单元</w:t>
      </w:r>
      <w:r>
        <w:rPr>
          <w:rFonts w:hint="eastAsia" w:ascii="宋体" w:hAnsi="宋体" w:eastAsia="宋体" w:cs="宋体"/>
          <w:color w:val="000000" w:themeColor="text1"/>
          <w:sz w:val="28"/>
          <w:szCs w:val="28"/>
          <w:lang w:val="en-GB"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重大事故隐患</w:t>
      </w:r>
      <w:r>
        <w:rPr>
          <w:rFonts w:hint="eastAsia" w:ascii="宋体" w:hAnsi="宋体" w:eastAsia="宋体" w:cs="宋体"/>
          <w:color w:val="000000" w:themeColor="text1"/>
          <w:sz w:val="28"/>
          <w:szCs w:val="28"/>
          <w:lang w:val="en-GB"/>
          <w14:textFill>
            <w14:solidFill>
              <w14:schemeClr w14:val="tx1"/>
            </w14:solidFill>
          </w14:textFill>
        </w:rPr>
        <w:t>与国家相关法律、法规、规范及标准要求的符合性，因此选用了安全检查表，以达到突出重点、避免遗漏的目的。</w:t>
      </w:r>
    </w:p>
    <w:p w14:paraId="6D96F3F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在生产操作过程中使用作业条件危险性分析法（LEC）对项目固有的危险程度及风险程度进行评价，达到细化作业步骤、作业区域和危险源的目的。</w:t>
      </w:r>
    </w:p>
    <w:p w14:paraId="2C8EB173">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501" w:name="_Toc29841"/>
      <w:bookmarkStart w:id="502" w:name="_Toc213410608"/>
      <w:bookmarkStart w:id="503" w:name="_Toc211837020"/>
      <w:bookmarkStart w:id="504" w:name="_Toc19971"/>
      <w:bookmarkStart w:id="505" w:name="_Toc231978509"/>
      <w:bookmarkStart w:id="506" w:name="_Toc207527412"/>
      <w:bookmarkStart w:id="507" w:name="_Toc211501736"/>
      <w:bookmarkStart w:id="508" w:name="_Toc195156257"/>
      <w:bookmarkStart w:id="509" w:name="_Toc4438"/>
      <w:bookmarkStart w:id="510" w:name="_Toc20638"/>
      <w:bookmarkStart w:id="511" w:name="_Toc19469"/>
      <w:bookmarkStart w:id="512" w:name="_Toc233668310"/>
      <w:bookmarkStart w:id="513" w:name="_Toc22758"/>
      <w:bookmarkStart w:id="514" w:name="_Toc3246"/>
      <w:bookmarkStart w:id="515" w:name="_Toc25346"/>
      <w:r>
        <w:rPr>
          <w:rFonts w:hint="eastAsia" w:ascii="宋体" w:hAnsi="宋体" w:eastAsia="宋体" w:cs="宋体"/>
          <w:color w:val="000000" w:themeColor="text1"/>
          <w:kern w:val="0"/>
          <w14:textFill>
            <w14:solidFill>
              <w14:schemeClr w14:val="tx1"/>
            </w14:solidFill>
          </w14:textFill>
        </w:rPr>
        <w:t>4.4</w:t>
      </w:r>
      <w:r>
        <w:rPr>
          <w:rFonts w:hint="eastAsia" w:ascii="宋体" w:hAnsi="宋体" w:eastAsia="宋体" w:cs="宋体"/>
          <w:color w:val="000000" w:themeColor="text1"/>
          <w:kern w:val="0"/>
          <w:lang w:val="en-US" w:eastAsia="zh-CN"/>
          <w14:textFill>
            <w14:solidFill>
              <w14:schemeClr w14:val="tx1"/>
            </w14:solidFill>
          </w14:textFill>
        </w:rPr>
        <w:t xml:space="preserve"> </w:t>
      </w:r>
      <w:r>
        <w:rPr>
          <w:rFonts w:hint="eastAsia" w:ascii="宋体" w:hAnsi="宋体" w:eastAsia="宋体" w:cs="宋体"/>
          <w:color w:val="000000" w:themeColor="text1"/>
          <w:kern w:val="0"/>
          <w14:textFill>
            <w14:solidFill>
              <w14:schemeClr w14:val="tx1"/>
            </w14:solidFill>
          </w14:textFill>
        </w:rPr>
        <w:t>评价方法</w:t>
      </w:r>
      <w:bookmarkEnd w:id="501"/>
      <w:bookmarkEnd w:id="502"/>
      <w:bookmarkEnd w:id="503"/>
      <w:bookmarkEnd w:id="504"/>
      <w:bookmarkEnd w:id="505"/>
      <w:bookmarkEnd w:id="506"/>
      <w:bookmarkEnd w:id="507"/>
      <w:bookmarkEnd w:id="508"/>
      <w:bookmarkEnd w:id="509"/>
      <w:bookmarkEnd w:id="510"/>
      <w:bookmarkEnd w:id="511"/>
      <w:bookmarkEnd w:id="512"/>
      <w:r>
        <w:rPr>
          <w:rFonts w:hint="eastAsia" w:ascii="宋体" w:hAnsi="宋体" w:eastAsia="宋体" w:cs="宋体"/>
          <w:color w:val="000000" w:themeColor="text1"/>
          <w:kern w:val="0"/>
          <w14:textFill>
            <w14:solidFill>
              <w14:schemeClr w14:val="tx1"/>
            </w14:solidFill>
          </w14:textFill>
        </w:rPr>
        <w:t>介绍</w:t>
      </w:r>
      <w:bookmarkEnd w:id="513"/>
      <w:bookmarkEnd w:id="514"/>
      <w:bookmarkEnd w:id="515"/>
    </w:p>
    <w:p w14:paraId="18B94DCD">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516" w:name="_Toc216867557"/>
      <w:bookmarkStart w:id="517" w:name="_Toc30001435"/>
      <w:bookmarkStart w:id="518" w:name="_Toc11553"/>
      <w:bookmarkStart w:id="519" w:name="_Toc23342"/>
      <w:bookmarkStart w:id="520" w:name="_Toc30988"/>
      <w:bookmarkStart w:id="521" w:name="_Toc278151416"/>
      <w:bookmarkStart w:id="522" w:name="_Toc61474458"/>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4.4.1安全检查表法（SCA）</w:t>
      </w:r>
      <w:bookmarkEnd w:id="516"/>
      <w:bookmarkEnd w:id="517"/>
      <w:bookmarkEnd w:id="518"/>
      <w:bookmarkEnd w:id="519"/>
      <w:bookmarkEnd w:id="520"/>
      <w:bookmarkEnd w:id="521"/>
      <w:bookmarkEnd w:id="522"/>
    </w:p>
    <w:p w14:paraId="1D50EA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安全检查表评价方法简便灵活，是安全评价的常规方法，具有简便、实用、有效的特点。依据国家、地区、行业等相关的标准、法规编制检查表，判断是否、有无，找出缺陷、疏漏、隐患、问题。所以对项目总体和各单元的预评价中均运用了这一方法。本评价中安全检查表的内容主要有三部分：</w:t>
      </w:r>
    </w:p>
    <w:p w14:paraId="075862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①检查项目和要求：针对该单元功能、工艺、设备等固有或潜在的主要危险危害因素，逐条列出检查的项目和国家有关劳动安全卫生方面的法律、法规、标准以及行业规定中对工程设计、施工、运行管理的各种具体要求。</w:t>
      </w:r>
    </w:p>
    <w:p w14:paraId="25BE3F4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②检查情况：针对检查项目和要求，通过审查文件资料，勘察现场，分析预测项目建成后与法律法规、标准规范的符合性，从而判断项目建成后的风险度。</w:t>
      </w:r>
    </w:p>
    <w:p w14:paraId="5BA399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③检查结论：针对检查项目，根据文件资料、现场调查情况作出与要求符合、不符合的结论。</w:t>
      </w:r>
      <w:bookmarkEnd w:id="482"/>
      <w:bookmarkEnd w:id="483"/>
      <w:bookmarkEnd w:id="484"/>
      <w:bookmarkEnd w:id="485"/>
    </w:p>
    <w:p w14:paraId="3FE0E6E9">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523" w:name="_Toc61474459"/>
      <w:bookmarkStart w:id="524" w:name="_Toc211237884"/>
      <w:bookmarkStart w:id="525" w:name="_Toc28880"/>
      <w:bookmarkStart w:id="526" w:name="_Toc278151418"/>
      <w:bookmarkStart w:id="527" w:name="_Toc8426"/>
      <w:bookmarkStart w:id="528" w:name="_Toc4496"/>
      <w:bookmarkStart w:id="529" w:name="_Toc201697625"/>
      <w:bookmarkStart w:id="530" w:name="_Toc30001436"/>
      <w:bookmarkStart w:id="531" w:name="_Toc216867563"/>
      <w:bookmarkStart w:id="532" w:name="_Toc201697626"/>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4.4.2作业条件危险性评价法（LEC）</w:t>
      </w:r>
      <w:bookmarkEnd w:id="523"/>
      <w:bookmarkEnd w:id="524"/>
      <w:bookmarkEnd w:id="525"/>
      <w:bookmarkEnd w:id="526"/>
      <w:bookmarkEnd w:id="527"/>
      <w:bookmarkEnd w:id="528"/>
      <w:bookmarkEnd w:id="529"/>
      <w:bookmarkEnd w:id="530"/>
    </w:p>
    <w:p w14:paraId="0A704E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作业条件危险性评价法是一种简便易行的评价方法，用来评价人们在某种具有潜在危险环境中作业的危险性。该法以被评价的环境与某些作为参考的环境进行比较为基础，采用专家“评分”的办法确定各种自变量的分数值，最后根据总的危险分数值来评价其危险性。该法已用于一些工业企业危险性的评价，取得较好效果。</w:t>
      </w:r>
    </w:p>
    <w:p w14:paraId="1CDE34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格雷厄姆和金尼认为影响危险性的主要因素有三个：</w:t>
      </w:r>
    </w:p>
    <w:p w14:paraId="047AE5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1.发生事故或危险事件的可能性；</w:t>
      </w:r>
    </w:p>
    <w:p w14:paraId="31433F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2.暴露于这种危险环境的频率；</w:t>
      </w:r>
    </w:p>
    <w:p w14:paraId="1136E7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3.事故一旦发生时可能产生的后果。</w:t>
      </w:r>
    </w:p>
    <w:p w14:paraId="7F5B71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前两者可以看作是危险概率，后者则相当于危险严重度。危险性可以下式来表达：</w:t>
      </w:r>
    </w:p>
    <w:p w14:paraId="54AAD7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危险性（D）= L×E×C</w:t>
      </w:r>
    </w:p>
    <w:p w14:paraId="0619D45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式中：L 事故或危险事件发生的可能性；</w:t>
      </w:r>
    </w:p>
    <w:p w14:paraId="6B575F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E 暴露于危险环境的频率；</w:t>
      </w:r>
    </w:p>
    <w:p w14:paraId="7776AC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C 危险严重度。</w:t>
      </w:r>
    </w:p>
    <w:p w14:paraId="0B3598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 xml:space="preserve">1.可能性因素 L </w:t>
      </w:r>
    </w:p>
    <w:p w14:paraId="50EA8F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事故或危险事件发生的可能性是与它们实际的数学概率相关联的。绝对不可能发生的事件的概率为0，而必然发生的事件的概率则为1，但在实际情况中，绝对不可能发生的事故是不存在的，只能说可能性极小，概率趋于0，所以，可能性因素L的分数值取值范围为1～10具体见表4-2。</w:t>
      </w:r>
    </w:p>
    <w:p w14:paraId="36177606">
      <w:pPr>
        <w:autoSpaceDE w:val="0"/>
        <w:autoSpaceDN w:val="0"/>
        <w:adjustRightInd w:val="0"/>
        <w:snapToGrid w:val="0"/>
        <w:spacing w:line="500" w:lineRule="exact"/>
        <w:jc w:val="center"/>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表4-2  事故或危险事件发生的可能性 L 的分数值表</w:t>
      </w:r>
    </w:p>
    <w:tbl>
      <w:tblPr>
        <w:tblStyle w:val="24"/>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7"/>
        <w:gridCol w:w="5690"/>
      </w:tblGrid>
      <w:tr w14:paraId="00AD2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tcPr>
          <w:p w14:paraId="6150F330">
            <w:pPr>
              <w:autoSpaceDE w:val="0"/>
              <w:autoSpaceDN w:val="0"/>
              <w:adjustRightInd w:val="0"/>
              <w:snapToGrid w:val="0"/>
              <w:spacing w:line="300" w:lineRule="exact"/>
              <w:jc w:val="center"/>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分数值</w:t>
            </w:r>
          </w:p>
        </w:tc>
        <w:tc>
          <w:tcPr>
            <w:tcW w:w="5690" w:type="dxa"/>
          </w:tcPr>
          <w:p w14:paraId="26EF0DD3">
            <w:pPr>
              <w:autoSpaceDE w:val="0"/>
              <w:autoSpaceDN w:val="0"/>
              <w:adjustRightInd w:val="0"/>
              <w:snapToGrid w:val="0"/>
              <w:spacing w:line="300" w:lineRule="exact"/>
              <w:jc w:val="center"/>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事故或危险事件发生的可能性</w:t>
            </w:r>
          </w:p>
        </w:tc>
      </w:tr>
      <w:tr w14:paraId="0087A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11C344AF">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10</w:t>
            </w:r>
          </w:p>
        </w:tc>
        <w:tc>
          <w:tcPr>
            <w:tcW w:w="5690" w:type="dxa"/>
          </w:tcPr>
          <w:p w14:paraId="6F8BE76E">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完全会被预料到</w:t>
            </w:r>
          </w:p>
        </w:tc>
      </w:tr>
      <w:tr w14:paraId="6FB71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5F761664">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6</w:t>
            </w:r>
          </w:p>
        </w:tc>
        <w:tc>
          <w:tcPr>
            <w:tcW w:w="5690" w:type="dxa"/>
          </w:tcPr>
          <w:p w14:paraId="6C3D66B0">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相当可能</w:t>
            </w:r>
          </w:p>
        </w:tc>
      </w:tr>
      <w:tr w14:paraId="00931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09F72E62">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3</w:t>
            </w:r>
          </w:p>
        </w:tc>
        <w:tc>
          <w:tcPr>
            <w:tcW w:w="5690" w:type="dxa"/>
          </w:tcPr>
          <w:p w14:paraId="0B9EACF2">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不经常，但可能</w:t>
            </w:r>
          </w:p>
        </w:tc>
      </w:tr>
      <w:tr w14:paraId="70E71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6C6793FC">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p>
        </w:tc>
        <w:tc>
          <w:tcPr>
            <w:tcW w:w="5690" w:type="dxa"/>
          </w:tcPr>
          <w:p w14:paraId="3C57AB48">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完全意外，极少可能</w:t>
            </w:r>
          </w:p>
        </w:tc>
      </w:tr>
      <w:tr w14:paraId="24EF1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2F9D59F9">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0.5</w:t>
            </w:r>
          </w:p>
        </w:tc>
        <w:tc>
          <w:tcPr>
            <w:tcW w:w="5690" w:type="dxa"/>
          </w:tcPr>
          <w:p w14:paraId="715CE01F">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可以设想</w:t>
            </w:r>
          </w:p>
        </w:tc>
      </w:tr>
      <w:tr w14:paraId="0A709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5A6184D0">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0.2</w:t>
            </w:r>
          </w:p>
        </w:tc>
        <w:tc>
          <w:tcPr>
            <w:tcW w:w="5690" w:type="dxa"/>
          </w:tcPr>
          <w:p w14:paraId="7525519E">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极不可能</w:t>
            </w:r>
          </w:p>
        </w:tc>
      </w:tr>
      <w:tr w14:paraId="123CA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57" w:type="dxa"/>
            <w:vAlign w:val="center"/>
          </w:tcPr>
          <w:p w14:paraId="0226F1E1">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0.1</w:t>
            </w:r>
          </w:p>
        </w:tc>
        <w:tc>
          <w:tcPr>
            <w:tcW w:w="5690" w:type="dxa"/>
          </w:tcPr>
          <w:p w14:paraId="0FFAD811">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实际上不可能</w:t>
            </w:r>
          </w:p>
        </w:tc>
      </w:tr>
    </w:tbl>
    <w:p w14:paraId="7C9DF51A">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2.暴露于危险环境的频率 E</w:t>
      </w:r>
    </w:p>
    <w:p w14:paraId="532DA6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en-GB"/>
          <w14:textFill>
            <w14:solidFill>
              <w14:schemeClr w14:val="tx1"/>
            </w14:solidFill>
          </w14:textFill>
        </w:rPr>
        <w:t>操作人员出现在危险环境中的时间越多，受到伤害的可能性就越大，相应的危险性也就越大。连续出现在危险环境的情况其频率分为10，非常罕见地暴露于危险环境则为0.5。具体分数值见表4-3。</w:t>
      </w:r>
    </w:p>
    <w:p w14:paraId="0E4BC43F">
      <w:pPr>
        <w:autoSpaceDE w:val="0"/>
        <w:autoSpaceDN w:val="0"/>
        <w:adjustRightInd w:val="0"/>
        <w:snapToGrid w:val="0"/>
        <w:spacing w:line="500" w:lineRule="exact"/>
        <w:jc w:val="center"/>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表4-3  暴露于潜在危险环境频率 E 的分数值</w:t>
      </w:r>
    </w:p>
    <w:tbl>
      <w:tblPr>
        <w:tblStyle w:val="24"/>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97"/>
        <w:gridCol w:w="4344"/>
      </w:tblGrid>
      <w:tr w14:paraId="6A655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7EBC4C4D">
            <w:pPr>
              <w:autoSpaceDE w:val="0"/>
              <w:autoSpaceDN w:val="0"/>
              <w:adjustRightInd w:val="0"/>
              <w:snapToGrid w:val="0"/>
              <w:spacing w:line="300" w:lineRule="exact"/>
              <w:jc w:val="center"/>
              <w:rPr>
                <w:rFonts w:hint="eastAsia" w:ascii="宋体" w:hAnsi="宋体" w:eastAsia="宋体" w:cs="宋体"/>
                <w:b/>
                <w:color w:val="000000" w:themeColor="text1"/>
                <w:kern w:val="0"/>
                <w:szCs w:val="21"/>
                <w:lang w:eastAsia="zh-TW"/>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分数值</w:t>
            </w:r>
          </w:p>
        </w:tc>
        <w:tc>
          <w:tcPr>
            <w:tcW w:w="4344" w:type="dxa"/>
            <w:tcBorders>
              <w:top w:val="single" w:color="auto" w:sz="4" w:space="0"/>
              <w:left w:val="single" w:color="auto" w:sz="4" w:space="0"/>
              <w:bottom w:val="single" w:color="auto" w:sz="4" w:space="0"/>
              <w:right w:val="single" w:color="auto" w:sz="4" w:space="0"/>
            </w:tcBorders>
            <w:vAlign w:val="center"/>
          </w:tcPr>
          <w:p w14:paraId="1A3BBF11">
            <w:pPr>
              <w:autoSpaceDE w:val="0"/>
              <w:autoSpaceDN w:val="0"/>
              <w:adjustRightInd w:val="0"/>
              <w:snapToGrid w:val="0"/>
              <w:spacing w:line="300" w:lineRule="exact"/>
              <w:jc w:val="center"/>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暴露于危险环境的频率</w:t>
            </w:r>
          </w:p>
        </w:tc>
      </w:tr>
      <w:tr w14:paraId="76B65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0DDF79CD">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10</w:t>
            </w:r>
          </w:p>
        </w:tc>
        <w:tc>
          <w:tcPr>
            <w:tcW w:w="4344" w:type="dxa"/>
            <w:tcBorders>
              <w:top w:val="single" w:color="auto" w:sz="4" w:space="0"/>
              <w:left w:val="single" w:color="auto" w:sz="4" w:space="0"/>
              <w:bottom w:val="single" w:color="auto" w:sz="4" w:space="0"/>
              <w:right w:val="single" w:color="auto" w:sz="4" w:space="0"/>
            </w:tcBorders>
            <w:vAlign w:val="center"/>
          </w:tcPr>
          <w:p w14:paraId="1DE07537">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连续暴露于潜在危险环境</w:t>
            </w:r>
          </w:p>
        </w:tc>
      </w:tr>
      <w:tr w14:paraId="5A82B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5345659B">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6</w:t>
            </w:r>
          </w:p>
        </w:tc>
        <w:tc>
          <w:tcPr>
            <w:tcW w:w="4344" w:type="dxa"/>
            <w:tcBorders>
              <w:top w:val="single" w:color="auto" w:sz="4" w:space="0"/>
              <w:left w:val="single" w:color="auto" w:sz="4" w:space="0"/>
              <w:bottom w:val="single" w:color="auto" w:sz="4" w:space="0"/>
              <w:right w:val="single" w:color="auto" w:sz="4" w:space="0"/>
            </w:tcBorders>
            <w:vAlign w:val="center"/>
          </w:tcPr>
          <w:p w14:paraId="2DBB8FD1">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逐日在工作时间内暴露</w:t>
            </w:r>
          </w:p>
        </w:tc>
      </w:tr>
      <w:tr w14:paraId="3027C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7131E2B8">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3</w:t>
            </w:r>
          </w:p>
        </w:tc>
        <w:tc>
          <w:tcPr>
            <w:tcW w:w="4344" w:type="dxa"/>
            <w:tcBorders>
              <w:top w:val="single" w:color="auto" w:sz="4" w:space="0"/>
              <w:left w:val="single" w:color="auto" w:sz="4" w:space="0"/>
              <w:bottom w:val="single" w:color="auto" w:sz="4" w:space="0"/>
              <w:right w:val="single" w:color="auto" w:sz="4" w:space="0"/>
            </w:tcBorders>
            <w:vAlign w:val="center"/>
          </w:tcPr>
          <w:p w14:paraId="401BA591">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每周一次或偶然暴露</w:t>
            </w:r>
          </w:p>
        </w:tc>
      </w:tr>
      <w:tr w14:paraId="6EE03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 w:hRule="atLeast"/>
        </w:trPr>
        <w:tc>
          <w:tcPr>
            <w:tcW w:w="4397" w:type="dxa"/>
            <w:tcBorders>
              <w:top w:val="single" w:color="auto" w:sz="4" w:space="0"/>
              <w:left w:val="single" w:color="auto" w:sz="4" w:space="0"/>
              <w:bottom w:val="single" w:color="auto" w:sz="4" w:space="0"/>
              <w:right w:val="single" w:color="auto" w:sz="4" w:space="0"/>
            </w:tcBorders>
            <w:vAlign w:val="center"/>
          </w:tcPr>
          <w:p w14:paraId="59098812">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w:t>
            </w:r>
          </w:p>
        </w:tc>
        <w:tc>
          <w:tcPr>
            <w:tcW w:w="4344" w:type="dxa"/>
            <w:tcBorders>
              <w:top w:val="single" w:color="auto" w:sz="4" w:space="0"/>
              <w:left w:val="single" w:color="auto" w:sz="4" w:space="0"/>
              <w:bottom w:val="single" w:color="auto" w:sz="4" w:space="0"/>
              <w:right w:val="single" w:color="auto" w:sz="4" w:space="0"/>
            </w:tcBorders>
            <w:vAlign w:val="center"/>
          </w:tcPr>
          <w:p w14:paraId="282D27EB">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每月暴露一次</w:t>
            </w:r>
          </w:p>
        </w:tc>
      </w:tr>
      <w:tr w14:paraId="204D4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56192766">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p>
        </w:tc>
        <w:tc>
          <w:tcPr>
            <w:tcW w:w="4344" w:type="dxa"/>
            <w:tcBorders>
              <w:top w:val="single" w:color="auto" w:sz="4" w:space="0"/>
              <w:left w:val="single" w:color="auto" w:sz="4" w:space="0"/>
              <w:bottom w:val="single" w:color="auto" w:sz="4" w:space="0"/>
              <w:right w:val="single" w:color="auto" w:sz="4" w:space="0"/>
            </w:tcBorders>
            <w:vAlign w:val="center"/>
          </w:tcPr>
          <w:p w14:paraId="3932DF6E">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每年几次出现在危险环境</w:t>
            </w:r>
          </w:p>
        </w:tc>
      </w:tr>
      <w:tr w14:paraId="1268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97" w:type="dxa"/>
            <w:tcBorders>
              <w:top w:val="single" w:color="auto" w:sz="4" w:space="0"/>
              <w:left w:val="single" w:color="auto" w:sz="4" w:space="0"/>
              <w:bottom w:val="single" w:color="auto" w:sz="4" w:space="0"/>
              <w:right w:val="single" w:color="auto" w:sz="4" w:space="0"/>
            </w:tcBorders>
            <w:vAlign w:val="center"/>
          </w:tcPr>
          <w:p w14:paraId="59CE686D">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0.5</w:t>
            </w:r>
          </w:p>
        </w:tc>
        <w:tc>
          <w:tcPr>
            <w:tcW w:w="4344" w:type="dxa"/>
            <w:tcBorders>
              <w:top w:val="single" w:color="auto" w:sz="4" w:space="0"/>
              <w:left w:val="single" w:color="auto" w:sz="4" w:space="0"/>
              <w:bottom w:val="single" w:color="auto" w:sz="4" w:space="0"/>
              <w:right w:val="single" w:color="auto" w:sz="4" w:space="0"/>
            </w:tcBorders>
            <w:vAlign w:val="center"/>
          </w:tcPr>
          <w:p w14:paraId="3ECADDC7">
            <w:pPr>
              <w:autoSpaceDE w:val="0"/>
              <w:autoSpaceDN w:val="0"/>
              <w:adjustRightInd w:val="0"/>
              <w:snapToGrid w:val="0"/>
              <w:spacing w:line="300" w:lineRule="exact"/>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非常罕见地暴露于危险环境</w:t>
            </w:r>
          </w:p>
        </w:tc>
      </w:tr>
    </w:tbl>
    <w:p w14:paraId="62663B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3.事故或危险事件的危险严重度C</w:t>
      </w:r>
    </w:p>
    <w:p w14:paraId="5210FA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事故或危险事件对人身伤害的严重程度变化范围很大，可以从伤害直至死亡事故，规定分数值1～l00。具体分数值见表4-4。</w:t>
      </w:r>
    </w:p>
    <w:p w14:paraId="023AF023">
      <w:pPr>
        <w:tabs>
          <w:tab w:val="left" w:pos="1948"/>
        </w:tabs>
        <w:autoSpaceDE w:val="0"/>
        <w:autoSpaceDN w:val="0"/>
        <w:adjustRightInd w:val="0"/>
        <w:snapToGrid w:val="0"/>
        <w:spacing w:line="500" w:lineRule="exact"/>
        <w:jc w:val="center"/>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表4-4  事故或危险事件的危险严重度C的分数值</w:t>
      </w:r>
    </w:p>
    <w:tbl>
      <w:tblPr>
        <w:tblStyle w:val="24"/>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458"/>
        <w:gridCol w:w="5283"/>
      </w:tblGrid>
      <w:tr w14:paraId="03FD7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3C8298C7">
            <w:pPr>
              <w:autoSpaceDE w:val="0"/>
              <w:autoSpaceDN w:val="0"/>
              <w:adjustRightInd w:val="0"/>
              <w:spacing w:line="300" w:lineRule="exact"/>
              <w:jc w:val="center"/>
              <w:rPr>
                <w:rFonts w:hint="eastAsia" w:ascii="宋体" w:hAnsi="宋体" w:eastAsia="宋体" w:cs="宋体"/>
                <w:b/>
                <w:color w:val="000000" w:themeColor="text1"/>
                <w:kern w:val="0"/>
                <w:sz w:val="21"/>
                <w:szCs w:val="21"/>
                <w:lang w:eastAsia="zh-TW"/>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分数值</w:t>
            </w:r>
          </w:p>
        </w:tc>
        <w:tc>
          <w:tcPr>
            <w:tcW w:w="5283" w:type="dxa"/>
            <w:tcBorders>
              <w:top w:val="single" w:color="auto" w:sz="4" w:space="0"/>
              <w:left w:val="single" w:color="auto" w:sz="4" w:space="0"/>
              <w:bottom w:val="single" w:color="auto" w:sz="4" w:space="0"/>
              <w:right w:val="single" w:color="auto" w:sz="4" w:space="0"/>
            </w:tcBorders>
            <w:vAlign w:val="center"/>
          </w:tcPr>
          <w:p w14:paraId="0BF3E433">
            <w:pPr>
              <w:autoSpaceDE w:val="0"/>
              <w:autoSpaceDN w:val="0"/>
              <w:adjustRightInd w:val="0"/>
              <w:spacing w:line="300" w:lineRule="exact"/>
              <w:jc w:val="center"/>
              <w:rPr>
                <w:rFonts w:hint="eastAsia" w:ascii="宋体" w:hAnsi="宋体" w:eastAsia="宋体" w:cs="宋体"/>
                <w:b/>
                <w:color w:val="000000" w:themeColor="text1"/>
                <w:kern w:val="0"/>
                <w:sz w:val="21"/>
                <w:szCs w:val="21"/>
                <w:lang w:eastAsia="zh-TW"/>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可能结果</w:t>
            </w:r>
          </w:p>
        </w:tc>
      </w:tr>
      <w:tr w14:paraId="79ABC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465F243B">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100</w:t>
            </w:r>
          </w:p>
        </w:tc>
        <w:tc>
          <w:tcPr>
            <w:tcW w:w="5283" w:type="dxa"/>
            <w:tcBorders>
              <w:top w:val="single" w:color="auto" w:sz="4" w:space="0"/>
              <w:left w:val="single" w:color="auto" w:sz="4" w:space="0"/>
              <w:bottom w:val="single" w:color="auto" w:sz="4" w:space="0"/>
              <w:right w:val="single" w:color="auto" w:sz="4" w:space="0"/>
            </w:tcBorders>
            <w:vAlign w:val="center"/>
          </w:tcPr>
          <w:p w14:paraId="2EE4D840">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10人死亡</w:t>
            </w:r>
          </w:p>
        </w:tc>
      </w:tr>
      <w:tr w14:paraId="24084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3567B4E2">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40</w:t>
            </w:r>
          </w:p>
        </w:tc>
        <w:tc>
          <w:tcPr>
            <w:tcW w:w="5283" w:type="dxa"/>
            <w:tcBorders>
              <w:top w:val="single" w:color="auto" w:sz="4" w:space="0"/>
              <w:left w:val="single" w:color="auto" w:sz="4" w:space="0"/>
              <w:bottom w:val="single" w:color="auto" w:sz="4" w:space="0"/>
              <w:right w:val="single" w:color="auto" w:sz="4" w:space="0"/>
            </w:tcBorders>
            <w:vAlign w:val="center"/>
          </w:tcPr>
          <w:p w14:paraId="17D64095">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数人死亡</w:t>
            </w:r>
          </w:p>
        </w:tc>
      </w:tr>
      <w:tr w14:paraId="03EB1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03A990A7">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15</w:t>
            </w:r>
          </w:p>
        </w:tc>
        <w:tc>
          <w:tcPr>
            <w:tcW w:w="5283" w:type="dxa"/>
            <w:tcBorders>
              <w:top w:val="single" w:color="auto" w:sz="4" w:space="0"/>
              <w:left w:val="single" w:color="auto" w:sz="4" w:space="0"/>
              <w:bottom w:val="single" w:color="auto" w:sz="4" w:space="0"/>
              <w:right w:val="single" w:color="auto" w:sz="4" w:space="0"/>
            </w:tcBorders>
            <w:vAlign w:val="center"/>
          </w:tcPr>
          <w:p w14:paraId="0A3C02B3">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1人死亡</w:t>
            </w:r>
          </w:p>
        </w:tc>
      </w:tr>
      <w:tr w14:paraId="31F53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5F2412C1">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7</w:t>
            </w:r>
          </w:p>
        </w:tc>
        <w:tc>
          <w:tcPr>
            <w:tcW w:w="5283" w:type="dxa"/>
            <w:tcBorders>
              <w:top w:val="single" w:color="auto" w:sz="4" w:space="0"/>
              <w:left w:val="single" w:color="auto" w:sz="4" w:space="0"/>
              <w:bottom w:val="single" w:color="auto" w:sz="4" w:space="0"/>
              <w:right w:val="single" w:color="auto" w:sz="4" w:space="0"/>
            </w:tcBorders>
            <w:vAlign w:val="center"/>
          </w:tcPr>
          <w:p w14:paraId="0E527F05">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严重伤害</w:t>
            </w:r>
          </w:p>
        </w:tc>
      </w:tr>
      <w:tr w14:paraId="6F202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2B49EE3D">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w:t>
            </w:r>
          </w:p>
        </w:tc>
        <w:tc>
          <w:tcPr>
            <w:tcW w:w="5283" w:type="dxa"/>
            <w:tcBorders>
              <w:top w:val="single" w:color="auto" w:sz="4" w:space="0"/>
              <w:left w:val="single" w:color="auto" w:sz="4" w:space="0"/>
              <w:bottom w:val="single" w:color="auto" w:sz="4" w:space="0"/>
              <w:right w:val="single" w:color="auto" w:sz="4" w:space="0"/>
            </w:tcBorders>
            <w:vAlign w:val="center"/>
          </w:tcPr>
          <w:p w14:paraId="5EB4B6C0">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有致残</w:t>
            </w:r>
          </w:p>
        </w:tc>
      </w:tr>
      <w:tr w14:paraId="7C797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458" w:type="dxa"/>
            <w:tcBorders>
              <w:top w:val="single" w:color="auto" w:sz="4" w:space="0"/>
              <w:left w:val="single" w:color="auto" w:sz="4" w:space="0"/>
              <w:bottom w:val="single" w:color="auto" w:sz="4" w:space="0"/>
              <w:right w:val="single" w:color="auto" w:sz="4" w:space="0"/>
            </w:tcBorders>
            <w:vAlign w:val="center"/>
          </w:tcPr>
          <w:p w14:paraId="5876CFF5">
            <w:pPr>
              <w:autoSpaceDE w:val="0"/>
              <w:autoSpaceDN w:val="0"/>
              <w:adjustRightIn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5283" w:type="dxa"/>
            <w:tcBorders>
              <w:top w:val="single" w:color="auto" w:sz="4" w:space="0"/>
              <w:left w:val="single" w:color="auto" w:sz="4" w:space="0"/>
              <w:bottom w:val="single" w:color="auto" w:sz="4" w:space="0"/>
              <w:right w:val="single" w:color="auto" w:sz="4" w:space="0"/>
            </w:tcBorders>
            <w:vAlign w:val="center"/>
          </w:tcPr>
          <w:p w14:paraId="106784BD">
            <w:pPr>
              <w:autoSpaceDE w:val="0"/>
              <w:autoSpaceDN w:val="0"/>
              <w:adjustRightInd w:val="0"/>
              <w:spacing w:line="300" w:lineRule="exact"/>
              <w:jc w:val="center"/>
              <w:rPr>
                <w:rFonts w:hint="eastAsia" w:ascii="宋体" w:hAnsi="宋体" w:eastAsia="宋体" w:cs="宋体"/>
                <w:color w:val="000000" w:themeColor="text1"/>
                <w:kern w:val="0"/>
                <w:sz w:val="21"/>
                <w:szCs w:val="21"/>
                <w:lang w:eastAsia="zh-T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有轻伤，需要救护</w:t>
            </w:r>
          </w:p>
        </w:tc>
      </w:tr>
    </w:tbl>
    <w:p w14:paraId="1378BF2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4.危险性程度分级D</w:t>
      </w:r>
    </w:p>
    <w:p w14:paraId="2981CA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在确定了上述三个因素的分数值后，其三者的乘积即为总的危险性分数值 D。根据相关资料，将危险性程度分级的相应分数值列入表4-5。</w:t>
      </w:r>
    </w:p>
    <w:p w14:paraId="68376B62">
      <w:pPr>
        <w:tabs>
          <w:tab w:val="left" w:pos="1948"/>
        </w:tabs>
        <w:autoSpaceDE w:val="0"/>
        <w:autoSpaceDN w:val="0"/>
        <w:adjustRightInd w:val="0"/>
        <w:snapToGrid w:val="0"/>
        <w:spacing w:line="500" w:lineRule="exact"/>
        <w:ind w:right="28"/>
        <w:jc w:val="center"/>
        <w:rPr>
          <w:rFonts w:hint="eastAsia" w:ascii="宋体" w:hAnsi="宋体" w:eastAsia="宋体" w:cs="宋体"/>
          <w:b/>
          <w:bCs/>
          <w:color w:val="000000" w:themeColor="text1"/>
          <w:kern w:val="0"/>
          <w:sz w:val="24"/>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表4-5  危险性程度分级的分数值</w:t>
      </w:r>
    </w:p>
    <w:tbl>
      <w:tblPr>
        <w:tblStyle w:val="24"/>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39"/>
        <w:gridCol w:w="4402"/>
      </w:tblGrid>
      <w:tr w14:paraId="7F5A8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Header/>
        </w:trPr>
        <w:tc>
          <w:tcPr>
            <w:tcW w:w="4339" w:type="dxa"/>
            <w:tcBorders>
              <w:top w:val="single" w:color="auto" w:sz="4" w:space="0"/>
              <w:left w:val="single" w:color="auto" w:sz="4" w:space="0"/>
              <w:bottom w:val="single" w:color="auto" w:sz="4" w:space="0"/>
              <w:right w:val="single" w:color="auto" w:sz="4" w:space="0"/>
            </w:tcBorders>
            <w:vAlign w:val="center"/>
          </w:tcPr>
          <w:p w14:paraId="0841EE87">
            <w:pPr>
              <w:autoSpaceDE w:val="0"/>
              <w:autoSpaceDN w:val="0"/>
              <w:adjustRightInd w:val="0"/>
              <w:spacing w:line="300" w:lineRule="exact"/>
              <w:jc w:val="center"/>
              <w:rPr>
                <w:rFonts w:hint="eastAsia" w:ascii="宋体" w:hAnsi="宋体" w:eastAsia="宋体" w:cs="宋体"/>
                <w:b/>
                <w:bCs/>
                <w:color w:val="000000" w:themeColor="text1"/>
                <w:kern w:val="0"/>
                <w:szCs w:val="21"/>
                <w:lang w:eastAsia="zh-TW"/>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分数值</w:t>
            </w:r>
          </w:p>
        </w:tc>
        <w:tc>
          <w:tcPr>
            <w:tcW w:w="4402" w:type="dxa"/>
            <w:tcBorders>
              <w:top w:val="single" w:color="auto" w:sz="4" w:space="0"/>
              <w:left w:val="single" w:color="auto" w:sz="4" w:space="0"/>
              <w:bottom w:val="single" w:color="auto" w:sz="4" w:space="0"/>
              <w:right w:val="single" w:color="auto" w:sz="4" w:space="0"/>
            </w:tcBorders>
            <w:vAlign w:val="center"/>
          </w:tcPr>
          <w:p w14:paraId="5CEAD9C0">
            <w:pPr>
              <w:autoSpaceDE w:val="0"/>
              <w:autoSpaceDN w:val="0"/>
              <w:adjustRightInd w:val="0"/>
              <w:spacing w:line="300" w:lineRule="exact"/>
              <w:jc w:val="center"/>
              <w:rPr>
                <w:rFonts w:hint="eastAsia" w:ascii="宋体" w:hAnsi="宋体" w:eastAsia="宋体" w:cs="宋体"/>
                <w:b/>
                <w:bCs/>
                <w:color w:val="000000" w:themeColor="text1"/>
                <w:kern w:val="0"/>
                <w:szCs w:val="21"/>
                <w:lang w:eastAsia="zh-TW"/>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危险性程度</w:t>
            </w:r>
          </w:p>
        </w:tc>
      </w:tr>
      <w:tr w14:paraId="34F38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1EE96BB6">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&gt;320</w:t>
            </w:r>
          </w:p>
        </w:tc>
        <w:tc>
          <w:tcPr>
            <w:tcW w:w="4402" w:type="dxa"/>
            <w:tcBorders>
              <w:top w:val="single" w:color="auto" w:sz="4" w:space="0"/>
              <w:left w:val="single" w:color="auto" w:sz="4" w:space="0"/>
              <w:bottom w:val="single" w:color="auto" w:sz="4" w:space="0"/>
              <w:right w:val="single" w:color="auto" w:sz="4" w:space="0"/>
            </w:tcBorders>
            <w:vAlign w:val="center"/>
          </w:tcPr>
          <w:p w14:paraId="23D08D90">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极其危险</w:t>
            </w:r>
          </w:p>
        </w:tc>
      </w:tr>
      <w:tr w14:paraId="5D8C9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4B94B255">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160～320</w:t>
            </w:r>
          </w:p>
        </w:tc>
        <w:tc>
          <w:tcPr>
            <w:tcW w:w="4402" w:type="dxa"/>
            <w:tcBorders>
              <w:top w:val="single" w:color="auto" w:sz="4" w:space="0"/>
              <w:left w:val="single" w:color="auto" w:sz="4" w:space="0"/>
              <w:bottom w:val="single" w:color="auto" w:sz="4" w:space="0"/>
              <w:right w:val="single" w:color="auto" w:sz="4" w:space="0"/>
            </w:tcBorders>
            <w:vAlign w:val="center"/>
          </w:tcPr>
          <w:p w14:paraId="4E5C33D5">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高度危险</w:t>
            </w:r>
          </w:p>
        </w:tc>
      </w:tr>
      <w:tr w14:paraId="24E0F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33330C18">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70～160</w:t>
            </w:r>
          </w:p>
        </w:tc>
        <w:tc>
          <w:tcPr>
            <w:tcW w:w="4402" w:type="dxa"/>
            <w:tcBorders>
              <w:top w:val="single" w:color="auto" w:sz="4" w:space="0"/>
              <w:left w:val="single" w:color="auto" w:sz="4" w:space="0"/>
              <w:bottom w:val="single" w:color="auto" w:sz="4" w:space="0"/>
              <w:right w:val="single" w:color="auto" w:sz="4" w:space="0"/>
            </w:tcBorders>
            <w:vAlign w:val="center"/>
          </w:tcPr>
          <w:p w14:paraId="35E6B42D">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显著危险</w:t>
            </w:r>
          </w:p>
        </w:tc>
      </w:tr>
      <w:tr w14:paraId="7B0F6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 w:hRule="atLeast"/>
        </w:trPr>
        <w:tc>
          <w:tcPr>
            <w:tcW w:w="4339" w:type="dxa"/>
            <w:tcBorders>
              <w:top w:val="single" w:color="auto" w:sz="4" w:space="0"/>
              <w:left w:val="single" w:color="auto" w:sz="4" w:space="0"/>
              <w:bottom w:val="single" w:color="auto" w:sz="4" w:space="0"/>
              <w:right w:val="single" w:color="auto" w:sz="4" w:space="0"/>
            </w:tcBorders>
            <w:vAlign w:val="center"/>
          </w:tcPr>
          <w:p w14:paraId="019A5D41">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20～70</w:t>
            </w:r>
          </w:p>
        </w:tc>
        <w:tc>
          <w:tcPr>
            <w:tcW w:w="4402" w:type="dxa"/>
            <w:tcBorders>
              <w:top w:val="single" w:color="auto" w:sz="4" w:space="0"/>
              <w:left w:val="single" w:color="auto" w:sz="4" w:space="0"/>
              <w:bottom w:val="single" w:color="auto" w:sz="4" w:space="0"/>
              <w:right w:val="single" w:color="auto" w:sz="4" w:space="0"/>
            </w:tcBorders>
            <w:vAlign w:val="center"/>
          </w:tcPr>
          <w:p w14:paraId="345AF917">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bookmarkStart w:id="533" w:name="_Toc23598"/>
            <w:bookmarkStart w:id="534" w:name="_Toc10985"/>
            <w:bookmarkStart w:id="535" w:name="_Toc8751"/>
            <w:bookmarkStart w:id="536" w:name="_Toc14915"/>
            <w:bookmarkStart w:id="537" w:name="_Toc12678"/>
            <w:bookmarkStart w:id="538" w:name="_Toc28887"/>
            <w:bookmarkStart w:id="539" w:name="_Toc30727"/>
            <w:bookmarkStart w:id="540" w:name="_Toc8861"/>
            <w:bookmarkStart w:id="541" w:name="_Toc12927"/>
            <w:bookmarkStart w:id="542" w:name="_Toc32009"/>
            <w:bookmarkStart w:id="543" w:name="_Toc6519"/>
            <w:bookmarkStart w:id="544" w:name="_Toc1069"/>
            <w:bookmarkStart w:id="545" w:name="_Toc25681"/>
            <w:bookmarkStart w:id="546" w:name="_Toc30495"/>
            <w:bookmarkStart w:id="547" w:name="_Toc1874"/>
            <w:r>
              <w:rPr>
                <w:rFonts w:hint="eastAsia" w:ascii="宋体" w:hAnsi="宋体" w:eastAsia="宋体" w:cs="宋体"/>
                <w:color w:val="000000" w:themeColor="text1"/>
                <w:kern w:val="0"/>
                <w:szCs w:val="21"/>
                <w14:textFill>
                  <w14:solidFill>
                    <w14:schemeClr w14:val="tx1"/>
                  </w14:solidFill>
                </w14:textFill>
              </w:rPr>
              <w:t>可能危险</w:t>
            </w:r>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p>
        </w:tc>
      </w:tr>
      <w:tr w14:paraId="1B0BB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339" w:type="dxa"/>
            <w:tcBorders>
              <w:top w:val="single" w:color="auto" w:sz="4" w:space="0"/>
              <w:left w:val="single" w:color="auto" w:sz="4" w:space="0"/>
              <w:bottom w:val="single" w:color="auto" w:sz="4" w:space="0"/>
              <w:right w:val="single" w:color="auto" w:sz="4" w:space="0"/>
            </w:tcBorders>
            <w:vAlign w:val="center"/>
          </w:tcPr>
          <w:p w14:paraId="1DB81216">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bookmarkStart w:id="548" w:name="_Toc8676"/>
            <w:bookmarkStart w:id="549" w:name="_Toc4276"/>
            <w:bookmarkStart w:id="550" w:name="_Toc1127"/>
            <w:bookmarkStart w:id="551" w:name="_Toc10792"/>
            <w:bookmarkStart w:id="552" w:name="_Toc27421"/>
            <w:bookmarkStart w:id="553" w:name="_Toc5515"/>
            <w:bookmarkStart w:id="554" w:name="_Toc12387"/>
            <w:bookmarkStart w:id="555" w:name="_Toc7939"/>
            <w:bookmarkStart w:id="556" w:name="_Toc5139"/>
            <w:bookmarkStart w:id="557" w:name="_Toc3087"/>
            <w:bookmarkStart w:id="558" w:name="_Toc11207"/>
            <w:bookmarkStart w:id="559" w:name="_Toc31920"/>
            <w:bookmarkStart w:id="560" w:name="_Toc5807"/>
            <w:bookmarkStart w:id="561" w:name="_Toc1905"/>
            <w:bookmarkStart w:id="562" w:name="_Toc5289"/>
            <w:r>
              <w:rPr>
                <w:rFonts w:hint="eastAsia" w:ascii="宋体" w:hAnsi="宋体" w:eastAsia="宋体" w:cs="宋体"/>
                <w:color w:val="000000" w:themeColor="text1"/>
                <w:kern w:val="0"/>
                <w:szCs w:val="21"/>
                <w14:textFill>
                  <w14:solidFill>
                    <w14:schemeClr w14:val="tx1"/>
                  </w14:solidFill>
                </w14:textFill>
              </w:rPr>
              <w:t>&lt;20</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tc>
        <w:tc>
          <w:tcPr>
            <w:tcW w:w="4402" w:type="dxa"/>
            <w:tcBorders>
              <w:top w:val="single" w:color="auto" w:sz="4" w:space="0"/>
              <w:left w:val="single" w:color="auto" w:sz="4" w:space="0"/>
              <w:bottom w:val="single" w:color="auto" w:sz="4" w:space="0"/>
              <w:right w:val="single" w:color="auto" w:sz="4" w:space="0"/>
            </w:tcBorders>
            <w:vAlign w:val="center"/>
          </w:tcPr>
          <w:p w14:paraId="118B0CBE">
            <w:pPr>
              <w:autoSpaceDE w:val="0"/>
              <w:autoSpaceDN w:val="0"/>
              <w:adjustRightInd w:val="0"/>
              <w:snapToGrid w:val="0"/>
              <w:spacing w:line="300" w:lineRule="exact"/>
              <w:jc w:val="center"/>
              <w:rPr>
                <w:rFonts w:hint="eastAsia" w:ascii="宋体" w:hAnsi="宋体" w:eastAsia="宋体" w:cs="宋体"/>
                <w:color w:val="000000" w:themeColor="text1"/>
                <w:kern w:val="0"/>
                <w:szCs w:val="21"/>
                <w:lang w:eastAsia="zh-TW"/>
                <w14:textFill>
                  <w14:solidFill>
                    <w14:schemeClr w14:val="tx1"/>
                  </w14:solidFill>
                </w14:textFill>
              </w:rPr>
            </w:pPr>
            <w:bookmarkStart w:id="563" w:name="_Toc22270"/>
            <w:bookmarkStart w:id="564" w:name="_Toc16735"/>
            <w:bookmarkStart w:id="565" w:name="_Toc21170"/>
            <w:bookmarkStart w:id="566" w:name="_Toc26155"/>
            <w:bookmarkStart w:id="567" w:name="_Toc4104"/>
            <w:bookmarkStart w:id="568" w:name="_Toc11913"/>
            <w:bookmarkStart w:id="569" w:name="_Toc27865"/>
            <w:bookmarkStart w:id="570" w:name="_Toc10232"/>
            <w:bookmarkStart w:id="571" w:name="_Toc11775"/>
            <w:bookmarkStart w:id="572" w:name="_Toc24128"/>
            <w:bookmarkStart w:id="573" w:name="_Toc31811"/>
            <w:bookmarkStart w:id="574" w:name="_Toc6824"/>
            <w:bookmarkStart w:id="575" w:name="_Toc20038"/>
            <w:bookmarkStart w:id="576" w:name="_Toc30792"/>
            <w:bookmarkStart w:id="577" w:name="_Toc31399"/>
            <w:r>
              <w:rPr>
                <w:rFonts w:hint="eastAsia" w:ascii="宋体" w:hAnsi="宋体" w:eastAsia="宋体" w:cs="宋体"/>
                <w:color w:val="000000" w:themeColor="text1"/>
                <w:kern w:val="0"/>
                <w:szCs w:val="21"/>
                <w14:textFill>
                  <w14:solidFill>
                    <w14:schemeClr w14:val="tx1"/>
                  </w14:solidFill>
                </w14:textFill>
              </w:rPr>
              <w:t>稍有危险</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p>
        </w:tc>
      </w:tr>
      <w:bookmarkEnd w:id="531"/>
      <w:bookmarkEnd w:id="532"/>
    </w:tbl>
    <w:p w14:paraId="76551D7F">
      <w:pPr>
        <w:bidi w:val="0"/>
        <w:rPr>
          <w:rFonts w:hint="eastAsia" w:ascii="宋体" w:hAnsi="宋体" w:eastAsia="宋体" w:cs="宋体"/>
          <w:lang w:val="en-US" w:eastAsia="zh-CN"/>
        </w:rPr>
      </w:pPr>
      <w:bookmarkStart w:id="578" w:name="_Toc424893432"/>
      <w:bookmarkStart w:id="579" w:name="_Toc424136718"/>
      <w:bookmarkStart w:id="580" w:name="_Toc424816957"/>
      <w:bookmarkStart w:id="581" w:name="_Toc8074"/>
      <w:bookmarkStart w:id="582" w:name="_Toc274895698"/>
      <w:bookmarkStart w:id="583" w:name="_Toc424893560"/>
      <w:bookmarkStart w:id="584" w:name="_Toc22587"/>
      <w:bookmarkStart w:id="585" w:name="_Toc58751357"/>
      <w:bookmarkStart w:id="586" w:name="_Toc20956"/>
      <w:bookmarkStart w:id="587" w:name="_Toc19160"/>
      <w:bookmarkStart w:id="588" w:name="_Toc10460"/>
      <w:bookmarkStart w:id="589" w:name="_Toc15354"/>
      <w:bookmarkStart w:id="590" w:name="_Toc426117929"/>
    </w:p>
    <w:p w14:paraId="7ED4D4D4">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591" w:name="_Toc28062"/>
      <w:bookmarkStart w:id="592" w:name="_Toc15186"/>
      <w:r>
        <w:rPr>
          <w:rFonts w:hint="eastAsia" w:ascii="宋体" w:hAnsi="宋体" w:eastAsia="宋体" w:cs="宋体"/>
          <w:color w:val="000000" w:themeColor="text1"/>
          <w:kern w:val="0"/>
          <w:lang w:val="en-US" w:eastAsia="zh-CN"/>
          <w14:textFill>
            <w14:solidFill>
              <w14:schemeClr w14:val="tx1"/>
            </w14:solidFill>
          </w14:textFill>
        </w:rPr>
        <w:t>4.5</w:t>
      </w:r>
      <w:r>
        <w:rPr>
          <w:rFonts w:hint="eastAsia" w:ascii="宋体" w:hAnsi="宋体" w:eastAsia="宋体" w:cs="宋体"/>
          <w:color w:val="000000" w:themeColor="text1"/>
          <w:kern w:val="0"/>
          <w14:textFill>
            <w14:solidFill>
              <w14:schemeClr w14:val="tx1"/>
            </w14:solidFill>
          </w14:textFill>
        </w:rPr>
        <w:t>评价方法选择理由</w:t>
      </w:r>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52D196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安全检查表的优缺点：</w:t>
      </w:r>
    </w:p>
    <w:p w14:paraId="10C257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1.优点</w:t>
      </w:r>
    </w:p>
    <w:p w14:paraId="759BCB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（1）避免传统的安全检查中易发生的疏忽、遗漏等弊端，可全面地查出危险、有害因素（包括各类隐患）和工作漏项。</w:t>
      </w:r>
    </w:p>
    <w:p w14:paraId="0342B4F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（2）应用预先编制的系统检查表并依据有关法规、标准在检查表中列出了检查要求，使检查工作标准化、规范化。</w:t>
      </w:r>
    </w:p>
    <w:p w14:paraId="35E884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（3）对不同的检查对象、检查目的有不同的检查表，应用范围广。</w:t>
      </w:r>
    </w:p>
    <w:p w14:paraId="1C09E9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（4）安全检查表简明易懂、使用方便、易于掌握，能弥补有关人员知识、经验不足的缺陷，减少盲目性。</w:t>
      </w:r>
    </w:p>
    <w:p w14:paraId="1A5177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（5）检查人员依据安全检查表进行检查，检查结果即为履行职责的凭证。</w:t>
      </w:r>
    </w:p>
    <w:p w14:paraId="15DF8E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2.缺点</w:t>
      </w:r>
    </w:p>
    <w:p w14:paraId="2D5CA8A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针对不同的需要，须事先编制大量的检查表，工作量大，且安全检查表的质量受编制人员的知识水平和经验影响。</w:t>
      </w:r>
    </w:p>
    <w:p w14:paraId="6602870D">
      <w:pPr>
        <w:pStyle w:val="2"/>
        <w:bidi w:val="0"/>
        <w:rPr>
          <w:rFonts w:hint="eastAsia" w:ascii="宋体" w:hAnsi="宋体" w:eastAsia="宋体" w:cs="宋体"/>
          <w:color w:val="000000" w:themeColor="text1"/>
          <w14:textFill>
            <w14:solidFill>
              <w14:schemeClr w14:val="tx1"/>
            </w14:solidFill>
          </w14:textFill>
        </w:rPr>
      </w:pPr>
      <w:bookmarkStart w:id="593" w:name="_Toc27992"/>
      <w:bookmarkStart w:id="594" w:name="_Toc763"/>
      <w:bookmarkStart w:id="595" w:name="_Toc26640"/>
      <w:r>
        <w:rPr>
          <w:rFonts w:hint="eastAsia" w:ascii="宋体" w:hAnsi="宋体" w:eastAsia="宋体" w:cs="宋体"/>
          <w:color w:val="000000" w:themeColor="text1"/>
          <w14:textFill>
            <w14:solidFill>
              <w14:schemeClr w14:val="tx1"/>
            </w14:solidFill>
          </w14:textFill>
        </w:rPr>
        <w:t>第5章  定性、定量评价</w:t>
      </w:r>
      <w:bookmarkEnd w:id="593"/>
      <w:bookmarkEnd w:id="594"/>
      <w:bookmarkEnd w:id="595"/>
    </w:p>
    <w:p w14:paraId="375A95F8">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596" w:name="_Toc25710"/>
      <w:bookmarkStart w:id="597" w:name="_Toc25341"/>
      <w:bookmarkStart w:id="598" w:name="_Toc937"/>
      <w:bookmarkStart w:id="599" w:name="_Toc5689"/>
      <w:bookmarkStart w:id="600" w:name="_Toc29878"/>
      <w:bookmarkStart w:id="601" w:name="_Toc327017834"/>
      <w:bookmarkStart w:id="602" w:name="_Toc278151421"/>
      <w:bookmarkStart w:id="603" w:name="_Toc309682497"/>
      <w:bookmarkStart w:id="604" w:name="_Toc8228"/>
      <w:bookmarkStart w:id="605" w:name="_Toc202575709"/>
      <w:bookmarkStart w:id="606" w:name="_Toc335926267"/>
      <w:bookmarkStart w:id="607" w:name="_Toc201767299"/>
      <w:r>
        <w:rPr>
          <w:rFonts w:hint="eastAsia" w:ascii="宋体" w:hAnsi="宋体" w:eastAsia="宋体" w:cs="宋体"/>
          <w:color w:val="000000" w:themeColor="text1"/>
          <w:kern w:val="0"/>
          <w14:textFill>
            <w14:solidFill>
              <w14:schemeClr w14:val="tx1"/>
            </w14:solidFill>
          </w14:textFill>
        </w:rPr>
        <w:t>5.1</w:t>
      </w:r>
      <w:r>
        <w:rPr>
          <w:rFonts w:hint="eastAsia" w:ascii="宋体" w:hAnsi="宋体" w:eastAsia="宋体" w:cs="宋体"/>
          <w:color w:val="000000" w:themeColor="text1"/>
          <w:kern w:val="0"/>
          <w:lang w:val="en-US" w:eastAsia="zh-CN"/>
          <w14:textFill>
            <w14:solidFill>
              <w14:schemeClr w14:val="tx1"/>
            </w14:solidFill>
          </w14:textFill>
        </w:rPr>
        <w:t xml:space="preserve"> </w:t>
      </w:r>
      <w:r>
        <w:rPr>
          <w:rFonts w:hint="eastAsia" w:ascii="宋体" w:hAnsi="宋体" w:eastAsia="宋体" w:cs="宋体"/>
          <w:color w:val="000000" w:themeColor="text1"/>
          <w:kern w:val="0"/>
          <w14:textFill>
            <w14:solidFill>
              <w14:schemeClr w14:val="tx1"/>
            </w14:solidFill>
          </w14:textFill>
        </w:rPr>
        <w:t>厂址及总平面布置评价单元</w:t>
      </w:r>
      <w:bookmarkEnd w:id="596"/>
      <w:bookmarkEnd w:id="597"/>
      <w:bookmarkEnd w:id="598"/>
      <w:bookmarkEnd w:id="599"/>
      <w:bookmarkEnd w:id="600"/>
    </w:p>
    <w:p w14:paraId="7BE66B7C">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608" w:name="_Toc15050"/>
      <w:bookmarkStart w:id="609" w:name="_Toc2499"/>
      <w:bookmarkStart w:id="610" w:name="_Toc8965"/>
      <w:bookmarkStart w:id="611" w:name="_Toc1806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5.1.1厂址及总平面布置安全检查表</w:t>
      </w:r>
      <w:bookmarkEnd w:id="601"/>
      <w:bookmarkEnd w:id="602"/>
      <w:bookmarkEnd w:id="603"/>
      <w:bookmarkEnd w:id="604"/>
      <w:bookmarkEnd w:id="605"/>
      <w:bookmarkEnd w:id="606"/>
      <w:bookmarkEnd w:id="607"/>
      <w:bookmarkEnd w:id="608"/>
      <w:bookmarkEnd w:id="609"/>
      <w:bookmarkEnd w:id="610"/>
      <w:bookmarkEnd w:id="611"/>
    </w:p>
    <w:p w14:paraId="2480E8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本评价单元依据《工业企业总平面设计规范》（GB50187-2012）、《工业企业厂内铁路、道路运输安全规程》（GB4387-2008）</w:t>
      </w:r>
      <w:r>
        <w:rPr>
          <w:rFonts w:hint="eastAsia" w:ascii="宋体" w:hAnsi="宋体" w:eastAsia="宋体" w:cs="宋体"/>
          <w:color w:val="000000" w:themeColor="text1"/>
          <w:sz w:val="28"/>
          <w:szCs w:val="28"/>
          <w:lang w:eastAsia="zh-CN"/>
          <w14:textFill>
            <w14:solidFill>
              <w14:schemeClr w14:val="tx1"/>
            </w14:solidFill>
          </w14:textFill>
        </w:rPr>
        <w:t>和</w:t>
      </w:r>
      <w:r>
        <w:rPr>
          <w:rFonts w:hint="eastAsia" w:ascii="宋体" w:hAnsi="宋体" w:eastAsia="宋体" w:cs="宋体"/>
          <w:color w:val="000000" w:themeColor="text1"/>
          <w:sz w:val="28"/>
          <w:szCs w:val="28"/>
          <w14:textFill>
            <w14:solidFill>
              <w14:schemeClr w14:val="tx1"/>
            </w14:solidFill>
          </w14:textFill>
        </w:rPr>
        <w:t>《建筑设计防火规范〔2018</w:t>
      </w:r>
      <w:r>
        <w:rPr>
          <w:rFonts w:hint="eastAsia" w:ascii="宋体" w:hAnsi="宋体" w:eastAsia="宋体" w:cs="宋体"/>
          <w:color w:val="000000" w:themeColor="text1"/>
          <w:sz w:val="28"/>
          <w:szCs w:val="28"/>
          <w:lang w:val="en-US" w:eastAsia="zh-CN"/>
          <w14:textFill>
            <w14:solidFill>
              <w14:schemeClr w14:val="tx1"/>
            </w14:solidFill>
          </w14:textFill>
        </w:rPr>
        <w:t>年</w:t>
      </w:r>
      <w:r>
        <w:rPr>
          <w:rFonts w:hint="eastAsia" w:ascii="宋体" w:hAnsi="宋体" w:eastAsia="宋体" w:cs="宋体"/>
          <w:color w:val="000000" w:themeColor="text1"/>
          <w:sz w:val="28"/>
          <w:szCs w:val="28"/>
          <w14:textFill>
            <w14:solidFill>
              <w14:schemeClr w14:val="tx1"/>
            </w14:solidFill>
          </w14:textFill>
        </w:rPr>
        <w:t>版〕》（GB 50016-2014）</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《建筑防火通用规范》（GB55037-2022）等相关标准和规范中的相关内容对该项目的厂址和总平面布置采用安全检查表进行分析评价，检查其是否符合有关标准、规范的要求。</w:t>
      </w:r>
    </w:p>
    <w:p w14:paraId="12D130CF">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表5-1  厂址及总平面布置安全检查表</w:t>
      </w:r>
    </w:p>
    <w:tbl>
      <w:tblPr>
        <w:tblStyle w:val="24"/>
        <w:tblW w:w="84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2520"/>
        <w:gridCol w:w="2400"/>
        <w:gridCol w:w="2145"/>
        <w:gridCol w:w="720"/>
      </w:tblGrid>
      <w:tr w14:paraId="6FFA4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637" w:type="dxa"/>
            <w:vAlign w:val="center"/>
          </w:tcPr>
          <w:p w14:paraId="7D6080E2">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2520" w:type="dxa"/>
            <w:vAlign w:val="center"/>
          </w:tcPr>
          <w:p w14:paraId="0766C011">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检查内容</w:t>
            </w:r>
          </w:p>
        </w:tc>
        <w:tc>
          <w:tcPr>
            <w:tcW w:w="2400" w:type="dxa"/>
            <w:vAlign w:val="center"/>
          </w:tcPr>
          <w:p w14:paraId="432A50CA">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依据标准</w:t>
            </w:r>
          </w:p>
        </w:tc>
        <w:tc>
          <w:tcPr>
            <w:tcW w:w="2145" w:type="dxa"/>
            <w:vAlign w:val="center"/>
          </w:tcPr>
          <w:p w14:paraId="61BA3306">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检查情况</w:t>
            </w:r>
          </w:p>
        </w:tc>
        <w:tc>
          <w:tcPr>
            <w:tcW w:w="720" w:type="dxa"/>
            <w:vAlign w:val="center"/>
          </w:tcPr>
          <w:p w14:paraId="722D60C6">
            <w:pPr>
              <w:keepNext w:val="0"/>
              <w:keepLines w:val="0"/>
              <w:pageBreakBefore w:val="0"/>
              <w:suppressAutoHyphens/>
              <w:kinsoku/>
              <w:wordWrap/>
              <w:overflowPunct/>
              <w:topLinePunct w:val="0"/>
              <w:bidi w:val="0"/>
              <w:snapToGrid w:val="0"/>
              <w:jc w:val="center"/>
              <w:textAlignment w:val="auto"/>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结论</w:t>
            </w:r>
          </w:p>
        </w:tc>
      </w:tr>
      <w:tr w14:paraId="183EE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422" w:type="dxa"/>
            <w:gridSpan w:val="5"/>
            <w:vAlign w:val="center"/>
          </w:tcPr>
          <w:p w14:paraId="5150C9E3">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厂址检查</w:t>
            </w:r>
          </w:p>
        </w:tc>
      </w:tr>
      <w:tr w14:paraId="543A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9F0D804">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1</w:t>
            </w:r>
          </w:p>
        </w:tc>
        <w:tc>
          <w:tcPr>
            <w:tcW w:w="2520" w:type="dxa"/>
            <w:vAlign w:val="center"/>
          </w:tcPr>
          <w:p w14:paraId="1D2C05C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厂址选择应符合国家的工业布局、城镇（乡）总体规划及土地利用总体规划的要求。  </w:t>
            </w:r>
          </w:p>
        </w:tc>
        <w:tc>
          <w:tcPr>
            <w:tcW w:w="2400" w:type="dxa"/>
            <w:vAlign w:val="center"/>
          </w:tcPr>
          <w:p w14:paraId="6D67E58D">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F78B22C">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第3.0.1条</w:t>
            </w:r>
          </w:p>
        </w:tc>
        <w:tc>
          <w:tcPr>
            <w:tcW w:w="2145" w:type="dxa"/>
            <w:vAlign w:val="center"/>
          </w:tcPr>
          <w:p w14:paraId="4E501149">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该厂有土地使用</w:t>
            </w:r>
            <w:r>
              <w:rPr>
                <w:rFonts w:hint="eastAsia" w:ascii="宋体" w:hAnsi="宋体" w:eastAsia="宋体" w:cs="宋体"/>
                <w:color w:val="000000" w:themeColor="text1"/>
                <w:kern w:val="2"/>
                <w:sz w:val="21"/>
                <w:szCs w:val="21"/>
                <w:lang w:val="en-US" w:eastAsia="zh-CN"/>
                <w14:textFill>
                  <w14:solidFill>
                    <w14:schemeClr w14:val="tx1"/>
                  </w14:solidFill>
                </w14:textFill>
              </w:rPr>
              <w:t>证</w:t>
            </w:r>
            <w:r>
              <w:rPr>
                <w:rFonts w:hint="eastAsia" w:ascii="宋体" w:hAnsi="宋体" w:eastAsia="宋体" w:cs="宋体"/>
                <w:color w:val="000000" w:themeColor="text1"/>
                <w:kern w:val="2"/>
                <w:sz w:val="21"/>
                <w:szCs w:val="21"/>
                <w14:textFill>
                  <w14:solidFill>
                    <w14:schemeClr w14:val="tx1"/>
                  </w14:solidFill>
                </w14:textFill>
              </w:rPr>
              <w:t>，选址选择</w:t>
            </w:r>
            <w:r>
              <w:rPr>
                <w:rFonts w:hint="eastAsia" w:ascii="宋体" w:hAnsi="宋体" w:eastAsia="宋体" w:cs="宋体"/>
                <w:color w:val="000000" w:themeColor="text1"/>
                <w:sz w:val="21"/>
                <w:szCs w:val="21"/>
                <w14:textFill>
                  <w14:solidFill>
                    <w14:schemeClr w14:val="tx1"/>
                  </w14:solidFill>
                </w14:textFill>
              </w:rPr>
              <w:t>符合城镇总体规划的要求。</w:t>
            </w:r>
          </w:p>
        </w:tc>
        <w:tc>
          <w:tcPr>
            <w:tcW w:w="720" w:type="dxa"/>
            <w:vAlign w:val="center"/>
          </w:tcPr>
          <w:p w14:paraId="6E51AD1D">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9D8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6BC85D9">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2</w:t>
            </w:r>
          </w:p>
        </w:tc>
        <w:tc>
          <w:tcPr>
            <w:tcW w:w="2520" w:type="dxa"/>
            <w:vAlign w:val="center"/>
          </w:tcPr>
          <w:p w14:paraId="1D433B6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配套和服务工业企业的居住区、交通运输、动力公用设施、废料场及环境保护工程、施工基地等用地，应与厂区用地同时选择。 </w:t>
            </w:r>
          </w:p>
        </w:tc>
        <w:tc>
          <w:tcPr>
            <w:tcW w:w="2400" w:type="dxa"/>
            <w:vAlign w:val="center"/>
          </w:tcPr>
          <w:p w14:paraId="1DA66F43">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188FCBF1">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第3.0.2条</w:t>
            </w:r>
          </w:p>
        </w:tc>
        <w:tc>
          <w:tcPr>
            <w:tcW w:w="2145" w:type="dxa"/>
            <w:vAlign w:val="center"/>
          </w:tcPr>
          <w:p w14:paraId="7BAE36AE">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生活区、交通运输、动力公用设施、废料场及环境保护工程、施工基地等用地，厂区用地同时选择。</w:t>
            </w:r>
          </w:p>
        </w:tc>
        <w:tc>
          <w:tcPr>
            <w:tcW w:w="720" w:type="dxa"/>
            <w:vAlign w:val="center"/>
          </w:tcPr>
          <w:p w14:paraId="2062FDED">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DD3C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FFF604D">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520" w:type="dxa"/>
            <w:vAlign w:val="center"/>
          </w:tcPr>
          <w:p w14:paraId="547CCA1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原料、燃料或产品运输量（特别）大的工业企业，厂址宜靠近原料、燃料基地或产品主要销售地及协作条件好的地区。 </w:t>
            </w:r>
          </w:p>
        </w:tc>
        <w:tc>
          <w:tcPr>
            <w:tcW w:w="2400" w:type="dxa"/>
            <w:vAlign w:val="center"/>
          </w:tcPr>
          <w:p w14:paraId="31F69B4E">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6BE8209">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第3.0.4条</w:t>
            </w:r>
          </w:p>
        </w:tc>
        <w:tc>
          <w:tcPr>
            <w:tcW w:w="2145" w:type="dxa"/>
            <w:vAlign w:val="center"/>
          </w:tcPr>
          <w:p w14:paraId="7574CAF9">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rPr>
              <w:t>该项目原、辅料等的来源进行多方案技术经济比较，择优确定。</w:t>
            </w:r>
          </w:p>
        </w:tc>
        <w:tc>
          <w:tcPr>
            <w:tcW w:w="720" w:type="dxa"/>
            <w:vAlign w:val="center"/>
          </w:tcPr>
          <w:p w14:paraId="32C52BE9">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0B9B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68A7AACE">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2520" w:type="dxa"/>
            <w:vAlign w:val="center"/>
          </w:tcPr>
          <w:p w14:paraId="63098C2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厂址应有便利和经济的交通运输条件，与厂外铁路、公路的连接，应便捷、工程量小。临近江、河、湖、海的厂址，通航条件满足企业运输要求时，应尽量利用水运，且厂址宜靠近适合建设码头的地段。 </w:t>
            </w:r>
          </w:p>
        </w:tc>
        <w:tc>
          <w:tcPr>
            <w:tcW w:w="2400" w:type="dxa"/>
            <w:vAlign w:val="center"/>
          </w:tcPr>
          <w:p w14:paraId="0A6DFEC7">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5128CF3">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第3.0.5条</w:t>
            </w:r>
          </w:p>
        </w:tc>
        <w:tc>
          <w:tcPr>
            <w:tcW w:w="2145" w:type="dxa"/>
            <w:vAlign w:val="center"/>
          </w:tcPr>
          <w:p w14:paraId="1E641051">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rPr>
              <w:t>主要原、辅料、产品运输较方便。</w:t>
            </w:r>
          </w:p>
        </w:tc>
        <w:tc>
          <w:tcPr>
            <w:tcW w:w="720" w:type="dxa"/>
            <w:vAlign w:val="center"/>
          </w:tcPr>
          <w:p w14:paraId="1A49D4C4">
            <w:pPr>
              <w:keepNext w:val="0"/>
              <w:keepLines w:val="0"/>
              <w:pageBreakBefore w:val="0"/>
              <w:tabs>
                <w:tab w:val="left" w:pos="4635"/>
              </w:tabs>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EF8B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55A4C679">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2520" w:type="dxa"/>
            <w:vAlign w:val="center"/>
          </w:tcPr>
          <w:p w14:paraId="068D1855">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厂址应具有满足生产、生活及发展所必需的水源和电源。水源和电源与厂址之间的管线连接应尽量短捷，且用水、用电量（特别）大的工业企业宜靠近水源及电源地。 </w:t>
            </w:r>
          </w:p>
        </w:tc>
        <w:tc>
          <w:tcPr>
            <w:tcW w:w="2400" w:type="dxa"/>
            <w:vAlign w:val="center"/>
          </w:tcPr>
          <w:p w14:paraId="1589B25A">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2C55209F">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第3.0.6条</w:t>
            </w:r>
          </w:p>
        </w:tc>
        <w:tc>
          <w:tcPr>
            <w:tcW w:w="2145" w:type="dxa"/>
            <w:vAlign w:val="center"/>
          </w:tcPr>
          <w:p w14:paraId="27CD5F08">
            <w:pPr>
              <w:keepNext w:val="0"/>
              <w:keepLines w:val="0"/>
              <w:pageBreakBefore w:val="0"/>
              <w:kinsoku/>
              <w:wordWrap/>
              <w:overflowPunct/>
              <w:topLinePunct w:val="0"/>
              <w:autoSpaceDE w:val="0"/>
              <w:autoSpaceDN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厂址具有满足生产、生活及发展规划所必需的水源和电源。</w:t>
            </w:r>
          </w:p>
        </w:tc>
        <w:tc>
          <w:tcPr>
            <w:tcW w:w="720" w:type="dxa"/>
            <w:vAlign w:val="center"/>
          </w:tcPr>
          <w:p w14:paraId="46EB6EDB">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0E14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37" w:type="dxa"/>
            <w:vAlign w:val="center"/>
          </w:tcPr>
          <w:p w14:paraId="37671D7B">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2520" w:type="dxa"/>
            <w:shd w:val="clear" w:color="auto" w:fill="auto"/>
            <w:vAlign w:val="center"/>
          </w:tcPr>
          <w:p w14:paraId="7A49895A">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散发有害物质的工业企业厂址，应位于城镇、相邻工业企业和居住区全年最小频率风向的上风侧，不应位于窝风地段，并应满足有关防护距离的要求。</w:t>
            </w:r>
          </w:p>
        </w:tc>
        <w:tc>
          <w:tcPr>
            <w:tcW w:w="2400" w:type="dxa"/>
            <w:shd w:val="clear" w:color="auto" w:fill="auto"/>
            <w:vAlign w:val="center"/>
          </w:tcPr>
          <w:p w14:paraId="3D01A80B">
            <w:pPr>
              <w:widowControl/>
              <w:rPr>
                <w:rFonts w:hint="eastAsia" w:ascii="宋体" w:hAnsi="Times New Roman" w:eastAsia="宋体" w:cs="Times New Roman"/>
                <w:sz w:val="21"/>
                <w:szCs w:val="21"/>
                <w:lang w:val="en-US" w:eastAsia="zh-CN" w:bidi="ar-SA"/>
              </w:rPr>
            </w:pPr>
            <w:r>
              <w:rPr>
                <w:sz w:val="21"/>
                <w:szCs w:val="21"/>
              </w:rPr>
              <w:t>《工业企业</w:t>
            </w:r>
            <w:r>
              <w:rPr>
                <w:rFonts w:hint="eastAsia"/>
                <w:sz w:val="21"/>
                <w:szCs w:val="21"/>
              </w:rPr>
              <w:t>总</w:t>
            </w:r>
            <w:r>
              <w:rPr>
                <w:sz w:val="21"/>
                <w:szCs w:val="21"/>
              </w:rPr>
              <w:t>平面设计规范》GB50187-20</w:t>
            </w:r>
            <w:r>
              <w:rPr>
                <w:rFonts w:hint="eastAsia"/>
                <w:sz w:val="21"/>
                <w:szCs w:val="21"/>
              </w:rPr>
              <w:t>12</w:t>
            </w:r>
            <w:r>
              <w:rPr>
                <w:sz w:val="21"/>
                <w:szCs w:val="21"/>
              </w:rPr>
              <w:t>第3.0.</w:t>
            </w:r>
            <w:r>
              <w:rPr>
                <w:rFonts w:hint="eastAsia"/>
                <w:sz w:val="21"/>
                <w:szCs w:val="21"/>
              </w:rPr>
              <w:t>7</w:t>
            </w:r>
            <w:r>
              <w:rPr>
                <w:sz w:val="21"/>
                <w:szCs w:val="21"/>
              </w:rPr>
              <w:t>条</w:t>
            </w:r>
          </w:p>
        </w:tc>
        <w:tc>
          <w:tcPr>
            <w:tcW w:w="2145" w:type="dxa"/>
            <w:shd w:val="clear" w:color="auto" w:fill="auto"/>
            <w:vAlign w:val="center"/>
          </w:tcPr>
          <w:p w14:paraId="6D4205D9">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本项目无有害物散发，不在窝风地段。</w:t>
            </w:r>
          </w:p>
        </w:tc>
        <w:tc>
          <w:tcPr>
            <w:tcW w:w="720" w:type="dxa"/>
            <w:shd w:val="clear" w:color="auto" w:fill="auto"/>
            <w:vAlign w:val="center"/>
          </w:tcPr>
          <w:p w14:paraId="50706CFE">
            <w:pPr>
              <w:widowControl/>
              <w:spacing w:line="600" w:lineRule="exact"/>
              <w:jc w:val="center"/>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符合</w:t>
            </w:r>
          </w:p>
        </w:tc>
      </w:tr>
      <w:tr w14:paraId="441E7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37" w:type="dxa"/>
            <w:vAlign w:val="center"/>
          </w:tcPr>
          <w:p w14:paraId="5BF90C57">
            <w:pPr>
              <w:keepNext w:val="0"/>
              <w:keepLines w:val="0"/>
              <w:pageBreakBefore w:val="0"/>
              <w:kinsoku/>
              <w:wordWrap/>
              <w:overflowPunct/>
              <w:topLinePunct w:val="0"/>
              <w:autoSpaceDE w:val="0"/>
              <w:autoSpaceDN w:val="0"/>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2520" w:type="dxa"/>
            <w:vAlign w:val="center"/>
          </w:tcPr>
          <w:p w14:paraId="5681E66D">
            <w:pPr>
              <w:adjustRightInd w:val="0"/>
              <w:snapToGrid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厂址应具有满足建设工程需要的工程地质条件和水文地质条件。</w:t>
            </w:r>
          </w:p>
        </w:tc>
        <w:tc>
          <w:tcPr>
            <w:tcW w:w="2400" w:type="dxa"/>
            <w:vAlign w:val="center"/>
          </w:tcPr>
          <w:p w14:paraId="53335A87">
            <w:pPr>
              <w:adjustRightInd w:val="0"/>
              <w:snapToGrid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36E634DA">
            <w:pPr>
              <w:adjustRightInd w:val="0"/>
              <w:snapToGrid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3.0.8</w:t>
            </w:r>
          </w:p>
        </w:tc>
        <w:tc>
          <w:tcPr>
            <w:tcW w:w="2145" w:type="dxa"/>
            <w:vAlign w:val="center"/>
          </w:tcPr>
          <w:p w14:paraId="35E99A23">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据项目组现场勘查，场地满足建设工程需要的工程地质条件。</w:t>
            </w:r>
          </w:p>
        </w:tc>
        <w:tc>
          <w:tcPr>
            <w:tcW w:w="720" w:type="dxa"/>
            <w:vAlign w:val="center"/>
          </w:tcPr>
          <w:p w14:paraId="41AC9F19">
            <w:pPr>
              <w:keepNext w:val="0"/>
              <w:keepLines w:val="0"/>
              <w:pageBreakBefore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9F74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652B55D">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2520" w:type="dxa"/>
            <w:vAlign w:val="center"/>
          </w:tcPr>
          <w:p w14:paraId="1990520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厂址应满足近期建设所必需的场地面积和适宜的建厂地形，并应根据工业企业远期发展规划的需要，留有适当的发展余地。</w:t>
            </w:r>
          </w:p>
        </w:tc>
        <w:tc>
          <w:tcPr>
            <w:tcW w:w="2400" w:type="dxa"/>
            <w:vAlign w:val="center"/>
          </w:tcPr>
          <w:p w14:paraId="450F04D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F5B1A6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第3.0.9条</w:t>
            </w:r>
          </w:p>
        </w:tc>
        <w:tc>
          <w:tcPr>
            <w:tcW w:w="2145" w:type="dxa"/>
            <w:vAlign w:val="center"/>
          </w:tcPr>
          <w:p w14:paraId="685AD193">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厂址满足近期建设所 </w:t>
            </w:r>
          </w:p>
          <w:p w14:paraId="0A8D7C65">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必需的场地面积和适 </w:t>
            </w:r>
          </w:p>
          <w:p w14:paraId="7FFC36D3">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宜的建厂地形，并预 </w:t>
            </w:r>
          </w:p>
          <w:p w14:paraId="77B0B9A8">
            <w:pPr>
              <w:keepNext w:val="0"/>
              <w:keepLines w:val="0"/>
              <w:pageBreakBefore w:val="0"/>
              <w:widowControl/>
              <w:kinsoku/>
              <w:wordWrap/>
              <w:overflowPunct/>
              <w:topLinePunct w:val="0"/>
              <w:bidi w:val="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留有空地。</w:t>
            </w:r>
          </w:p>
        </w:tc>
        <w:tc>
          <w:tcPr>
            <w:tcW w:w="720" w:type="dxa"/>
            <w:vAlign w:val="center"/>
          </w:tcPr>
          <w:p w14:paraId="3C21F242">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69FBA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585B9957">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w:t>
            </w:r>
          </w:p>
        </w:tc>
        <w:tc>
          <w:tcPr>
            <w:tcW w:w="2520" w:type="dxa"/>
            <w:vAlign w:val="center"/>
          </w:tcPr>
          <w:p w14:paraId="7A32B15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厂址应满足适宜的地形坡度，尽量避开自然地形复杂、自然坡度大的地段，应避免将盆地、积水洼地作为厂址。</w:t>
            </w:r>
          </w:p>
        </w:tc>
        <w:tc>
          <w:tcPr>
            <w:tcW w:w="2400" w:type="dxa"/>
            <w:vAlign w:val="center"/>
          </w:tcPr>
          <w:p w14:paraId="49937A2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37E7340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第3.0.10条</w:t>
            </w:r>
          </w:p>
        </w:tc>
        <w:tc>
          <w:tcPr>
            <w:tcW w:w="2145" w:type="dxa"/>
            <w:vAlign w:val="center"/>
          </w:tcPr>
          <w:p w14:paraId="791AC05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厂址具有适宜的地形坡度，不属于自然地形复杂、自然坡度大的地段。</w:t>
            </w:r>
          </w:p>
        </w:tc>
        <w:tc>
          <w:tcPr>
            <w:tcW w:w="720" w:type="dxa"/>
            <w:vAlign w:val="center"/>
          </w:tcPr>
          <w:p w14:paraId="449FE9F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619D7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47CF57BE">
            <w:pPr>
              <w:keepNext w:val="0"/>
              <w:keepLines w:val="0"/>
              <w:pageBreakBefore w:val="0"/>
              <w:kinsoku/>
              <w:wordWrap/>
              <w:overflowPunct/>
              <w:topLinePunct w:val="0"/>
              <w:bidi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p>
        </w:tc>
        <w:tc>
          <w:tcPr>
            <w:tcW w:w="2520" w:type="dxa"/>
            <w:vAlign w:val="center"/>
          </w:tcPr>
          <w:p w14:paraId="45B798B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厂址应有利于同邻近工业企业和依托城镇在生产、交通运输、动力公用、机修和器材供应、综合利用、发展循环经济和生活设施等方面的协作等方面的协作。</w:t>
            </w:r>
          </w:p>
        </w:tc>
        <w:tc>
          <w:tcPr>
            <w:tcW w:w="2400" w:type="dxa"/>
            <w:vAlign w:val="center"/>
          </w:tcPr>
          <w:p w14:paraId="3FB5A973">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1A9A85F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第3.0.11条</w:t>
            </w:r>
          </w:p>
        </w:tc>
        <w:tc>
          <w:tcPr>
            <w:tcW w:w="2145" w:type="dxa"/>
            <w:vAlign w:val="center"/>
          </w:tcPr>
          <w:p w14:paraId="3D66C3F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项目厂址有利于依托城镇在生产、交通运输、动力公用、修理、综合利用和生活设施等方面的协作。</w:t>
            </w:r>
          </w:p>
        </w:tc>
        <w:tc>
          <w:tcPr>
            <w:tcW w:w="720" w:type="dxa"/>
            <w:vAlign w:val="center"/>
          </w:tcPr>
          <w:p w14:paraId="6E764F3A">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06227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091D15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1</w:t>
            </w:r>
          </w:p>
        </w:tc>
        <w:tc>
          <w:tcPr>
            <w:tcW w:w="2520" w:type="dxa"/>
            <w:vAlign w:val="center"/>
          </w:tcPr>
          <w:p w14:paraId="7F02C47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厂址应位于不受洪水、潮水或内涝威胁的地带，并应符合下列规定： </w:t>
            </w:r>
          </w:p>
          <w:p w14:paraId="055151E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 xml:space="preserve">当厂址不可避免不受洪水、潮水、或内涝威胁的地带时，必须采取防洪、排涝措施； </w:t>
            </w:r>
          </w:p>
          <w:p w14:paraId="0138553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凡受江、河、潮、海洪水、潮水或山洪威胁的工业企业，防洪标准应符合现行国家标准 《防洪标准 》GB 50201的有关规定。</w:t>
            </w:r>
          </w:p>
        </w:tc>
        <w:tc>
          <w:tcPr>
            <w:tcW w:w="2400" w:type="dxa"/>
            <w:vAlign w:val="center"/>
          </w:tcPr>
          <w:p w14:paraId="7CDEDA5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0BD10A2">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第3.0.12条</w:t>
            </w:r>
          </w:p>
        </w:tc>
        <w:tc>
          <w:tcPr>
            <w:tcW w:w="2145" w:type="dxa"/>
            <w:vAlign w:val="center"/>
          </w:tcPr>
          <w:p w14:paraId="7E3F746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该项目厂址不受洪水、潮水和内涝的威胁。</w:t>
            </w:r>
          </w:p>
        </w:tc>
        <w:tc>
          <w:tcPr>
            <w:tcW w:w="720" w:type="dxa"/>
            <w:vAlign w:val="center"/>
          </w:tcPr>
          <w:p w14:paraId="79FB8949">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29087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9BC2DD3">
            <w:pPr>
              <w:keepNext w:val="0"/>
              <w:keepLines w:val="0"/>
              <w:pageBreakBefore w:val="0"/>
              <w:kinsoku/>
              <w:wordWrap/>
              <w:overflowPunct/>
              <w:topLinePunct w:val="0"/>
              <w:bidi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12</w:t>
            </w:r>
          </w:p>
        </w:tc>
        <w:tc>
          <w:tcPr>
            <w:tcW w:w="2520" w:type="dxa"/>
            <w:shd w:val="clear" w:color="auto" w:fill="auto"/>
            <w:vAlign w:val="center"/>
          </w:tcPr>
          <w:p w14:paraId="58B5E642">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山区建厂，当厂址位于山坡或山脚处时，应采取防止山洪、泥石流等自然灾害的危害的加固措施，应对山坡的稳定性等作出地质灾害的危险性评估报告。</w:t>
            </w:r>
          </w:p>
        </w:tc>
        <w:tc>
          <w:tcPr>
            <w:tcW w:w="2400" w:type="dxa"/>
            <w:shd w:val="clear" w:color="auto" w:fill="auto"/>
            <w:vAlign w:val="center"/>
          </w:tcPr>
          <w:p w14:paraId="02855279">
            <w:pPr>
              <w:widowControl/>
              <w:rPr>
                <w:rFonts w:hint="eastAsia" w:ascii="宋体" w:hAnsi="Times New Roman" w:eastAsia="宋体" w:cs="Times New Roman"/>
                <w:sz w:val="21"/>
                <w:szCs w:val="21"/>
                <w:lang w:val="en-US" w:eastAsia="zh-CN" w:bidi="ar-SA"/>
              </w:rPr>
            </w:pPr>
            <w:r>
              <w:rPr>
                <w:sz w:val="21"/>
                <w:szCs w:val="21"/>
              </w:rPr>
              <w:t>《工业企业</w:t>
            </w:r>
            <w:r>
              <w:rPr>
                <w:rFonts w:hint="eastAsia"/>
                <w:sz w:val="21"/>
                <w:szCs w:val="21"/>
              </w:rPr>
              <w:t>总</w:t>
            </w:r>
            <w:r>
              <w:rPr>
                <w:sz w:val="21"/>
                <w:szCs w:val="21"/>
              </w:rPr>
              <w:t>平面设计规范》GB50187-20</w:t>
            </w:r>
            <w:r>
              <w:rPr>
                <w:rFonts w:hint="eastAsia"/>
                <w:sz w:val="21"/>
                <w:szCs w:val="21"/>
              </w:rPr>
              <w:t>12</w:t>
            </w:r>
            <w:r>
              <w:rPr>
                <w:sz w:val="21"/>
                <w:szCs w:val="21"/>
              </w:rPr>
              <w:t>第3.0.</w:t>
            </w:r>
            <w:r>
              <w:rPr>
                <w:rFonts w:hint="eastAsia"/>
                <w:sz w:val="21"/>
                <w:szCs w:val="21"/>
              </w:rPr>
              <w:t>13</w:t>
            </w:r>
            <w:r>
              <w:rPr>
                <w:sz w:val="21"/>
                <w:szCs w:val="21"/>
              </w:rPr>
              <w:t>条</w:t>
            </w:r>
          </w:p>
        </w:tc>
        <w:tc>
          <w:tcPr>
            <w:tcW w:w="2145" w:type="dxa"/>
            <w:shd w:val="clear" w:color="auto" w:fill="auto"/>
            <w:vAlign w:val="center"/>
          </w:tcPr>
          <w:p w14:paraId="5D90EE79">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厂址不在山坡或山脚</w:t>
            </w:r>
          </w:p>
        </w:tc>
        <w:tc>
          <w:tcPr>
            <w:tcW w:w="720" w:type="dxa"/>
            <w:shd w:val="clear" w:color="auto" w:fill="auto"/>
            <w:vAlign w:val="center"/>
          </w:tcPr>
          <w:p w14:paraId="2494F40A">
            <w:pPr>
              <w:widowControl/>
              <w:spacing w:line="600" w:lineRule="exact"/>
              <w:jc w:val="center"/>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符合</w:t>
            </w:r>
          </w:p>
        </w:tc>
      </w:tr>
      <w:tr w14:paraId="48F03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6B98AE1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2520" w:type="dxa"/>
            <w:vAlign w:val="center"/>
          </w:tcPr>
          <w:p w14:paraId="67E20D8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下列地段和地区不应选为厂址： </w:t>
            </w:r>
          </w:p>
          <w:p w14:paraId="4805F6E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1）发震断层和抗震设防烈度为9 度及高于9度的地震区；</w:t>
            </w:r>
          </w:p>
          <w:p w14:paraId="7E686B1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2）有泥石流、滑坡、流沙、溶洞等直接危害的地段；</w:t>
            </w:r>
          </w:p>
          <w:p w14:paraId="63E4986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3）采矿陷落（错动）区地表界限内；</w:t>
            </w:r>
          </w:p>
          <w:p w14:paraId="0DE71AC7">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4）爆破危险界限内；</w:t>
            </w:r>
          </w:p>
          <w:p w14:paraId="17526CE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5）坝或堤决溃后可能淹没的地区； </w:t>
            </w:r>
          </w:p>
          <w:p w14:paraId="29E2216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6）有严重放射性物质污染影响区；</w:t>
            </w:r>
          </w:p>
          <w:p w14:paraId="0BC1554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7）生活居住区、文教区、水源保护区、名胜古迹、风景游览区、温泉、疗 养区、自然保护区和其它需要特别保护的区域；</w:t>
            </w:r>
          </w:p>
          <w:p w14:paraId="5911D61F">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8）对飞机起落、电台通讯、电视转播、雷达导航和重要的天文、气象、地震观察以及军事设施等规定有影响的范围内；</w:t>
            </w:r>
          </w:p>
          <w:p w14:paraId="6F380B1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9）很严重的自重湿陷性黄土地段，厚度大的新近堆积黄土地段和高压缩性的 饱和黄土地段等地质条件恶劣地段；</w:t>
            </w:r>
          </w:p>
          <w:p w14:paraId="270B4CC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10）具有开采价值的矿藏区； 11）受海啸或湖涌危害的地区。</w:t>
            </w:r>
          </w:p>
        </w:tc>
        <w:tc>
          <w:tcPr>
            <w:tcW w:w="2400" w:type="dxa"/>
            <w:vAlign w:val="center"/>
          </w:tcPr>
          <w:p w14:paraId="4BF21F37">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36E9A89B">
            <w:pPr>
              <w:pStyle w:val="47"/>
              <w:keepNext w:val="0"/>
              <w:keepLines w:val="0"/>
              <w:pageBreakBefore w:val="0"/>
              <w:widowControl w:val="0"/>
              <w:kinsoku/>
              <w:wordWrap/>
              <w:overflowPunct/>
              <w:topLinePunct w:val="0"/>
              <w:bidi w:val="0"/>
              <w:adjustRightInd/>
              <w:snapToGrid w:val="0"/>
              <w:spacing w:line="240"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第3.0.14条</w:t>
            </w:r>
          </w:p>
        </w:tc>
        <w:tc>
          <w:tcPr>
            <w:tcW w:w="2145" w:type="dxa"/>
            <w:vAlign w:val="center"/>
          </w:tcPr>
          <w:p w14:paraId="7B12FEC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厂址选择满足要求。</w:t>
            </w:r>
          </w:p>
        </w:tc>
        <w:tc>
          <w:tcPr>
            <w:tcW w:w="720" w:type="dxa"/>
            <w:vAlign w:val="center"/>
          </w:tcPr>
          <w:p w14:paraId="0D1C1656">
            <w:pPr>
              <w:pStyle w:val="47"/>
              <w:keepNext w:val="0"/>
              <w:keepLines w:val="0"/>
              <w:pageBreakBefore w:val="0"/>
              <w:widowControl w:val="0"/>
              <w:kinsoku/>
              <w:wordWrap/>
              <w:overflowPunct/>
              <w:topLinePunct w:val="0"/>
              <w:bidi w:val="0"/>
              <w:adjustRightInd/>
              <w:snapToGrid w:val="0"/>
              <w:spacing w:line="24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C46C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D7B6680">
            <w:pPr>
              <w:keepNext w:val="0"/>
              <w:keepLines w:val="0"/>
              <w:pageBreakBefore w:val="0"/>
              <w:kinsoku/>
              <w:wordWrap/>
              <w:overflowPunct/>
              <w:topLinePunct w:val="0"/>
              <w:bidi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14</w:t>
            </w:r>
          </w:p>
        </w:tc>
        <w:tc>
          <w:tcPr>
            <w:tcW w:w="2520" w:type="dxa"/>
            <w:vAlign w:val="center"/>
          </w:tcPr>
          <w:p w14:paraId="66F70C5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选址宜避开可能产生或存在危害健康的场所和设施，如垃圾填埋场、污水处理厂、气体输送管道，以及水、土壤可能已被原工业企业污染的地区；建设工程需要难以避开的，应首先进行卫生学评估，并根据评估结果采取必要的控制措施。设计单位应明确要求施工单位和建设单位制定施工期间和投产运行后突发公共卫生事件应急救援预案。</w:t>
            </w:r>
          </w:p>
        </w:tc>
        <w:tc>
          <w:tcPr>
            <w:tcW w:w="2400" w:type="dxa"/>
            <w:vAlign w:val="center"/>
          </w:tcPr>
          <w:p w14:paraId="07163FF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《工业企业设计卫生标准》（GBZ1-2010）</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5.1.3</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229AE7E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该项目厂址避开了可能产生或存在危害健康的场所和设施。</w:t>
            </w:r>
          </w:p>
        </w:tc>
        <w:tc>
          <w:tcPr>
            <w:tcW w:w="720" w:type="dxa"/>
            <w:vAlign w:val="center"/>
          </w:tcPr>
          <w:p w14:paraId="0A8E2A2F">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09294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687DE6B3">
            <w:pPr>
              <w:keepNext w:val="0"/>
              <w:keepLines w:val="0"/>
              <w:pageBreakBefore w:val="0"/>
              <w:kinsoku/>
              <w:wordWrap/>
              <w:overflowPunct/>
              <w:topLinePunct w:val="0"/>
              <w:bidi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15</w:t>
            </w:r>
          </w:p>
        </w:tc>
        <w:tc>
          <w:tcPr>
            <w:tcW w:w="2520" w:type="dxa"/>
            <w:vAlign w:val="center"/>
          </w:tcPr>
          <w:p w14:paraId="206E5940">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在同一工业区内布置不同卫生特征的工业企业时，宜避免不同有害因素产生交叉污染和联合作用。</w:t>
            </w:r>
          </w:p>
        </w:tc>
        <w:tc>
          <w:tcPr>
            <w:tcW w:w="2400" w:type="dxa"/>
            <w:vAlign w:val="center"/>
          </w:tcPr>
          <w:p w14:paraId="23FC5382">
            <w:pPr>
              <w:keepNext w:val="0"/>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《工业企业设计卫生标准》（GBZ1-2010）</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5.1.5</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60B77D7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厂址与周边工业企业基本不会产生交叉污染和联合作用。</w:t>
            </w:r>
          </w:p>
        </w:tc>
        <w:tc>
          <w:tcPr>
            <w:tcW w:w="720" w:type="dxa"/>
            <w:vAlign w:val="center"/>
          </w:tcPr>
          <w:p w14:paraId="0068A2A4">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符合要求</w:t>
            </w:r>
          </w:p>
        </w:tc>
      </w:tr>
      <w:tr w14:paraId="45BE5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4DBF642">
            <w:pPr>
              <w:keepNext w:val="0"/>
              <w:keepLines w:val="0"/>
              <w:pageBreakBefore w:val="0"/>
              <w:kinsoku/>
              <w:wordWrap/>
              <w:overflowPunct/>
              <w:topLinePunct w:val="0"/>
              <w:bidi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16</w:t>
            </w:r>
          </w:p>
        </w:tc>
        <w:tc>
          <w:tcPr>
            <w:tcW w:w="2520" w:type="dxa"/>
            <w:shd w:val="clear" w:color="auto" w:fill="auto"/>
            <w:vAlign w:val="center"/>
          </w:tcPr>
          <w:p w14:paraId="3D63D94D">
            <w:pPr>
              <w:keepNext w:val="0"/>
              <w:keepLines w:val="0"/>
              <w:pageBreakBefore w:val="0"/>
              <w:kinsoku/>
              <w:wordWrap/>
              <w:overflowPunct/>
              <w:topLinePunct w:val="0"/>
              <w:bidi w:val="0"/>
              <w:snapToGrid w:val="0"/>
              <w:textAlignment w:val="auto"/>
              <w:rPr>
                <w:rFonts w:hint="eastAsia" w:ascii="宋体" w:hAnsi="宋体" w:eastAsia="宋体" w:cs="宋体"/>
                <w:sz w:val="21"/>
                <w:szCs w:val="21"/>
                <w:lang w:val="en-US" w:eastAsia="zh-CN" w:bidi="ar-SA"/>
              </w:rPr>
            </w:pPr>
            <w:r>
              <w:rPr>
                <w:rFonts w:hint="eastAsia" w:ascii="宋体" w:hAnsi="宋体" w:eastAsia="宋体" w:cs="宋体"/>
                <w:color w:val="000000" w:themeColor="text1"/>
                <w:sz w:val="21"/>
                <w:szCs w:val="21"/>
                <w:lang w:val="en-US" w:eastAsia="zh-CN"/>
                <w14:textFill>
                  <w14:solidFill>
                    <w14:schemeClr w14:val="tx1"/>
                  </w14:solidFill>
                </w14:textFill>
              </w:rPr>
              <w:t>工业企业选址宜避开自然疫源地；对于因建设工程需要等原因不能避开的，应设计具体的疫情综合预防控制措施。</w:t>
            </w:r>
          </w:p>
        </w:tc>
        <w:tc>
          <w:tcPr>
            <w:tcW w:w="2400" w:type="dxa"/>
            <w:shd w:val="clear" w:color="auto" w:fill="auto"/>
            <w:vAlign w:val="center"/>
          </w:tcPr>
          <w:p w14:paraId="1AADD0EB">
            <w:pPr>
              <w:keepNext w:val="0"/>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sz w:val="21"/>
                <w:szCs w:val="21"/>
                <w:lang w:val="en-US" w:eastAsia="zh-CN" w:bidi="ar-SA"/>
              </w:rPr>
            </w:pPr>
            <w:r>
              <w:rPr>
                <w:rFonts w:hint="eastAsia" w:ascii="宋体" w:hAnsi="宋体" w:eastAsia="宋体" w:cs="宋体"/>
                <w:color w:val="000000" w:themeColor="text1"/>
                <w:sz w:val="21"/>
                <w:szCs w:val="21"/>
                <w14:textFill>
                  <w14:solidFill>
                    <w14:schemeClr w14:val="tx1"/>
                  </w14:solidFill>
                </w14:textFill>
              </w:rPr>
              <w:t>《工业企业设计卫生标准》（GB Z1-2010）5.1.2</w:t>
            </w:r>
          </w:p>
        </w:tc>
        <w:tc>
          <w:tcPr>
            <w:tcW w:w="2145" w:type="dxa"/>
            <w:shd w:val="clear" w:color="auto" w:fill="auto"/>
            <w:vAlign w:val="center"/>
          </w:tcPr>
          <w:p w14:paraId="438E414A">
            <w:pPr>
              <w:keepNext w:val="0"/>
              <w:keepLines w:val="0"/>
              <w:pageBreakBefore w:val="0"/>
              <w:kinsoku/>
              <w:wordWrap/>
              <w:overflowPunct/>
              <w:topLinePunct w:val="0"/>
              <w:bidi w:val="0"/>
              <w:snapToGrid w:val="0"/>
              <w:textAlignment w:val="auto"/>
              <w:rPr>
                <w:rFonts w:hint="eastAsia" w:ascii="宋体" w:hAnsi="宋体" w:eastAsia="宋体" w:cs="宋体"/>
                <w:sz w:val="21"/>
                <w:szCs w:val="21"/>
                <w:lang w:val="en-US" w:eastAsia="zh-CN" w:bidi="ar-SA"/>
              </w:rPr>
            </w:pPr>
            <w:r>
              <w:rPr>
                <w:rFonts w:hint="eastAsia" w:ascii="宋体" w:hAnsi="宋体" w:eastAsia="宋体" w:cs="宋体"/>
                <w:color w:val="000000" w:themeColor="text1"/>
                <w:sz w:val="21"/>
                <w:szCs w:val="21"/>
                <w:lang w:val="en-US" w:eastAsia="zh-CN"/>
                <w14:textFill>
                  <w14:solidFill>
                    <w14:schemeClr w14:val="tx1"/>
                  </w14:solidFill>
                </w14:textFill>
              </w:rPr>
              <w:t>该项目厂区不属于自然疫源地。</w:t>
            </w:r>
          </w:p>
        </w:tc>
        <w:tc>
          <w:tcPr>
            <w:tcW w:w="720" w:type="dxa"/>
            <w:shd w:val="clear" w:color="auto" w:fill="auto"/>
            <w:vAlign w:val="center"/>
          </w:tcPr>
          <w:p w14:paraId="6DEB3299">
            <w:pPr>
              <w:pStyle w:val="31"/>
              <w:rPr>
                <w:rFonts w:hint="eastAsia" w:ascii="宋体" w:hAnsi="宋体" w:eastAsia="宋体" w:cs="宋体"/>
                <w:sz w:val="21"/>
                <w:szCs w:val="21"/>
                <w:lang w:val="en-US" w:eastAsia="zh-CN" w:bidi="ar-SA"/>
              </w:rPr>
            </w:pPr>
            <w:r>
              <w:rPr>
                <w:rFonts w:hint="eastAsia" w:ascii="宋体" w:hAnsi="宋体" w:eastAsia="宋体" w:cs="宋体"/>
                <w:sz w:val="21"/>
                <w:szCs w:val="21"/>
              </w:rPr>
              <w:t>符合</w:t>
            </w:r>
          </w:p>
        </w:tc>
      </w:tr>
      <w:tr w14:paraId="36D13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2" w:type="dxa"/>
            <w:gridSpan w:val="5"/>
            <w:vAlign w:val="center"/>
          </w:tcPr>
          <w:p w14:paraId="214B8F87">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总平面布置检查</w:t>
            </w:r>
          </w:p>
        </w:tc>
      </w:tr>
      <w:tr w14:paraId="51C1A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578F6198">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520" w:type="dxa"/>
            <w:vAlign w:val="center"/>
          </w:tcPr>
          <w:p w14:paraId="7C9F2D7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企业总体规划应贯彻节约集约用地的原则，并应严格执行国家规定的土地使用审批程序，应利用荒地、劣地及非耕地，不应占用基本农田。分期建设时，总体规划应正确处理近期和远期的关系。近期应集中布置，远期应预留发展，应分期征地，并应合理有效利用土地。</w:t>
            </w:r>
          </w:p>
        </w:tc>
        <w:tc>
          <w:tcPr>
            <w:tcW w:w="2400" w:type="dxa"/>
            <w:vAlign w:val="center"/>
          </w:tcPr>
          <w:p w14:paraId="6531545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《工业企业总平面设计规范》 (GB50187-2012)</w:t>
            </w:r>
          </w:p>
          <w:p w14:paraId="563985D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第4.1.4</w:t>
            </w:r>
          </w:p>
        </w:tc>
        <w:tc>
          <w:tcPr>
            <w:tcW w:w="2145" w:type="dxa"/>
            <w:vAlign w:val="center"/>
          </w:tcPr>
          <w:p w14:paraId="78168E08">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本项目生产装置布置紧凑，节约用地，在生产区西南侧留有发展用地。</w:t>
            </w:r>
          </w:p>
        </w:tc>
        <w:tc>
          <w:tcPr>
            <w:tcW w:w="720" w:type="dxa"/>
            <w:vAlign w:val="center"/>
          </w:tcPr>
          <w:p w14:paraId="3C6658C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16024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D70CE35">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520" w:type="dxa"/>
            <w:vAlign w:val="center"/>
          </w:tcPr>
          <w:p w14:paraId="45344C3F">
            <w:pPr>
              <w:pStyle w:val="47"/>
              <w:widowControl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工业企业总体规划，应符合城乡总体规划和土地利用总体规划的要求。有条件时，规划应与城乡和邻近工业企业在生产、交通运输、动力公用、机修和器材供应、综合利用及生活设施等方面进行协作。</w:t>
            </w:r>
          </w:p>
        </w:tc>
        <w:tc>
          <w:tcPr>
            <w:tcW w:w="2400" w:type="dxa"/>
            <w:vAlign w:val="center"/>
          </w:tcPr>
          <w:p w14:paraId="19CFE3A2">
            <w:pPr>
              <w:pStyle w:val="47"/>
              <w:widowControl w:val="0"/>
              <w:snapToGrid w:val="0"/>
              <w:spacing w:line="300" w:lineRule="exact"/>
              <w:contextualSpacing/>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《工业企业总平面设计规范》（GB50187-2012）第4.1.2条</w:t>
            </w:r>
          </w:p>
        </w:tc>
        <w:tc>
          <w:tcPr>
            <w:tcW w:w="2145" w:type="dxa"/>
            <w:vAlign w:val="center"/>
          </w:tcPr>
          <w:p w14:paraId="58DCB417">
            <w:pPr>
              <w:pStyle w:val="47"/>
              <w:widowControl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工业企业总体规划，符合城乡总体规划和土地利用总体规划的要求。</w:t>
            </w:r>
          </w:p>
        </w:tc>
        <w:tc>
          <w:tcPr>
            <w:tcW w:w="720" w:type="dxa"/>
            <w:vAlign w:val="center"/>
          </w:tcPr>
          <w:p w14:paraId="77C55762">
            <w:pPr>
              <w:pStyle w:val="47"/>
              <w:widowControl w:val="0"/>
              <w:snapToGrid w:val="0"/>
              <w:spacing w:line="300" w:lineRule="exact"/>
              <w:contextualSpacing/>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35B0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4232F6D9">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2520" w:type="dxa"/>
            <w:vAlign w:val="center"/>
          </w:tcPr>
          <w:p w14:paraId="465A86F2">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出入口数量是否满足生产运输需要。</w:t>
            </w:r>
          </w:p>
        </w:tc>
        <w:tc>
          <w:tcPr>
            <w:tcW w:w="2400" w:type="dxa"/>
            <w:vAlign w:val="center"/>
          </w:tcPr>
          <w:p w14:paraId="572A25D8">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《工业企业总平面设计规范》</w:t>
            </w:r>
            <w:r>
              <w:rPr>
                <w:rFonts w:hint="eastAsia" w:ascii="宋体" w:hAnsi="宋体" w:eastAsia="宋体" w:cs="宋体"/>
                <w:color w:val="000000" w:themeColor="text1"/>
                <w:sz w:val="21"/>
                <w:szCs w:val="21"/>
                <w14:textFill>
                  <w14:solidFill>
                    <w14:schemeClr w14:val="tx1"/>
                  </w14:solidFill>
                </w14:textFill>
              </w:rPr>
              <w:t>（GB50187-2012）</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14:textFill>
                  <w14:solidFill>
                    <w14:schemeClr w14:val="tx1"/>
                  </w14:solidFill>
                </w14:textFill>
              </w:rPr>
              <w:t>.7.4</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1C5026D3">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厂区的出入口，满足要求</w:t>
            </w:r>
          </w:p>
        </w:tc>
        <w:tc>
          <w:tcPr>
            <w:tcW w:w="720" w:type="dxa"/>
            <w:vAlign w:val="center"/>
          </w:tcPr>
          <w:p w14:paraId="26E9EF2E">
            <w:pPr>
              <w:keepNext w:val="0"/>
              <w:keepLines w:val="0"/>
              <w:pageBreakBefore w:val="0"/>
              <w:kinsoku/>
              <w:wordWrap/>
              <w:overflowPunct/>
              <w:topLinePunct w:val="0"/>
              <w:bidi w:val="0"/>
              <w:adjustRightInd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tr w14:paraId="7398A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CD3885A">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2520" w:type="dxa"/>
            <w:vAlign w:val="center"/>
          </w:tcPr>
          <w:p w14:paraId="32AE7975">
            <w:pPr>
              <w:keepNext w:val="0"/>
              <w:keepLines w:val="0"/>
              <w:pageBreakBefore w:val="0"/>
              <w:kinsoku/>
              <w:wordWrap/>
              <w:overflowPunct/>
              <w:topLinePunct w:val="0"/>
              <w:bidi w:val="0"/>
              <w:adjustRightInd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在总体规划的基础上，根据工业企业的性质、规模、生产流程、交通运输、环境保护，以及防火、安全、卫生、节能、施工、检修、厂区发展等要求，结合场地自然条件，经技术经济比较后择优确定。</w:t>
            </w:r>
          </w:p>
        </w:tc>
        <w:tc>
          <w:tcPr>
            <w:tcW w:w="2400" w:type="dxa"/>
            <w:vAlign w:val="center"/>
          </w:tcPr>
          <w:p w14:paraId="7CDBD8CD">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29BF23DE">
            <w:pPr>
              <w:pStyle w:val="18"/>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第 5.1.1条 </w:t>
            </w:r>
          </w:p>
        </w:tc>
        <w:tc>
          <w:tcPr>
            <w:tcW w:w="2145" w:type="dxa"/>
            <w:vAlign w:val="center"/>
          </w:tcPr>
          <w:p w14:paraId="2994DCD2">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厂内总平面布置考虑了上述要求。</w:t>
            </w:r>
          </w:p>
        </w:tc>
        <w:tc>
          <w:tcPr>
            <w:tcW w:w="720" w:type="dxa"/>
            <w:vAlign w:val="center"/>
          </w:tcPr>
          <w:p w14:paraId="494DAC2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BE39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0FE4116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2520" w:type="dxa"/>
            <w:vAlign w:val="center"/>
          </w:tcPr>
          <w:p w14:paraId="608E64B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总平面布置应节约集约用地，提高土地利用率。布置时并应符合下列要求：1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在符合生产流程、操作要求和使用功能的前提下，建筑物、构筑物等设施，应采用联合、集中、多层布置；2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应按企业规模和功能分区，合理地确定通道宽度；3</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厂区功能分区及建筑物、构筑物的外形宜规整；4</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功能分区内各项设施的布置，应紧凑、合理。</w:t>
            </w:r>
          </w:p>
        </w:tc>
        <w:tc>
          <w:tcPr>
            <w:tcW w:w="2400" w:type="dxa"/>
            <w:vAlign w:val="center"/>
          </w:tcPr>
          <w:p w14:paraId="5AE3314A">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99D23E1">
            <w:pPr>
              <w:pStyle w:val="18"/>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第5.1.2条</w:t>
            </w:r>
          </w:p>
        </w:tc>
        <w:tc>
          <w:tcPr>
            <w:tcW w:w="2145" w:type="dxa"/>
            <w:vAlign w:val="center"/>
          </w:tcPr>
          <w:p w14:paraId="02A348E9">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本项目工艺设备布置紧凑、合理，作业通道基本满足要求。</w:t>
            </w:r>
          </w:p>
        </w:tc>
        <w:tc>
          <w:tcPr>
            <w:tcW w:w="720" w:type="dxa"/>
            <w:vAlign w:val="center"/>
          </w:tcPr>
          <w:p w14:paraId="234ABAC1">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4A52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06C39C3C">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2520" w:type="dxa"/>
            <w:vAlign w:val="center"/>
          </w:tcPr>
          <w:p w14:paraId="65DAA49D">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厂区的通道宽度，应符合下列要求：1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应符合通道两侧建筑物、构筑物及露天设施对防火、安全与卫生间距的要求；2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应符合铁路、道路与带式输送机通廊等工业运输线路的布置要求；3</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应符合各种工程管线的布置要求；4</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应符合绿化布置的要求；5</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应符合施工、安装与检修的要求；6</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应符合竖向设计的要求；7</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应符合预留发展用地的要求。</w:t>
            </w:r>
          </w:p>
        </w:tc>
        <w:tc>
          <w:tcPr>
            <w:tcW w:w="2400" w:type="dxa"/>
            <w:vAlign w:val="center"/>
          </w:tcPr>
          <w:p w14:paraId="07B333DA">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4B030CE">
            <w:pPr>
              <w:pStyle w:val="18"/>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第5.1.4 条 </w:t>
            </w:r>
          </w:p>
        </w:tc>
        <w:tc>
          <w:tcPr>
            <w:tcW w:w="2145" w:type="dxa"/>
            <w:vAlign w:val="center"/>
          </w:tcPr>
          <w:p w14:paraId="7A0237F3">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本项目工艺设备布置紧凑、合理，厂内通道满足要求。</w:t>
            </w:r>
          </w:p>
        </w:tc>
        <w:tc>
          <w:tcPr>
            <w:tcW w:w="720" w:type="dxa"/>
            <w:vAlign w:val="center"/>
          </w:tcPr>
          <w:p w14:paraId="3A90241F">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A677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0AA7F5C">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2520" w:type="dxa"/>
            <w:vAlign w:val="center"/>
          </w:tcPr>
          <w:p w14:paraId="10EB69E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总平面布置，应充分利用地形、地势、工程地质及水文地质条件，布置建筑物、构筑物和有关设施，应减少土（石）方工程量和基础工程费用，并应符合下列要求：1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当厂区地形坡度较大时，建筑物、构筑物的长轴宜顺等高线布置；2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应结合地形及竖向设计，为物料采用自流管道及高站台、低货位等设施创造条件。</w:t>
            </w:r>
          </w:p>
        </w:tc>
        <w:tc>
          <w:tcPr>
            <w:tcW w:w="2400" w:type="dxa"/>
            <w:vAlign w:val="center"/>
          </w:tcPr>
          <w:p w14:paraId="7BA4EC7E">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78FAC5F7">
            <w:pPr>
              <w:pStyle w:val="18"/>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第5.1.5条  </w:t>
            </w:r>
          </w:p>
        </w:tc>
        <w:tc>
          <w:tcPr>
            <w:tcW w:w="2145" w:type="dxa"/>
            <w:vAlign w:val="center"/>
          </w:tcPr>
          <w:p w14:paraId="4E52452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厂内建构筑物布置依托了原有地形、地势条件进行布置。</w:t>
            </w:r>
          </w:p>
        </w:tc>
        <w:tc>
          <w:tcPr>
            <w:tcW w:w="720" w:type="dxa"/>
            <w:vAlign w:val="center"/>
          </w:tcPr>
          <w:p w14:paraId="7E58A190">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C74C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637" w:type="dxa"/>
            <w:vAlign w:val="center"/>
          </w:tcPr>
          <w:p w14:paraId="08798F4C">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2520" w:type="dxa"/>
            <w:vAlign w:val="center"/>
          </w:tcPr>
          <w:p w14:paraId="150EAD5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总平面布置应采取防止高温、有害气体、烟、雾、粉尘、强烈振动和高噪声对周围环境和人身安全的危害的安全保障措施，并应符合现行国家有关工业企业卫生设计标准的规定。</w:t>
            </w:r>
          </w:p>
        </w:tc>
        <w:tc>
          <w:tcPr>
            <w:tcW w:w="2400" w:type="dxa"/>
            <w:vAlign w:val="center"/>
          </w:tcPr>
          <w:p w14:paraId="650965B8">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0ABF6530">
            <w:pPr>
              <w:pStyle w:val="18"/>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第5.1.7条</w:t>
            </w:r>
          </w:p>
        </w:tc>
        <w:tc>
          <w:tcPr>
            <w:tcW w:w="2145" w:type="dxa"/>
            <w:vAlign w:val="center"/>
          </w:tcPr>
          <w:p w14:paraId="697CCB1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w:t>
            </w:r>
            <w:r>
              <w:rPr>
                <w:rFonts w:hint="eastAsia" w:ascii="宋体" w:hAnsi="宋体" w:eastAsia="宋体" w:cs="宋体"/>
                <w:color w:val="000000" w:themeColor="text1"/>
                <w:sz w:val="21"/>
                <w:szCs w:val="21"/>
                <w:lang w:eastAsia="zh-CN"/>
                <w14:textFill>
                  <w14:solidFill>
                    <w14:schemeClr w14:val="tx1"/>
                  </w14:solidFill>
                </w14:textFill>
              </w:rPr>
              <w:t>不</w:t>
            </w:r>
            <w:r>
              <w:rPr>
                <w:rFonts w:hint="eastAsia" w:ascii="宋体" w:hAnsi="宋体" w:eastAsia="宋体" w:cs="宋体"/>
                <w:color w:val="000000" w:themeColor="text1"/>
                <w:sz w:val="21"/>
                <w:szCs w:val="21"/>
                <w14:textFill>
                  <w14:solidFill>
                    <w14:schemeClr w14:val="tx1"/>
                  </w14:solidFill>
                </w14:textFill>
              </w:rPr>
              <w:t>产生有害物气体，</w:t>
            </w:r>
            <w:r>
              <w:rPr>
                <w:rFonts w:hint="eastAsia" w:ascii="宋体" w:hAnsi="宋体" w:eastAsia="宋体" w:cs="宋体"/>
                <w:color w:val="000000" w:themeColor="text1"/>
                <w:sz w:val="21"/>
                <w:szCs w:val="21"/>
                <w:lang w:eastAsia="zh-CN"/>
                <w14:textFill>
                  <w14:solidFill>
                    <w14:schemeClr w14:val="tx1"/>
                  </w14:solidFill>
                </w14:textFill>
              </w:rPr>
              <w:t>本</w:t>
            </w:r>
            <w:r>
              <w:rPr>
                <w:rFonts w:hint="eastAsia" w:ascii="宋体" w:hAnsi="宋体" w:eastAsia="宋体" w:cs="宋体"/>
                <w:color w:val="000000" w:themeColor="text1"/>
                <w:sz w:val="21"/>
                <w:szCs w:val="21"/>
                <w14:textFill>
                  <w14:solidFill>
                    <w14:schemeClr w14:val="tx1"/>
                  </w14:solidFill>
                </w14:textFill>
              </w:rPr>
              <w:t>项目采取了除尘、降噪措施，配发了相应</w:t>
            </w:r>
            <w:r>
              <w:rPr>
                <w:rFonts w:hint="eastAsia" w:ascii="宋体" w:hAnsi="宋体" w:eastAsia="宋体" w:cs="宋体"/>
                <w:color w:val="000000" w:themeColor="text1"/>
                <w:sz w:val="21"/>
                <w:szCs w:val="21"/>
                <w:lang w:eastAsia="zh-CN"/>
                <w14:textFill>
                  <w14:solidFill>
                    <w14:schemeClr w14:val="tx1"/>
                  </w14:solidFill>
                </w14:textFill>
              </w:rPr>
              <w:t>的</w:t>
            </w:r>
            <w:r>
              <w:rPr>
                <w:rFonts w:hint="eastAsia" w:ascii="宋体" w:hAnsi="宋体" w:eastAsia="宋体" w:cs="宋体"/>
                <w:color w:val="000000" w:themeColor="text1"/>
                <w:sz w:val="21"/>
                <w:szCs w:val="21"/>
                <w14:textFill>
                  <w14:solidFill>
                    <w14:schemeClr w14:val="tx1"/>
                  </w14:solidFill>
                </w14:textFill>
              </w:rPr>
              <w:t>劳</w:t>
            </w:r>
            <w:r>
              <w:rPr>
                <w:rFonts w:hint="eastAsia" w:ascii="宋体" w:hAnsi="宋体" w:eastAsia="宋体" w:cs="宋体"/>
                <w:color w:val="000000" w:themeColor="text1"/>
                <w:sz w:val="21"/>
                <w:szCs w:val="21"/>
                <w:lang w:eastAsia="zh-CN"/>
                <w14:textFill>
                  <w14:solidFill>
                    <w14:schemeClr w14:val="tx1"/>
                  </w14:solidFill>
                </w14:textFill>
              </w:rPr>
              <w:t>动防护用</w:t>
            </w:r>
            <w:r>
              <w:rPr>
                <w:rFonts w:hint="eastAsia" w:ascii="宋体" w:hAnsi="宋体" w:eastAsia="宋体" w:cs="宋体"/>
                <w:color w:val="000000" w:themeColor="text1"/>
                <w:sz w:val="21"/>
                <w:szCs w:val="21"/>
                <w14:textFill>
                  <w14:solidFill>
                    <w14:schemeClr w14:val="tx1"/>
                  </w14:solidFill>
                </w14:textFill>
              </w:rPr>
              <w:t>品。</w:t>
            </w:r>
          </w:p>
        </w:tc>
        <w:tc>
          <w:tcPr>
            <w:tcW w:w="720" w:type="dxa"/>
            <w:vAlign w:val="center"/>
          </w:tcPr>
          <w:p w14:paraId="25040F88">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5E8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955C77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w:t>
            </w:r>
          </w:p>
        </w:tc>
        <w:tc>
          <w:tcPr>
            <w:tcW w:w="2520" w:type="dxa"/>
            <w:vAlign w:val="center"/>
          </w:tcPr>
          <w:p w14:paraId="11E805E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总平面布置，应合理地组织货流和人流，并应符合下列要求：1</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运输线路的布置，应保证物流顺畅、径路短捷、不折返；2</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应避免运输繁忙的铁路与道路平面交叉；3</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应使人、货分流，应避免运输繁忙的货流与人流交叉；4应避免进出厂的主要货流与企业外部交通干线的平面交叉。</w:t>
            </w:r>
          </w:p>
        </w:tc>
        <w:tc>
          <w:tcPr>
            <w:tcW w:w="2400" w:type="dxa"/>
            <w:vAlign w:val="center"/>
          </w:tcPr>
          <w:p w14:paraId="4B9FE924">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《工业企业总平面设计规范》（GB50187-2012）</w:t>
            </w:r>
          </w:p>
          <w:p w14:paraId="61E1720B">
            <w:pPr>
              <w:pStyle w:val="47"/>
              <w:keepNext w:val="0"/>
              <w:keepLines w:val="0"/>
              <w:pageBreakBefore w:val="0"/>
              <w:widowControl w:val="0"/>
              <w:kinsoku/>
              <w:wordWrap/>
              <w:overflowPunct/>
              <w:topLinePunct w:val="0"/>
              <w:bidi w:val="0"/>
              <w:adjustRightInd/>
              <w:snapToGrid w:val="0"/>
              <w:spacing w:line="240"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第5.1.8条</w:t>
            </w:r>
          </w:p>
        </w:tc>
        <w:tc>
          <w:tcPr>
            <w:tcW w:w="2145" w:type="dxa"/>
            <w:vAlign w:val="center"/>
          </w:tcPr>
          <w:p w14:paraId="3D738E3A">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厂区交通运输通畅。</w:t>
            </w:r>
          </w:p>
        </w:tc>
        <w:tc>
          <w:tcPr>
            <w:tcW w:w="720" w:type="dxa"/>
            <w:vAlign w:val="center"/>
          </w:tcPr>
          <w:p w14:paraId="7AD09DB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D9D2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8" w:hRule="atLeast"/>
          <w:jc w:val="center"/>
        </w:trPr>
        <w:tc>
          <w:tcPr>
            <w:tcW w:w="637" w:type="dxa"/>
            <w:vAlign w:val="center"/>
          </w:tcPr>
          <w:p w14:paraId="654F8BCB">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bookmarkStart w:id="612" w:name="_Toc309682498"/>
            <w:bookmarkStart w:id="613" w:name="_Toc202575710"/>
            <w:bookmarkStart w:id="614" w:name="_Toc278151422"/>
            <w:bookmarkStart w:id="615" w:name="_Toc327017835"/>
            <w:bookmarkStart w:id="616" w:name="_Toc201767300"/>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2520" w:type="dxa"/>
            <w:vAlign w:val="center"/>
          </w:tcPr>
          <w:p w14:paraId="22031232">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仓库与堆场，应根据贮存物料的性质、货流出入方向、供应对象、贮存面积、运输方式等因素，按不同类别相对集中布置，并为运输、装卸、管理创造有利条件，且应符合国家现行的防火、防爆、安全、卫生等工程设计标准的有关规定。</w:t>
            </w:r>
          </w:p>
        </w:tc>
        <w:tc>
          <w:tcPr>
            <w:tcW w:w="2400" w:type="dxa"/>
            <w:vAlign w:val="center"/>
          </w:tcPr>
          <w:p w14:paraId="26BBB023">
            <w:pPr>
              <w:keepNext w:val="0"/>
              <w:keepLines w:val="0"/>
              <w:pageBreakBefore w:val="0"/>
              <w:kinsoku/>
              <w:wordWrap/>
              <w:overflowPunct/>
              <w:topLinePunct w:val="0"/>
              <w:bidi w:val="0"/>
              <w:snapToGrid w:val="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w:t>
            </w:r>
            <w:r>
              <w:rPr>
                <w:rFonts w:hint="eastAsia" w:ascii="宋体" w:hAnsi="宋体" w:eastAsia="宋体" w:cs="宋体"/>
                <w:color w:val="000000" w:themeColor="text1"/>
                <w:sz w:val="21"/>
                <w:szCs w:val="21"/>
                <w:lang w:val="zh-CN"/>
                <w14:textFill>
                  <w14:solidFill>
                    <w14:schemeClr w14:val="tx1"/>
                  </w14:solidFill>
                </w14:textFill>
              </w:rPr>
              <w:t>GB50187-2012）第</w:t>
            </w:r>
            <w:r>
              <w:rPr>
                <w:rFonts w:hint="eastAsia" w:ascii="宋体" w:hAnsi="宋体" w:eastAsia="宋体" w:cs="宋体"/>
                <w:color w:val="000000" w:themeColor="text1"/>
                <w:sz w:val="21"/>
                <w:szCs w:val="21"/>
                <w14:textFill>
                  <w14:solidFill>
                    <w14:schemeClr w14:val="tx1"/>
                  </w14:solidFill>
                </w14:textFill>
              </w:rPr>
              <w:t>5</w:t>
            </w:r>
            <w:r>
              <w:rPr>
                <w:rFonts w:hint="eastAsia" w:ascii="宋体" w:hAnsi="宋体" w:eastAsia="宋体" w:cs="宋体"/>
                <w:color w:val="000000" w:themeColor="text1"/>
                <w:sz w:val="21"/>
                <w:szCs w:val="21"/>
                <w:lang w:val="zh-CN"/>
                <w14:textFill>
                  <w14:solidFill>
                    <w14:schemeClr w14:val="tx1"/>
                  </w14:solidFill>
                </w14:textFill>
              </w:rPr>
              <w:t>.6.1条</w:t>
            </w:r>
          </w:p>
        </w:tc>
        <w:tc>
          <w:tcPr>
            <w:tcW w:w="2145" w:type="dxa"/>
            <w:vAlign w:val="center"/>
          </w:tcPr>
          <w:p w14:paraId="62BE9316">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仓库</w:t>
            </w:r>
            <w:r>
              <w:rPr>
                <w:rFonts w:hint="eastAsia" w:ascii="宋体" w:hAnsi="宋体" w:eastAsia="宋体" w:cs="宋体"/>
                <w:color w:val="000000" w:themeColor="text1"/>
                <w:sz w:val="21"/>
                <w:szCs w:val="21"/>
                <w:lang w:val="en-US" w:eastAsia="zh-CN"/>
                <w14:textFill>
                  <w14:solidFill>
                    <w14:schemeClr w14:val="tx1"/>
                  </w14:solidFill>
                </w14:textFill>
              </w:rPr>
              <w:t>原料分区存放</w:t>
            </w:r>
            <w:r>
              <w:rPr>
                <w:rFonts w:hint="eastAsia" w:ascii="宋体" w:hAnsi="宋体" w:eastAsia="宋体" w:cs="宋体"/>
                <w:color w:val="000000" w:themeColor="text1"/>
                <w:sz w:val="21"/>
                <w:szCs w:val="21"/>
                <w:lang w:val="zh-CN"/>
                <w14:textFill>
                  <w14:solidFill>
                    <w14:schemeClr w14:val="tx1"/>
                  </w14:solidFill>
                </w14:textFill>
              </w:rPr>
              <w:t>。</w:t>
            </w:r>
          </w:p>
        </w:tc>
        <w:tc>
          <w:tcPr>
            <w:tcW w:w="720" w:type="dxa"/>
            <w:vAlign w:val="center"/>
          </w:tcPr>
          <w:p w14:paraId="365B2695">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6416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5DF95BA">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11</w:t>
            </w:r>
          </w:p>
        </w:tc>
        <w:tc>
          <w:tcPr>
            <w:tcW w:w="2520" w:type="dxa"/>
            <w:shd w:val="clear" w:color="auto" w:fill="auto"/>
            <w:vAlign w:val="center"/>
          </w:tcPr>
          <w:p w14:paraId="7049D90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zh-CN" w:eastAsia="zh-CN"/>
                <w14:textFill>
                  <w14:solidFill>
                    <w14:schemeClr w14:val="tx1"/>
                  </w14:solidFill>
                </w14:textFill>
              </w:rPr>
              <w:t>总平面布置，应合理地组织货流和人流，并应符合下列要求：（1）运输线路的布置，应保证物流顺畅、路径短捷、不折返；（2）应避免运输繁忙的铁路与道路平面交叉；（3）应使人、货分流，应避免运输繁忙的货流与人流交叉；（4）应避免进出厂的主要货流与企业外部交通干线的平面交叉。</w:t>
            </w:r>
          </w:p>
        </w:tc>
        <w:tc>
          <w:tcPr>
            <w:tcW w:w="2400" w:type="dxa"/>
            <w:shd w:val="clear" w:color="auto" w:fill="auto"/>
            <w:vAlign w:val="center"/>
          </w:tcPr>
          <w:p w14:paraId="0411EF9E">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zh-CN" w:eastAsia="zh-CN"/>
                <w14:textFill>
                  <w14:solidFill>
                    <w14:schemeClr w14:val="tx1"/>
                  </w14:solidFill>
                </w14:textFill>
              </w:rPr>
              <w:t>《工业企业总平面设计规范》 (GB50187-2012)</w:t>
            </w:r>
          </w:p>
          <w:p w14:paraId="252C19CB">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第5.1.10</w:t>
            </w:r>
          </w:p>
        </w:tc>
        <w:tc>
          <w:tcPr>
            <w:tcW w:w="2145" w:type="dxa"/>
            <w:shd w:val="clear" w:color="auto" w:fill="auto"/>
            <w:vAlign w:val="center"/>
          </w:tcPr>
          <w:p w14:paraId="1E5CB3F4">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zh-CN" w:eastAsia="zh-CN"/>
                <w14:textFill>
                  <w14:solidFill>
                    <w14:schemeClr w14:val="tx1"/>
                  </w14:solidFill>
                </w14:textFill>
              </w:rPr>
              <w:t>厂区合理组织货流和人流。</w:t>
            </w:r>
          </w:p>
        </w:tc>
        <w:tc>
          <w:tcPr>
            <w:tcW w:w="720" w:type="dxa"/>
            <w:shd w:val="clear" w:color="auto" w:fill="auto"/>
            <w:vAlign w:val="center"/>
          </w:tcPr>
          <w:p w14:paraId="76FBB7FD">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w:t>
            </w:r>
          </w:p>
        </w:tc>
      </w:tr>
      <w:tr w14:paraId="78C45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65F7512">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12</w:t>
            </w:r>
          </w:p>
        </w:tc>
        <w:tc>
          <w:tcPr>
            <w:tcW w:w="2520" w:type="dxa"/>
            <w:shd w:val="clear" w:color="auto" w:fill="auto"/>
            <w:vAlign w:val="center"/>
          </w:tcPr>
          <w:p w14:paraId="00563345">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存在或可能产生职业病危害的生产车间、设备应按照GBZ158设置职业病危害警示标识。</w:t>
            </w:r>
          </w:p>
        </w:tc>
        <w:tc>
          <w:tcPr>
            <w:tcW w:w="2400" w:type="dxa"/>
            <w:shd w:val="clear" w:color="auto" w:fill="auto"/>
            <w:vAlign w:val="center"/>
          </w:tcPr>
          <w:p w14:paraId="151F16CE">
            <w:pPr>
              <w:keepNext w:val="0"/>
              <w:keepLines w:val="0"/>
              <w:pageBreakBefore w:val="0"/>
              <w:kinsoku/>
              <w:wordWrap/>
              <w:overflowPunct/>
              <w:topLinePunct w:val="0"/>
              <w:bidi w:val="0"/>
              <w:snapToGrid w:val="0"/>
              <w:jc w:val="left"/>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《工业企业设计卫生标准》(GBZ1-2010) 第5.2.1.6</w:t>
            </w:r>
          </w:p>
        </w:tc>
        <w:tc>
          <w:tcPr>
            <w:tcW w:w="2145" w:type="dxa"/>
            <w:shd w:val="clear" w:color="auto" w:fill="auto"/>
            <w:vAlign w:val="center"/>
          </w:tcPr>
          <w:p w14:paraId="605BA03C">
            <w:pPr>
              <w:keepNext w:val="0"/>
              <w:keepLines w:val="0"/>
              <w:pageBreakBefore w:val="0"/>
              <w:kinsoku/>
              <w:wordWrap/>
              <w:overflowPunct/>
              <w:topLinePunct w:val="0"/>
              <w:bidi w:val="0"/>
              <w:snapToGrid w:val="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设置有相应安全警示标志和职业卫生告知牌。</w:t>
            </w:r>
          </w:p>
        </w:tc>
        <w:tc>
          <w:tcPr>
            <w:tcW w:w="720" w:type="dxa"/>
            <w:vAlign w:val="center"/>
          </w:tcPr>
          <w:p w14:paraId="06942E5F">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w:t>
            </w:r>
          </w:p>
        </w:tc>
      </w:tr>
      <w:tr w14:paraId="7D4A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2778CF79">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2520" w:type="dxa"/>
            <w:vAlign w:val="center"/>
          </w:tcPr>
          <w:p w14:paraId="78E24F1D">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员工宿舍严禁设置在厂房内。</w:t>
            </w:r>
          </w:p>
        </w:tc>
        <w:tc>
          <w:tcPr>
            <w:tcW w:w="2400" w:type="dxa"/>
            <w:vAlign w:val="center"/>
          </w:tcPr>
          <w:p w14:paraId="48BC4289">
            <w:pPr>
              <w:keepNext w:val="0"/>
              <w:keepLines w:val="0"/>
              <w:pageBreakBefore w:val="0"/>
              <w:tabs>
                <w:tab w:val="left" w:pos="2898"/>
              </w:tabs>
              <w:kinsoku/>
              <w:wordWrap/>
              <w:overflowPunct/>
              <w:topLinePunct w:val="0"/>
              <w:bidi w:val="0"/>
              <w:snapToGrid w:val="0"/>
              <w:jc w:val="both"/>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《建筑设计防火规范〔2018版〕》（GB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lang w:val="zh-CN"/>
                <w14:textFill>
                  <w14:solidFill>
                    <w14:schemeClr w14:val="tx1"/>
                  </w14:solidFill>
                </w14:textFill>
              </w:rPr>
              <w:t>50016</w:t>
            </w:r>
          </w:p>
          <w:p w14:paraId="2AA23604">
            <w:pPr>
              <w:keepNext w:val="0"/>
              <w:keepLines w:val="0"/>
              <w:pageBreakBefore w:val="0"/>
              <w:tabs>
                <w:tab w:val="left" w:pos="2898"/>
              </w:tabs>
              <w:kinsoku/>
              <w:wordWrap/>
              <w:overflowPunct/>
              <w:topLinePunct w:val="0"/>
              <w:bidi w:val="0"/>
              <w:snapToGrid w:val="0"/>
              <w:jc w:val="both"/>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-2014）第3.3.5条</w:t>
            </w:r>
          </w:p>
        </w:tc>
        <w:tc>
          <w:tcPr>
            <w:tcW w:w="2145" w:type="dxa"/>
            <w:vAlign w:val="center"/>
          </w:tcPr>
          <w:p w14:paraId="6009E38A">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项目厂房内未设置员工宿舍。</w:t>
            </w:r>
          </w:p>
        </w:tc>
        <w:tc>
          <w:tcPr>
            <w:tcW w:w="720" w:type="dxa"/>
            <w:vAlign w:val="center"/>
          </w:tcPr>
          <w:p w14:paraId="3BA5B5DE">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tr w14:paraId="549FB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353C139">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14</w:t>
            </w:r>
          </w:p>
        </w:tc>
        <w:tc>
          <w:tcPr>
            <w:tcW w:w="2520" w:type="dxa"/>
            <w:shd w:val="clear" w:color="auto" w:fill="auto"/>
            <w:vAlign w:val="center"/>
          </w:tcPr>
          <w:p w14:paraId="584389AD">
            <w:pPr>
              <w:pStyle w:val="48"/>
              <w:overflowPunct w:val="0"/>
              <w:snapToGrid w:val="0"/>
              <w:jc w:val="both"/>
              <w:rPr>
                <w:rFonts w:hint="eastAsia" w:ascii="宋体" w:hAnsi="宋体" w:eastAsia="宋体" w:cs="宋体"/>
                <w:color w:val="000000" w:themeColor="text1"/>
                <w:sz w:val="21"/>
                <w:szCs w:val="21"/>
                <w:lang w:val="zh-CN"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员工宿舍严禁设置在仓库内。</w:t>
            </w:r>
          </w:p>
        </w:tc>
        <w:tc>
          <w:tcPr>
            <w:tcW w:w="2400" w:type="dxa"/>
            <w:shd w:val="clear" w:color="auto" w:fill="auto"/>
            <w:vAlign w:val="center"/>
          </w:tcPr>
          <w:p w14:paraId="63512C81">
            <w:pPr>
              <w:pStyle w:val="48"/>
              <w:overflowPunct w:val="0"/>
              <w:snapToGrid w:val="0"/>
              <w:jc w:val="center"/>
              <w:rPr>
                <w:rFonts w:hint="eastAsia" w:ascii="宋体" w:hAnsi="宋体" w:eastAsia="宋体" w:cs="宋体"/>
                <w:color w:val="000000" w:themeColor="text1"/>
                <w:sz w:val="21"/>
                <w:szCs w:val="21"/>
                <w:lang w:val="zh-CN"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《建筑设计防火规范》（GB50016-2014，2018版）第3.3.9条</w:t>
            </w:r>
          </w:p>
        </w:tc>
        <w:tc>
          <w:tcPr>
            <w:tcW w:w="2145" w:type="dxa"/>
            <w:shd w:val="clear" w:color="auto" w:fill="auto"/>
            <w:vAlign w:val="center"/>
          </w:tcPr>
          <w:p w14:paraId="674BB93C">
            <w:pPr>
              <w:pStyle w:val="48"/>
              <w:overflowPunct w:val="0"/>
              <w:snapToGrid w:val="0"/>
              <w:jc w:val="both"/>
              <w:rPr>
                <w:rFonts w:hint="eastAsia" w:ascii="宋体" w:hAnsi="宋体" w:eastAsia="宋体" w:cs="宋体"/>
                <w:bCs/>
                <w:color w:val="000000" w:themeColor="text1"/>
                <w:sz w:val="21"/>
                <w:szCs w:val="21"/>
                <w:lang w:val="zh-CN" w:eastAsia="zh-CN" w:bidi="ar-SA"/>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仓库内未设置宿舍、办公室、休息室等。</w:t>
            </w:r>
          </w:p>
        </w:tc>
        <w:tc>
          <w:tcPr>
            <w:tcW w:w="720" w:type="dxa"/>
            <w:shd w:val="clear" w:color="auto" w:fill="auto"/>
            <w:vAlign w:val="center"/>
          </w:tcPr>
          <w:p w14:paraId="281ECB39">
            <w:pPr>
              <w:overflowPunct w:val="0"/>
              <w:adjustRightInd w:val="0"/>
              <w:snapToGrid w:val="0"/>
              <w:spacing w:line="300" w:lineRule="exact"/>
              <w:jc w:val="center"/>
              <w:rPr>
                <w:rFonts w:hint="eastAsia" w:ascii="宋体" w:hAnsi="宋体" w:eastAsia="宋体" w:cs="宋体"/>
                <w:bCs/>
                <w:color w:val="000000" w:themeColor="text1"/>
                <w:sz w:val="21"/>
                <w:szCs w:val="21"/>
                <w:lang w:val="zh-CN" w:eastAsia="zh-CN" w:bidi="ar-SA"/>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符合</w:t>
            </w:r>
          </w:p>
        </w:tc>
      </w:tr>
      <w:tr w14:paraId="2BD6F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2AF032F">
            <w:pPr>
              <w:keepNext w:val="0"/>
              <w:keepLines w:val="0"/>
              <w:pageBreakBefore w:val="0"/>
              <w:kinsoku/>
              <w:wordWrap/>
              <w:overflowPunct/>
              <w:topLinePunct w:val="0"/>
              <w:bidi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15</w:t>
            </w:r>
          </w:p>
        </w:tc>
        <w:tc>
          <w:tcPr>
            <w:tcW w:w="2520" w:type="dxa"/>
            <w:shd w:val="clear" w:color="auto" w:fill="auto"/>
            <w:vAlign w:val="center"/>
          </w:tcPr>
          <w:p w14:paraId="608717CF">
            <w:pPr>
              <w:widowControl/>
              <w:rPr>
                <w:rFonts w:hint="eastAsia" w:ascii="宋体" w:hAnsi="Times New Roman" w:eastAsia="宋体" w:cs="Times New Roman"/>
                <w:sz w:val="21"/>
                <w:szCs w:val="21"/>
                <w:lang w:val="en-US" w:eastAsia="zh-CN" w:bidi="ar-SA"/>
              </w:rPr>
            </w:pPr>
            <w:r>
              <w:rPr>
                <w:rFonts w:hint="eastAsia" w:hAnsi="宋体" w:cs="宋体"/>
                <w:color w:val="000000"/>
                <w:sz w:val="21"/>
                <w:szCs w:val="21"/>
                <w:lang w:bidi="ar"/>
              </w:rPr>
              <w:t>各类建筑与市政工程的抗震设防烈度不应低于本地区的抗震设防烈度。</w:t>
            </w:r>
          </w:p>
        </w:tc>
        <w:tc>
          <w:tcPr>
            <w:tcW w:w="2400" w:type="dxa"/>
            <w:shd w:val="clear" w:color="auto" w:fill="auto"/>
            <w:vAlign w:val="center"/>
          </w:tcPr>
          <w:p w14:paraId="23BFF936">
            <w:pPr>
              <w:widowControl/>
              <w:jc w:val="left"/>
              <w:rPr>
                <w:rFonts w:hint="eastAsia" w:ascii="宋体" w:hAnsi="Times New Roman" w:eastAsia="宋体" w:cs="Times New Roman"/>
                <w:sz w:val="21"/>
                <w:szCs w:val="21"/>
                <w:lang w:val="en-US" w:eastAsia="zh-CN" w:bidi="ar-SA"/>
              </w:rPr>
            </w:pPr>
            <w:r>
              <w:rPr>
                <w:rFonts w:hint="eastAsia" w:hAnsi="宋体" w:cs="宋体"/>
                <w:color w:val="000000"/>
                <w:sz w:val="21"/>
                <w:szCs w:val="21"/>
                <w:lang w:bidi="ar"/>
              </w:rPr>
              <w:t>《建筑与市政工程抗震通用规范》（GB55002-2021）第2.2.1条</w:t>
            </w:r>
          </w:p>
        </w:tc>
        <w:tc>
          <w:tcPr>
            <w:tcW w:w="2145" w:type="dxa"/>
            <w:shd w:val="clear" w:color="auto" w:fill="auto"/>
            <w:vAlign w:val="center"/>
          </w:tcPr>
          <w:p w14:paraId="53167496">
            <w:pPr>
              <w:widowControl/>
              <w:rPr>
                <w:rFonts w:hint="eastAsia" w:ascii="宋体" w:hAnsi="Times New Roman" w:eastAsia="宋体" w:cs="Times New Roman"/>
                <w:sz w:val="21"/>
                <w:szCs w:val="21"/>
                <w:lang w:val="en-US" w:eastAsia="zh-CN" w:bidi="ar-SA"/>
              </w:rPr>
            </w:pPr>
            <w:r>
              <w:rPr>
                <w:rFonts w:hint="eastAsia" w:hAnsi="宋体" w:cs="宋体"/>
                <w:color w:val="000000"/>
                <w:sz w:val="21"/>
                <w:szCs w:val="21"/>
                <w:lang w:bidi="ar"/>
              </w:rPr>
              <w:t>本项目所在地为玉溪市红塔区，抗震设防烈度为8度，所属设计地震分组为第二组。</w:t>
            </w:r>
          </w:p>
        </w:tc>
        <w:tc>
          <w:tcPr>
            <w:tcW w:w="720" w:type="dxa"/>
            <w:shd w:val="clear" w:color="auto" w:fill="auto"/>
            <w:vAlign w:val="center"/>
          </w:tcPr>
          <w:p w14:paraId="3A9B1066">
            <w:pPr>
              <w:jc w:val="center"/>
              <w:rPr>
                <w:rFonts w:hint="eastAsia" w:ascii="宋体" w:hAnsi="Times New Roman" w:eastAsia="宋体" w:cs="Times New Roman"/>
                <w:sz w:val="21"/>
                <w:szCs w:val="21"/>
                <w:lang w:val="en-US" w:eastAsia="zh-CN" w:bidi="ar-SA"/>
              </w:rPr>
            </w:pPr>
            <w:r>
              <w:rPr>
                <w:rFonts w:hint="eastAsia" w:hAnsi="宋体" w:cs="宋体"/>
                <w:color w:val="000000"/>
                <w:sz w:val="21"/>
                <w:szCs w:val="21"/>
                <w:lang w:bidi="ar"/>
              </w:rPr>
              <w:t>符合</w:t>
            </w:r>
          </w:p>
        </w:tc>
      </w:tr>
      <w:tr w14:paraId="4CFC8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6141EAD6">
            <w:pPr>
              <w:keepNext w:val="0"/>
              <w:keepLines w:val="0"/>
              <w:pageBreakBefore w:val="0"/>
              <w:kinsoku/>
              <w:wordWrap/>
              <w:overflowPunct/>
              <w:topLinePunct w:val="0"/>
              <w:bidi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16</w:t>
            </w:r>
          </w:p>
        </w:tc>
        <w:tc>
          <w:tcPr>
            <w:tcW w:w="2520" w:type="dxa"/>
            <w:shd w:val="clear" w:color="auto" w:fill="auto"/>
            <w:vAlign w:val="center"/>
          </w:tcPr>
          <w:p w14:paraId="774C858F">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建筑的疏散出口数量、位置和宽度，疏散楼梯（间）的形式和宽度，避难设施的位置和面积等，应与建筑的使用功能、火灾危险性、耐火等级、建筑高度或层数、埋深、建筑面积、人员密度、人员特性等相适应。</w:t>
            </w:r>
          </w:p>
        </w:tc>
        <w:tc>
          <w:tcPr>
            <w:tcW w:w="2400" w:type="dxa"/>
            <w:shd w:val="clear" w:color="auto" w:fill="auto"/>
            <w:vAlign w:val="center"/>
          </w:tcPr>
          <w:p w14:paraId="13DE266B">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《建筑防火通用规范》（GB55037-2022）第7.1.1条</w:t>
            </w:r>
          </w:p>
        </w:tc>
        <w:tc>
          <w:tcPr>
            <w:tcW w:w="2145" w:type="dxa"/>
            <w:shd w:val="clear" w:color="auto" w:fill="auto"/>
            <w:vAlign w:val="center"/>
          </w:tcPr>
          <w:p w14:paraId="58706C74">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本项目生产厂房的疏散出口数量、位置和宽度，与建筑的使用功能、火灾危险性、耐火等级、建筑高度或层数、埋深、建筑面积、人员密度、人员特性等相适应。</w:t>
            </w:r>
          </w:p>
        </w:tc>
        <w:tc>
          <w:tcPr>
            <w:tcW w:w="720" w:type="dxa"/>
            <w:shd w:val="clear" w:color="auto" w:fill="auto"/>
            <w:vAlign w:val="center"/>
          </w:tcPr>
          <w:p w14:paraId="50972A29">
            <w:pPr>
              <w:jc w:val="center"/>
              <w:rPr>
                <w:rFonts w:hint="eastAsia" w:hAnsi="宋体" w:cs="宋体"/>
                <w:color w:val="000000"/>
                <w:sz w:val="21"/>
                <w:szCs w:val="21"/>
                <w:lang w:bidi="ar"/>
              </w:rPr>
            </w:pPr>
          </w:p>
        </w:tc>
      </w:tr>
      <w:tr w14:paraId="3CFE9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F782940">
            <w:pPr>
              <w:keepNext w:val="0"/>
              <w:keepLines w:val="0"/>
              <w:pageBreakBefore w:val="0"/>
              <w:kinsoku/>
              <w:wordWrap/>
              <w:overflowPunct/>
              <w:topLinePunct w:val="0"/>
              <w:bidi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17</w:t>
            </w:r>
          </w:p>
        </w:tc>
        <w:tc>
          <w:tcPr>
            <w:tcW w:w="2520" w:type="dxa"/>
            <w:shd w:val="clear" w:color="auto" w:fill="auto"/>
            <w:vAlign w:val="center"/>
          </w:tcPr>
          <w:p w14:paraId="2D44E741">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建筑中的疏散出口应分散布置，房间疏散门应直接通向安全出口，不应经过其他房间。疏散出口的宽度和数量应满足人员安全疏散的要求。各层疏散楼梯的净宽度应符合下列规定：1对于建筑的地上楼层，各层疏散楼梯的净宽度均不应小于其上部各层中要求疏散净宽度的最大值；2对于建筑的地下楼层或地下建筑、平时使用的人民防空工程，各层疏散楼梯的净宽度均不应小于其下部各层中要求疏散净宽度的最大值。</w:t>
            </w:r>
          </w:p>
        </w:tc>
        <w:tc>
          <w:tcPr>
            <w:tcW w:w="2400" w:type="dxa"/>
            <w:shd w:val="clear" w:color="auto" w:fill="auto"/>
            <w:vAlign w:val="center"/>
          </w:tcPr>
          <w:p w14:paraId="65F53EC8">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《建筑防火通用规范》（GB55037-2022）第7.1.2条</w:t>
            </w:r>
          </w:p>
        </w:tc>
        <w:tc>
          <w:tcPr>
            <w:tcW w:w="2145" w:type="dxa"/>
            <w:shd w:val="clear" w:color="auto" w:fill="auto"/>
            <w:vAlign w:val="center"/>
          </w:tcPr>
          <w:p w14:paraId="5B04E051">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主要生产厂房的疏散出口分散布置，房间疏散门直接通向安全出口，未经过其他房间。</w:t>
            </w:r>
          </w:p>
        </w:tc>
        <w:tc>
          <w:tcPr>
            <w:tcW w:w="720" w:type="dxa"/>
            <w:shd w:val="clear" w:color="auto" w:fill="auto"/>
            <w:vAlign w:val="center"/>
          </w:tcPr>
          <w:p w14:paraId="7657B732">
            <w:pPr>
              <w:jc w:val="center"/>
              <w:rPr>
                <w:rFonts w:hint="eastAsia" w:ascii="宋体" w:hAnsi="Times New Roman" w:eastAsia="宋体" w:cs="Times New Roman"/>
                <w:sz w:val="21"/>
                <w:szCs w:val="21"/>
                <w:lang w:val="en-US" w:eastAsia="zh-CN" w:bidi="ar-SA"/>
              </w:rPr>
            </w:pPr>
            <w:r>
              <w:rPr>
                <w:rFonts w:hint="eastAsia" w:hAnsi="宋体" w:cs="宋体"/>
                <w:color w:val="000000"/>
                <w:sz w:val="21"/>
                <w:szCs w:val="21"/>
                <w:lang w:bidi="ar"/>
              </w:rPr>
              <w:t>符合</w:t>
            </w:r>
          </w:p>
        </w:tc>
      </w:tr>
      <w:tr w14:paraId="3CB70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2" w:type="dxa"/>
            <w:gridSpan w:val="5"/>
            <w:vAlign w:val="center"/>
          </w:tcPr>
          <w:p w14:paraId="253BC9A6">
            <w:pPr>
              <w:keepNext w:val="0"/>
              <w:keepLines w:val="0"/>
              <w:pageBreakBefore w:val="0"/>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厂区道路检查</w:t>
            </w:r>
          </w:p>
        </w:tc>
      </w:tr>
      <w:tr w14:paraId="08A0C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1C66F801">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520" w:type="dxa"/>
          </w:tcPr>
          <w:p w14:paraId="1FD78864">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满足生产要求，物流顺畅，线路短捷，人流、物流组织合理。</w:t>
            </w:r>
          </w:p>
        </w:tc>
        <w:tc>
          <w:tcPr>
            <w:tcW w:w="2400" w:type="dxa"/>
            <w:vAlign w:val="center"/>
          </w:tcPr>
          <w:p w14:paraId="52114CD8">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《工业企业总平面设计规范》</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lang w:val="zh-CN"/>
                <w14:textFill>
                  <w14:solidFill>
                    <w14:schemeClr w14:val="tx1"/>
                  </w14:solidFill>
                </w14:textFill>
              </w:rPr>
              <w:t>GB50187-2012）第</w:t>
            </w:r>
            <w:r>
              <w:rPr>
                <w:rFonts w:hint="eastAsia" w:ascii="宋体" w:hAnsi="宋体" w:eastAsia="宋体" w:cs="宋体"/>
                <w:color w:val="000000" w:themeColor="text1"/>
                <w:sz w:val="21"/>
                <w:szCs w:val="21"/>
                <w14:textFill>
                  <w14:solidFill>
                    <w14:schemeClr w14:val="tx1"/>
                  </w14:solidFill>
                </w14:textFill>
              </w:rPr>
              <w:t>5.1.1</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4E971F9D">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物流顺畅，线路短捷。</w:t>
            </w:r>
          </w:p>
        </w:tc>
        <w:tc>
          <w:tcPr>
            <w:tcW w:w="720" w:type="dxa"/>
            <w:vAlign w:val="center"/>
          </w:tcPr>
          <w:p w14:paraId="0E1C62C3">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tr w14:paraId="2E21A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74A246FC">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520" w:type="dxa"/>
          </w:tcPr>
          <w:p w14:paraId="0C017B31">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主要道路应环形布置。尽头端式道路应有足够的消防回转场地。</w:t>
            </w:r>
          </w:p>
        </w:tc>
        <w:tc>
          <w:tcPr>
            <w:tcW w:w="2400" w:type="dxa"/>
            <w:vAlign w:val="center"/>
          </w:tcPr>
          <w:p w14:paraId="5FEA097E">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《工业企业总平面设计规范》</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z w:val="21"/>
                <w:szCs w:val="21"/>
                <w:lang w:val="zh-CN"/>
                <w14:textFill>
                  <w14:solidFill>
                    <w14:schemeClr w14:val="tx1"/>
                  </w14:solidFill>
                </w14:textFill>
              </w:rPr>
              <w:t>GB50187-2012）第</w:t>
            </w:r>
            <w:r>
              <w:rPr>
                <w:rFonts w:hint="eastAsia" w:ascii="宋体" w:hAnsi="宋体" w:eastAsia="宋体" w:cs="宋体"/>
                <w:color w:val="000000" w:themeColor="text1"/>
                <w:sz w:val="21"/>
                <w:szCs w:val="21"/>
                <w14:textFill>
                  <w14:solidFill>
                    <w14:schemeClr w14:val="tx1"/>
                  </w14:solidFill>
                </w14:textFill>
              </w:rPr>
              <w:t>5.3.3</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1DA331AD">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厂区道路布置</w:t>
            </w:r>
            <w:r>
              <w:rPr>
                <w:rFonts w:hint="eastAsia" w:ascii="宋体" w:hAnsi="宋体" w:eastAsia="宋体" w:cs="宋体"/>
                <w:color w:val="000000" w:themeColor="text1"/>
                <w:sz w:val="21"/>
                <w:szCs w:val="21"/>
                <w:lang w:eastAsia="zh-CN"/>
                <w14:textFill>
                  <w14:solidFill>
                    <w14:schemeClr w14:val="tx1"/>
                  </w14:solidFill>
                </w14:textFill>
              </w:rPr>
              <w:t>合理</w:t>
            </w:r>
          </w:p>
        </w:tc>
        <w:tc>
          <w:tcPr>
            <w:tcW w:w="720" w:type="dxa"/>
            <w:vAlign w:val="center"/>
          </w:tcPr>
          <w:p w14:paraId="4215AD12">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8B6C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7" w:type="dxa"/>
            <w:vAlign w:val="center"/>
          </w:tcPr>
          <w:p w14:paraId="3B52428B">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520" w:type="dxa"/>
            <w:vAlign w:val="center"/>
          </w:tcPr>
          <w:p w14:paraId="2837919F">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路面平整、路基稳固、边坡整齐、排水良好。</w:t>
            </w:r>
          </w:p>
        </w:tc>
        <w:tc>
          <w:tcPr>
            <w:tcW w:w="2400" w:type="dxa"/>
            <w:vAlign w:val="center"/>
          </w:tcPr>
          <w:p w14:paraId="159578F4">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《工业企业厂内铁路、道路运输安全规程》（GB4387-2008）第</w:t>
            </w:r>
            <w:r>
              <w:rPr>
                <w:rFonts w:hint="eastAsia" w:ascii="宋体" w:hAnsi="宋体" w:eastAsia="宋体" w:cs="宋体"/>
                <w:color w:val="000000" w:themeColor="text1"/>
                <w:sz w:val="21"/>
                <w:szCs w:val="21"/>
                <w14:textFill>
                  <w14:solidFill>
                    <w14:schemeClr w14:val="tx1"/>
                  </w14:solidFill>
                </w14:textFill>
              </w:rPr>
              <w:t>5.1.1</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2145" w:type="dxa"/>
            <w:vAlign w:val="center"/>
          </w:tcPr>
          <w:p w14:paraId="220BA753">
            <w:pPr>
              <w:keepNext w:val="0"/>
              <w:keepLines w:val="0"/>
              <w:pageBreakBefore w:val="0"/>
              <w:tabs>
                <w:tab w:val="left" w:pos="2898"/>
              </w:tabs>
              <w:kinsoku/>
              <w:wordWrap/>
              <w:overflowPunct/>
              <w:topLinePunct w:val="0"/>
              <w:bidi w:val="0"/>
              <w:snapToGrid w:val="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主要道路已硬化，</w:t>
            </w:r>
            <w:r>
              <w:rPr>
                <w:rFonts w:hint="eastAsia" w:ascii="宋体" w:hAnsi="宋体" w:eastAsia="宋体" w:cs="宋体"/>
                <w:color w:val="000000" w:themeColor="text1"/>
                <w:sz w:val="21"/>
                <w:szCs w:val="21"/>
                <w:lang w:val="en-US" w:eastAsia="zh-CN"/>
                <w14:textFill>
                  <w14:solidFill>
                    <w14:schemeClr w14:val="tx1"/>
                  </w14:solidFill>
                </w14:textFill>
              </w:rPr>
              <w:t>为水泥道路，排水畅通</w:t>
            </w:r>
          </w:p>
        </w:tc>
        <w:tc>
          <w:tcPr>
            <w:tcW w:w="720" w:type="dxa"/>
            <w:vAlign w:val="center"/>
          </w:tcPr>
          <w:p w14:paraId="2737B88E">
            <w:pPr>
              <w:keepNext w:val="0"/>
              <w:keepLines w:val="0"/>
              <w:pageBreakBefore w:val="0"/>
              <w:tabs>
                <w:tab w:val="left" w:pos="2898"/>
              </w:tabs>
              <w:kinsoku/>
              <w:wordWrap/>
              <w:overflowPunct/>
              <w:topLinePunct w:val="0"/>
              <w:bidi w:val="0"/>
              <w:snapToGrid w:val="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符合</w:t>
            </w:r>
          </w:p>
        </w:tc>
      </w:tr>
      <w:bookmarkEnd w:id="612"/>
      <w:bookmarkEnd w:id="613"/>
      <w:bookmarkEnd w:id="614"/>
      <w:bookmarkEnd w:id="615"/>
      <w:bookmarkEnd w:id="616"/>
    </w:tbl>
    <w:p w14:paraId="07F29BE2">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617" w:name="_Toc309682499"/>
      <w:bookmarkStart w:id="618" w:name="_Toc5096"/>
      <w:bookmarkStart w:id="619" w:name="_Toc335926269"/>
      <w:bookmarkStart w:id="620" w:name="_Toc26445"/>
      <w:bookmarkStart w:id="621" w:name="_Toc278151423"/>
      <w:bookmarkStart w:id="622" w:name="_Toc327017836"/>
      <w:bookmarkStart w:id="623" w:name="_Toc201767301"/>
      <w:bookmarkStart w:id="624" w:name="_Toc2937"/>
      <w:bookmarkStart w:id="625" w:name="_Toc5142"/>
      <w:bookmarkStart w:id="626" w:name="_Toc202575711"/>
      <w:bookmarkStart w:id="627" w:name="_Toc2290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5.1.2 评价小结</w:t>
      </w:r>
      <w:bookmarkEnd w:id="617"/>
      <w:bookmarkEnd w:id="618"/>
      <w:bookmarkEnd w:id="619"/>
      <w:bookmarkEnd w:id="620"/>
      <w:bookmarkEnd w:id="621"/>
      <w:bookmarkEnd w:id="622"/>
      <w:bookmarkEnd w:id="623"/>
      <w:bookmarkEnd w:id="624"/>
      <w:bookmarkEnd w:id="625"/>
      <w:bookmarkEnd w:id="626"/>
      <w:bookmarkEnd w:id="627"/>
    </w:p>
    <w:p w14:paraId="7C26AA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本章采用安全检查表法，对本项目的厂址、总平面布置、</w:t>
      </w:r>
      <w:r>
        <w:rPr>
          <w:rFonts w:hint="eastAsia" w:ascii="宋体" w:hAnsi="宋体" w:eastAsia="宋体" w:cs="宋体"/>
          <w:color w:val="000000" w:themeColor="text1"/>
          <w:sz w:val="28"/>
          <w:szCs w:val="28"/>
          <w:lang w:val="en-US" w:eastAsia="zh-CN"/>
          <w14:textFill>
            <w14:solidFill>
              <w14:schemeClr w14:val="tx1"/>
            </w14:solidFill>
          </w14:textFill>
        </w:rPr>
        <w:t>厂区道路</w:t>
      </w:r>
      <w:r>
        <w:rPr>
          <w:rFonts w:hint="eastAsia" w:ascii="宋体" w:hAnsi="宋体" w:eastAsia="宋体" w:cs="宋体"/>
          <w:color w:val="000000" w:themeColor="text1"/>
          <w:sz w:val="28"/>
          <w:szCs w:val="28"/>
          <w14:textFill>
            <w14:solidFill>
              <w14:schemeClr w14:val="tx1"/>
            </w14:solidFill>
          </w14:textFill>
        </w:rPr>
        <w:t>进行了检查，总平面布置各功能区</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分布合理，布局连续紧凑，分区明确，生产环境良好，便于管理，能够满足目前安全生产的要求。</w:t>
      </w:r>
    </w:p>
    <w:p w14:paraId="3604FEE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项目平面布置</w:t>
      </w:r>
      <w:r>
        <w:rPr>
          <w:rFonts w:hint="eastAsia" w:ascii="宋体" w:hAnsi="宋体" w:eastAsia="宋体" w:cs="宋体"/>
          <w:color w:val="000000" w:themeColor="text1"/>
          <w:sz w:val="28"/>
          <w:szCs w:val="28"/>
          <w:lang w:val="en-US" w:eastAsia="zh-CN"/>
          <w14:textFill>
            <w14:solidFill>
              <w14:schemeClr w14:val="tx1"/>
            </w14:solidFill>
          </w14:textFill>
        </w:rPr>
        <w:t>符合</w:t>
      </w:r>
      <w:r>
        <w:rPr>
          <w:rFonts w:hint="eastAsia" w:ascii="宋体" w:hAnsi="宋体" w:eastAsia="宋体" w:cs="宋体"/>
          <w:color w:val="000000" w:themeColor="text1"/>
          <w:sz w:val="28"/>
          <w:szCs w:val="28"/>
          <w14:textFill>
            <w14:solidFill>
              <w14:schemeClr w14:val="tx1"/>
            </w14:solidFill>
          </w14:textFill>
        </w:rPr>
        <w:t>《工业企业总平面设计规范》（</w:t>
      </w:r>
      <w:r>
        <w:rPr>
          <w:rFonts w:hint="eastAsia" w:ascii="宋体" w:hAnsi="宋体" w:eastAsia="宋体" w:cs="宋体"/>
          <w:color w:val="000000" w:themeColor="text1"/>
          <w:sz w:val="28"/>
          <w:szCs w:val="28"/>
          <w:lang w:val="zh-CN"/>
          <w14:textFill>
            <w14:solidFill>
              <w14:schemeClr w14:val="tx1"/>
            </w14:solidFill>
          </w14:textFill>
        </w:rPr>
        <w:t>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50187-2012）、《工业企业厂内铁路、道路运输安全规程》（GB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4387-2008）</w:t>
      </w:r>
      <w:r>
        <w:rPr>
          <w:rFonts w:hint="eastAsia" w:ascii="宋体" w:hAnsi="宋体" w:eastAsia="宋体" w:cs="宋体"/>
          <w:color w:val="000000" w:themeColor="text1"/>
          <w:sz w:val="28"/>
          <w:szCs w:val="28"/>
          <w14:textFill>
            <w14:solidFill>
              <w14:schemeClr w14:val="tx1"/>
            </w14:solidFill>
          </w14:textFill>
        </w:rPr>
        <w:t>和《建筑设计防火规范〔2018版〕》（GB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50016-2014）</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《建筑防火通用规范》（GB55037-2022）中的</w:t>
      </w:r>
      <w:r>
        <w:rPr>
          <w:rFonts w:hint="eastAsia" w:ascii="宋体" w:hAnsi="宋体" w:eastAsia="宋体" w:cs="宋体"/>
          <w:color w:val="000000" w:themeColor="text1"/>
          <w:sz w:val="28"/>
          <w:szCs w:val="28"/>
          <w:lang w:val="en-US" w:eastAsia="zh-CN"/>
          <w14:textFill>
            <w14:solidFill>
              <w14:schemeClr w14:val="tx1"/>
            </w14:solidFill>
          </w14:textFill>
        </w:rPr>
        <w:t>规范要求</w:t>
      </w:r>
      <w:r>
        <w:rPr>
          <w:rFonts w:hint="eastAsia" w:ascii="宋体" w:hAnsi="宋体" w:eastAsia="宋体" w:cs="宋体"/>
          <w:color w:val="000000" w:themeColor="text1"/>
          <w:sz w:val="28"/>
          <w:szCs w:val="28"/>
          <w14:textFill>
            <w14:solidFill>
              <w14:schemeClr w14:val="tx1"/>
            </w14:solidFill>
          </w14:textFill>
        </w:rPr>
        <w:t>。</w:t>
      </w:r>
    </w:p>
    <w:p w14:paraId="2A587B97">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628" w:name="_Toc30613"/>
      <w:bookmarkStart w:id="629" w:name="_Toc32345"/>
      <w:bookmarkStart w:id="630" w:name="_Toc18641"/>
      <w:bookmarkStart w:id="631" w:name="_Toc19848"/>
      <w:bookmarkStart w:id="632" w:name="_Toc30343"/>
      <w:bookmarkStart w:id="633" w:name="_Toc313545238"/>
      <w:bookmarkStart w:id="634" w:name="_Toc8408"/>
      <w:bookmarkStart w:id="635" w:name="_Toc335926278"/>
      <w:r>
        <w:rPr>
          <w:rFonts w:hint="eastAsia" w:ascii="宋体" w:hAnsi="宋体" w:eastAsia="宋体" w:cs="宋体"/>
          <w:color w:val="000000" w:themeColor="text1"/>
          <w:kern w:val="0"/>
          <w14:textFill>
            <w14:solidFill>
              <w14:schemeClr w14:val="tx1"/>
            </w14:solidFill>
          </w14:textFill>
        </w:rPr>
        <w:t>5.2</w:t>
      </w:r>
      <w:r>
        <w:rPr>
          <w:rFonts w:hint="eastAsia" w:ascii="宋体" w:hAnsi="宋体" w:eastAsia="宋体" w:cs="宋体"/>
          <w:color w:val="000000" w:themeColor="text1"/>
          <w:kern w:val="0"/>
          <w:lang w:val="en-US" w:eastAsia="zh-CN"/>
          <w14:textFill>
            <w14:solidFill>
              <w14:schemeClr w14:val="tx1"/>
            </w14:solidFill>
          </w14:textFill>
        </w:rPr>
        <w:t xml:space="preserve"> 生产</w:t>
      </w:r>
      <w:r>
        <w:rPr>
          <w:rFonts w:hint="eastAsia" w:ascii="宋体" w:hAnsi="宋体" w:eastAsia="宋体" w:cs="宋体"/>
          <w:color w:val="000000" w:themeColor="text1"/>
          <w:kern w:val="0"/>
          <w14:textFill>
            <w14:solidFill>
              <w14:schemeClr w14:val="tx1"/>
            </w14:solidFill>
          </w14:textFill>
        </w:rPr>
        <w:t>工艺</w:t>
      </w:r>
      <w:r>
        <w:rPr>
          <w:rFonts w:hint="eastAsia" w:ascii="宋体" w:hAnsi="宋体" w:eastAsia="宋体" w:cs="宋体"/>
          <w:color w:val="000000" w:themeColor="text1"/>
          <w:kern w:val="0"/>
          <w:lang w:val="en-US" w:eastAsia="zh-CN"/>
          <w14:textFill>
            <w14:solidFill>
              <w14:schemeClr w14:val="tx1"/>
            </w14:solidFill>
          </w14:textFill>
        </w:rPr>
        <w:t>及设备设施</w:t>
      </w:r>
      <w:r>
        <w:rPr>
          <w:rFonts w:hint="eastAsia" w:ascii="宋体" w:hAnsi="宋体" w:eastAsia="宋体" w:cs="宋体"/>
          <w:color w:val="000000" w:themeColor="text1"/>
          <w:kern w:val="0"/>
          <w14:textFill>
            <w14:solidFill>
              <w14:schemeClr w14:val="tx1"/>
            </w14:solidFill>
          </w14:textFill>
        </w:rPr>
        <w:t>评价单元</w:t>
      </w:r>
      <w:bookmarkEnd w:id="628"/>
      <w:bookmarkEnd w:id="629"/>
      <w:bookmarkEnd w:id="630"/>
      <w:bookmarkEnd w:id="631"/>
      <w:bookmarkEnd w:id="632"/>
    </w:p>
    <w:p w14:paraId="14A221E3">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636" w:name="_Toc30203"/>
      <w:bookmarkStart w:id="637" w:name="_Toc23262"/>
      <w:bookmarkStart w:id="638" w:name="_Toc4373"/>
      <w:bookmarkStart w:id="639" w:name="_Toc21729"/>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5.2.1 安全检查</w:t>
      </w:r>
      <w:bookmarkEnd w:id="633"/>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表</w:t>
      </w:r>
      <w:bookmarkEnd w:id="634"/>
      <w:bookmarkEnd w:id="635"/>
      <w:bookmarkEnd w:id="636"/>
      <w:bookmarkEnd w:id="637"/>
      <w:bookmarkEnd w:id="638"/>
      <w:bookmarkEnd w:id="639"/>
    </w:p>
    <w:p w14:paraId="032001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按照《生产设备安全卫生设计总则》（GB5083-</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）、《生产过程安全卫生要求总则》（GB/T 12801-2008）、《中华人民共和国安全生产法》（中华人民共和国主席令第88号，2021年修订）、</w:t>
      </w:r>
      <w:r>
        <w:rPr>
          <w:rFonts w:hint="eastAsia" w:ascii="宋体" w:hAnsi="宋体" w:eastAsia="宋体" w:cs="宋体"/>
          <w:color w:val="000000" w:themeColor="text1"/>
          <w:kern w:val="0"/>
          <w:sz w:val="28"/>
          <w:szCs w:val="28"/>
          <w14:textFill>
            <w14:solidFill>
              <w14:schemeClr w14:val="tx1"/>
            </w14:solidFill>
          </w14:textFill>
        </w:rPr>
        <w:t>《压力容器定期检验规则》（TSG R7001-2013）</w:t>
      </w:r>
      <w:r>
        <w:rPr>
          <w:rFonts w:hint="eastAsia" w:ascii="宋体" w:hAnsi="宋体" w:eastAsia="宋体" w:cs="宋体"/>
          <w:color w:val="000000" w:themeColor="text1"/>
          <w:kern w:val="0"/>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《机械工业厂房结构设计规范》（GB50906-2013）等标准规范的规定，对该项目的生产工艺设备设施采用安全检查表法进行分析评价。检查结果见表5-</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w:t>
      </w:r>
    </w:p>
    <w:p w14:paraId="14BD37FE">
      <w:pPr>
        <w:adjustRightInd w:val="0"/>
        <w:snapToGrid w:val="0"/>
        <w:spacing w:line="240" w:lineRule="auto"/>
        <w:jc w:val="center"/>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表5-</w:t>
      </w:r>
      <w:r>
        <w:rPr>
          <w:rFonts w:hint="eastAsia" w:ascii="宋体" w:hAnsi="宋体" w:eastAsia="宋体" w:cs="宋体"/>
          <w:b/>
          <w:bCs/>
          <w:color w:val="000000" w:themeColor="text1"/>
          <w:sz w:val="24"/>
          <w:lang w:val="en-US" w:eastAsia="zh-CN"/>
          <w14:textFill>
            <w14:solidFill>
              <w14:schemeClr w14:val="tx1"/>
            </w14:solidFill>
          </w14:textFill>
        </w:rPr>
        <w:t>2</w:t>
      </w:r>
      <w:r>
        <w:rPr>
          <w:rFonts w:hint="eastAsia" w:ascii="宋体" w:hAnsi="宋体" w:eastAsia="宋体" w:cs="宋体"/>
          <w:b/>
          <w:bCs/>
          <w:color w:val="000000" w:themeColor="text1"/>
          <w:sz w:val="24"/>
          <w14:textFill>
            <w14:solidFill>
              <w14:schemeClr w14:val="tx1"/>
            </w14:solidFill>
          </w14:textFill>
        </w:rPr>
        <w:t xml:space="preserve">  生产工艺及设备设施安全检查表</w:t>
      </w:r>
    </w:p>
    <w:tbl>
      <w:tblPr>
        <w:tblStyle w:val="24"/>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3235"/>
        <w:gridCol w:w="2140"/>
        <w:gridCol w:w="2070"/>
        <w:gridCol w:w="845"/>
      </w:tblGrid>
      <w:tr w14:paraId="4B617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57" w:type="dxa"/>
            <w:vAlign w:val="center"/>
          </w:tcPr>
          <w:p w14:paraId="48A8DCC8">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235" w:type="dxa"/>
            <w:vAlign w:val="center"/>
          </w:tcPr>
          <w:p w14:paraId="0B389B03">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40" w:type="dxa"/>
            <w:vAlign w:val="center"/>
          </w:tcPr>
          <w:p w14:paraId="0C0063E0">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2070" w:type="dxa"/>
            <w:vAlign w:val="center"/>
          </w:tcPr>
          <w:p w14:paraId="24C054AE">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845" w:type="dxa"/>
            <w:vAlign w:val="center"/>
          </w:tcPr>
          <w:p w14:paraId="4A14C9DE">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0952C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7765E4CF">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5E4E6649">
            <w:pPr>
              <w:autoSpaceDE w:val="0"/>
              <w:autoSpaceDN w:val="0"/>
              <w:adjustRightInd w:val="0"/>
              <w:snapToGrid w:val="0"/>
              <w:spacing w:line="300" w:lineRule="exact"/>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生产经营单位不得使用应当淘汰的危及生产安全的工艺、设备。</w:t>
            </w:r>
          </w:p>
        </w:tc>
        <w:tc>
          <w:tcPr>
            <w:tcW w:w="2140" w:type="dxa"/>
            <w:vAlign w:val="center"/>
          </w:tcPr>
          <w:p w14:paraId="0EAA332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《中华人民共和国安全生产法》（中华人民共和国主席令第88号，2021年修订）</w:t>
            </w:r>
          </w:p>
          <w:p w14:paraId="32FF2D84">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第三十八条</w:t>
            </w:r>
          </w:p>
        </w:tc>
        <w:tc>
          <w:tcPr>
            <w:tcW w:w="2070" w:type="dxa"/>
            <w:vAlign w:val="center"/>
          </w:tcPr>
          <w:p w14:paraId="2E9F94F3">
            <w:pPr>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没有使用国家明令淘汰、禁止使用的危及生产安全的工艺、设备</w:t>
            </w:r>
            <w:r>
              <w:rPr>
                <w:rFonts w:hint="eastAsia" w:ascii="宋体" w:hAnsi="宋体" w:eastAsia="宋体" w:cs="宋体"/>
                <w:snapToGrid w:val="0"/>
                <w:color w:val="000000" w:themeColor="text1"/>
                <w:kern w:val="0"/>
                <w:sz w:val="21"/>
                <w:szCs w:val="21"/>
                <w14:textFill>
                  <w14:solidFill>
                    <w14:schemeClr w14:val="tx1"/>
                  </w14:solidFill>
                </w14:textFill>
              </w:rPr>
              <w:t>。</w:t>
            </w:r>
          </w:p>
        </w:tc>
        <w:tc>
          <w:tcPr>
            <w:tcW w:w="845" w:type="dxa"/>
            <w:vAlign w:val="center"/>
          </w:tcPr>
          <w:p w14:paraId="2806BE13">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A540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1107A0C2">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20D3FE3C">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对工艺、作业和施工过程的控制、检测系统的要求：</w:t>
            </w:r>
          </w:p>
          <w:p w14:paraId="10A68E9B">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a）对事故后果严重的生产过程，应按冗余原则，设计备用装置或备用系统，并能保证在出现危险时能自动转换到备用装置或备用系统；</w:t>
            </w:r>
          </w:p>
          <w:p w14:paraId="0590DA2F">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b）各种仪器、仪表、监测记录装置等，必须选用合理，灵敏可靠，易于辨识。</w:t>
            </w:r>
          </w:p>
        </w:tc>
        <w:tc>
          <w:tcPr>
            <w:tcW w:w="2140" w:type="dxa"/>
            <w:vAlign w:val="center"/>
          </w:tcPr>
          <w:p w14:paraId="2DBA1FF1">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 T12801-2008）第5.3.2条</w:t>
            </w:r>
          </w:p>
        </w:tc>
        <w:tc>
          <w:tcPr>
            <w:tcW w:w="2070" w:type="dxa"/>
            <w:vAlign w:val="center"/>
          </w:tcPr>
          <w:p w14:paraId="735D7094">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工艺、作业满足以上要求。</w:t>
            </w:r>
          </w:p>
        </w:tc>
        <w:tc>
          <w:tcPr>
            <w:tcW w:w="845" w:type="dxa"/>
            <w:vAlign w:val="center"/>
          </w:tcPr>
          <w:p w14:paraId="69233C74">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A68B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729D1F11">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4ECD437A">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配置设备、设施、管线、电缆和组织作业区的基本要求</w:t>
            </w:r>
          </w:p>
          <w:p w14:paraId="7F31A457">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a）在生产厂房和作业场地上配置的生产设备、设施、管线、电缆以及堆放的生产物料、产品和剩余物料，不应对人员、生产和运输造成危险和有害影响；</w:t>
            </w:r>
          </w:p>
          <w:p w14:paraId="20EE3B8A">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b）各设备之间，管线之间，以及设备、管线与厂房、建（构）筑物的墙壁之间的距离，均应符合有关设计和建筑规范要求；</w:t>
            </w:r>
          </w:p>
          <w:p w14:paraId="2EF31680">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c）在设备、设施、管线上需要人员操作、监察和维修，并有发生高处坠落危险的部位，应配置扶梯、平台、围栏和系挂装置等附属设施。</w:t>
            </w:r>
          </w:p>
        </w:tc>
        <w:tc>
          <w:tcPr>
            <w:tcW w:w="2140" w:type="dxa"/>
            <w:vAlign w:val="center"/>
          </w:tcPr>
          <w:p w14:paraId="22532EC3">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（GB/T 12801-2008）第5.7.1条</w:t>
            </w:r>
          </w:p>
        </w:tc>
        <w:tc>
          <w:tcPr>
            <w:tcW w:w="2070" w:type="dxa"/>
            <w:vAlign w:val="center"/>
          </w:tcPr>
          <w:p w14:paraId="1CEE9DE9">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配置设备、设施、管线、电缆和组织作业区满足要求。</w:t>
            </w:r>
          </w:p>
        </w:tc>
        <w:tc>
          <w:tcPr>
            <w:tcW w:w="845" w:type="dxa"/>
            <w:vAlign w:val="center"/>
          </w:tcPr>
          <w:p w14:paraId="360AA743">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49C3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4B0694CA">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55E84AAA">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设备布置的原则：</w:t>
            </w:r>
          </w:p>
          <w:p w14:paraId="3DFF4403">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a）便于操作和维护；</w:t>
            </w:r>
          </w:p>
          <w:p w14:paraId="57D02854">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b）发生火灾或出现紧急情况时，便于人员撤离；</w:t>
            </w:r>
          </w:p>
          <w:p w14:paraId="13015AA5">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c）尽量避免生产装置之间危害因素的相互影响，减小对人员的综合作用；</w:t>
            </w:r>
          </w:p>
          <w:p w14:paraId="672EA6E0">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d）布置具有潜在危险的设备时，应根据有关规定进行分散和隔离，并设置必要的提示、标志和警告信号；</w:t>
            </w:r>
          </w:p>
          <w:p w14:paraId="20E152E7">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e）对振动、爆炸敏感的设备，应进行隔离或设置屏蔽、防护墙、减振设施等；</w:t>
            </w:r>
          </w:p>
          <w:p w14:paraId="2E8B8C94">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f） 设备的噪声超过有关标准规定时，应予以隔离；</w:t>
            </w:r>
          </w:p>
          <w:p w14:paraId="47A080C4">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g）加热设备及反应釜等的作业孔、操纵器、观察孔等应有防护设施；作业区的热辐射强度不应超过有关规定。</w:t>
            </w:r>
          </w:p>
        </w:tc>
        <w:tc>
          <w:tcPr>
            <w:tcW w:w="2140" w:type="dxa"/>
            <w:vAlign w:val="center"/>
          </w:tcPr>
          <w:p w14:paraId="11A70F4A">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（GB/T 12801-2008）第5.7.2条</w:t>
            </w:r>
          </w:p>
        </w:tc>
        <w:tc>
          <w:tcPr>
            <w:tcW w:w="2070" w:type="dxa"/>
            <w:vAlign w:val="center"/>
          </w:tcPr>
          <w:p w14:paraId="02C333DF">
            <w:pPr>
              <w:adjustRightInd w:val="0"/>
              <w:snapToGrid w:val="0"/>
              <w:spacing w:line="300" w:lineRule="exact"/>
              <w:contextualSpacing/>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该项目均选用低噪声设备，周围没有对振动要求高</w:t>
            </w:r>
            <w:r>
              <w:rPr>
                <w:rFonts w:hint="eastAsia" w:ascii="宋体" w:hAnsi="宋体" w:eastAsia="宋体" w:cs="宋体"/>
                <w:color w:val="000000" w:themeColor="text1"/>
                <w:sz w:val="21"/>
                <w:szCs w:val="21"/>
                <w:lang w:val="en-US" w:eastAsia="zh-CN"/>
                <w14:textFill>
                  <w14:solidFill>
                    <w14:schemeClr w14:val="tx1"/>
                  </w14:solidFill>
                </w14:textFill>
              </w:rPr>
              <w:t>的</w:t>
            </w:r>
            <w:r>
              <w:rPr>
                <w:rFonts w:hint="eastAsia" w:ascii="宋体" w:hAnsi="宋体" w:eastAsia="宋体" w:cs="宋体"/>
                <w:color w:val="000000" w:themeColor="text1"/>
                <w:sz w:val="21"/>
                <w:szCs w:val="21"/>
                <w14:textFill>
                  <w14:solidFill>
                    <w14:schemeClr w14:val="tx1"/>
                  </w14:solidFill>
                </w14:textFill>
              </w:rPr>
              <w:t>设备，均按相关要求规定进行布置，有足够的操作空间；设置了2个紧急出入口，发生事故便于人员撤离。</w:t>
            </w:r>
          </w:p>
        </w:tc>
        <w:tc>
          <w:tcPr>
            <w:tcW w:w="845" w:type="dxa"/>
            <w:vAlign w:val="center"/>
          </w:tcPr>
          <w:p w14:paraId="49DD316E">
            <w:pPr>
              <w:adjustRightInd w:val="0"/>
              <w:snapToGrid w:val="0"/>
              <w:spacing w:line="300" w:lineRule="exact"/>
              <w:contextualSpacing/>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AE5F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5642C1DC">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0B0B479E">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企业应按照GB11651和国家颁发的劳动防护用品配备标准和有关规定，为从业人员配备劳动防护用品。</w:t>
            </w:r>
          </w:p>
        </w:tc>
        <w:tc>
          <w:tcPr>
            <w:tcW w:w="2140" w:type="dxa"/>
            <w:vAlign w:val="center"/>
          </w:tcPr>
          <w:p w14:paraId="03415D8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r>
              <w:rPr>
                <w:rFonts w:hint="eastAsia" w:ascii="宋体" w:hAnsi="宋体" w:eastAsia="宋体" w:cs="宋体"/>
                <w:color w:val="000000" w:themeColor="text1"/>
                <w:sz w:val="21"/>
                <w:szCs w:val="21"/>
                <w14:textFill>
                  <w14:solidFill>
                    <w14:schemeClr w14:val="tx1"/>
                  </w14:solidFill>
                </w14:textFill>
              </w:rPr>
              <w:br w:type="textWrapping"/>
            </w:r>
            <w:r>
              <w:rPr>
                <w:rFonts w:hint="eastAsia" w:ascii="宋体" w:hAnsi="宋体" w:eastAsia="宋体" w:cs="宋体"/>
                <w:color w:val="000000" w:themeColor="text1"/>
                <w:sz w:val="21"/>
                <w:szCs w:val="21"/>
                <w14:textFill>
                  <w14:solidFill>
                    <w14:schemeClr w14:val="tx1"/>
                  </w14:solidFill>
                </w14:textFill>
              </w:rPr>
              <w:t>（GB/T 12801-2008）第6.2.1条</w:t>
            </w:r>
          </w:p>
        </w:tc>
        <w:tc>
          <w:tcPr>
            <w:tcW w:w="2070" w:type="dxa"/>
            <w:vAlign w:val="center"/>
          </w:tcPr>
          <w:p w14:paraId="07BCB401">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企业向从业人员定期发放劳动防护用品。</w:t>
            </w:r>
          </w:p>
        </w:tc>
        <w:tc>
          <w:tcPr>
            <w:tcW w:w="845" w:type="dxa"/>
            <w:vAlign w:val="center"/>
          </w:tcPr>
          <w:p w14:paraId="7FF8541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4ECF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564C1DF5">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7310FB0F">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具有火灾危险的工作过程，应综合考虑防火防爆措施和报警系统，合理选择和配置消防设施。</w:t>
            </w:r>
          </w:p>
        </w:tc>
        <w:tc>
          <w:tcPr>
            <w:tcW w:w="2140" w:type="dxa"/>
            <w:vAlign w:val="center"/>
          </w:tcPr>
          <w:p w14:paraId="47B7802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《生产过程安全卫生要求总则》（GB12801-2008）</w:t>
            </w:r>
          </w:p>
          <w:p w14:paraId="4BED833C">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第6.3.1条</w:t>
            </w:r>
          </w:p>
        </w:tc>
        <w:tc>
          <w:tcPr>
            <w:tcW w:w="2070" w:type="dxa"/>
            <w:vAlign w:val="center"/>
          </w:tcPr>
          <w:p w14:paraId="5A0C5CC6">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w:t>
            </w:r>
            <w:r>
              <w:rPr>
                <w:rFonts w:hint="eastAsia" w:ascii="宋体" w:hAnsi="宋体" w:eastAsia="宋体" w:cs="宋体"/>
                <w:color w:val="000000" w:themeColor="text1"/>
                <w:sz w:val="21"/>
                <w:szCs w:val="21"/>
                <w:lang w:val="en-US" w:eastAsia="zh-CN"/>
                <w14:textFill>
                  <w14:solidFill>
                    <w14:schemeClr w14:val="tx1"/>
                  </w14:solidFill>
                </w14:textFill>
              </w:rPr>
              <w:t>生产区</w:t>
            </w:r>
            <w:r>
              <w:rPr>
                <w:rFonts w:hint="eastAsia" w:ascii="宋体" w:hAnsi="宋体" w:eastAsia="宋体" w:cs="宋体"/>
                <w:color w:val="000000" w:themeColor="text1"/>
                <w:sz w:val="21"/>
                <w:szCs w:val="21"/>
                <w14:textFill>
                  <w14:solidFill>
                    <w14:schemeClr w14:val="tx1"/>
                  </w14:solidFill>
                </w14:textFill>
              </w:rPr>
              <w:t>、办公室等区域配备了灭火器。</w:t>
            </w:r>
          </w:p>
        </w:tc>
        <w:tc>
          <w:tcPr>
            <w:tcW w:w="845" w:type="dxa"/>
            <w:vAlign w:val="center"/>
          </w:tcPr>
          <w:p w14:paraId="19351F7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E3C8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0372890E">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vAlign w:val="center"/>
          </w:tcPr>
          <w:p w14:paraId="6277D940">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生产设备(包括零部件)应有符合产品安全性能的力学特性、稳定性和可靠性。在按规定条件制</w:t>
            </w:r>
          </w:p>
          <w:p w14:paraId="78D96BE4">
            <w:pPr>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造、运输、储存、安装、使用和拆除时，不应对人员造成危害。</w:t>
            </w:r>
          </w:p>
        </w:tc>
        <w:tc>
          <w:tcPr>
            <w:tcW w:w="2140" w:type="dxa"/>
            <w:vAlign w:val="center"/>
          </w:tcPr>
          <w:p w14:paraId="10C51E89">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《生产设备安全卫生设计总则》（GB5083-2023）第4.2条</w:t>
            </w:r>
          </w:p>
        </w:tc>
        <w:tc>
          <w:tcPr>
            <w:tcW w:w="2070" w:type="dxa"/>
            <w:vAlign w:val="center"/>
          </w:tcPr>
          <w:p w14:paraId="28CDC02F">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该项目生产设备均通过具有生产资质的厂家采购，设备有产品合格证，各设备危险点均采取了相应防护措施。</w:t>
            </w:r>
          </w:p>
        </w:tc>
        <w:tc>
          <w:tcPr>
            <w:tcW w:w="845" w:type="dxa"/>
            <w:vAlign w:val="center"/>
          </w:tcPr>
          <w:p w14:paraId="3E305F6C">
            <w:pPr>
              <w:snapToGrid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1C99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02384FE3">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1B63D95">
            <w:pPr>
              <w:adjustRightInd w:val="0"/>
              <w:snapToGrid w:val="0"/>
              <w:spacing w:line="300" w:lineRule="exac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生产设备不应在振动、风载荷或其他外载荷作用下倾覆或产生允许范围外的运动或位移。</w:t>
            </w:r>
          </w:p>
        </w:tc>
        <w:tc>
          <w:tcPr>
            <w:tcW w:w="2140" w:type="dxa"/>
            <w:shd w:val="clear" w:color="auto" w:fill="auto"/>
            <w:vAlign w:val="center"/>
          </w:tcPr>
          <w:p w14:paraId="3C41FF07">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29318B38">
            <w:pPr>
              <w:pStyle w:val="48"/>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第5.3.1条</w:t>
            </w:r>
          </w:p>
        </w:tc>
        <w:tc>
          <w:tcPr>
            <w:tcW w:w="2070" w:type="dxa"/>
            <w:shd w:val="clear" w:color="auto" w:fill="auto"/>
            <w:vAlign w:val="center"/>
          </w:tcPr>
          <w:p w14:paraId="71A054F0">
            <w:pPr>
              <w:pStyle w:val="48"/>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生产设备没有在上述条件下运动。</w:t>
            </w:r>
          </w:p>
        </w:tc>
        <w:tc>
          <w:tcPr>
            <w:tcW w:w="845" w:type="dxa"/>
            <w:shd w:val="clear" w:color="auto" w:fill="auto"/>
            <w:vAlign w:val="center"/>
          </w:tcPr>
          <w:p w14:paraId="2AC63EE3">
            <w:pPr>
              <w:pStyle w:val="48"/>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3BC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7AAA4988">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25D42213">
            <w:pPr>
              <w:pStyle w:val="48"/>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生产设备的控制装置不应使用联锁装置代替控制开关执行常规机械功能。</w:t>
            </w:r>
          </w:p>
        </w:tc>
        <w:tc>
          <w:tcPr>
            <w:tcW w:w="2140" w:type="dxa"/>
            <w:shd w:val="clear" w:color="auto" w:fill="auto"/>
            <w:vAlign w:val="center"/>
          </w:tcPr>
          <w:p w14:paraId="6AA8F61D">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4459E31E">
            <w:pPr>
              <w:pStyle w:val="48"/>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第5.6.2.9条</w:t>
            </w:r>
          </w:p>
        </w:tc>
        <w:tc>
          <w:tcPr>
            <w:tcW w:w="2070" w:type="dxa"/>
            <w:shd w:val="clear" w:color="auto" w:fill="auto"/>
            <w:vAlign w:val="center"/>
          </w:tcPr>
          <w:p w14:paraId="534AD537">
            <w:pPr>
              <w:pStyle w:val="48"/>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生产设备的控制开关为手动开关。</w:t>
            </w:r>
          </w:p>
        </w:tc>
        <w:tc>
          <w:tcPr>
            <w:tcW w:w="845" w:type="dxa"/>
            <w:shd w:val="clear" w:color="auto" w:fill="auto"/>
            <w:vAlign w:val="center"/>
          </w:tcPr>
          <w:p w14:paraId="7F4FCB3B">
            <w:pPr>
              <w:pStyle w:val="48"/>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3F9B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5B7D9686">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lang w:val="en-US" w:eastAsia="zh-CN" w:bidi="ar-SA"/>
                <w14:textFill>
                  <w14:solidFill>
                    <w14:schemeClr w14:val="tx1"/>
                  </w14:solidFill>
                </w14:textFill>
              </w:rPr>
            </w:pPr>
          </w:p>
        </w:tc>
        <w:tc>
          <w:tcPr>
            <w:tcW w:w="3235" w:type="dxa"/>
            <w:shd w:val="clear" w:color="auto" w:fill="auto"/>
            <w:vAlign w:val="center"/>
          </w:tcPr>
          <w:p w14:paraId="2D8696F2">
            <w:pPr>
              <w:pStyle w:val="48"/>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生产设备上供人员作业的操作位置应安全可靠，并应满足人机交互功能的要求。其工作空间应保证作业人员的身体各部位在作业中可正常活动。危险作业点应留有安全退避空间。</w:t>
            </w:r>
          </w:p>
        </w:tc>
        <w:tc>
          <w:tcPr>
            <w:tcW w:w="2140" w:type="dxa"/>
            <w:shd w:val="clear" w:color="auto" w:fill="auto"/>
            <w:vAlign w:val="center"/>
          </w:tcPr>
          <w:p w14:paraId="3A93B141">
            <w:pPr>
              <w:pStyle w:val="48"/>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《生产设备安全卫生设计总则》（GB5083-2023）第5.7.1条</w:t>
            </w:r>
          </w:p>
        </w:tc>
        <w:tc>
          <w:tcPr>
            <w:tcW w:w="2070" w:type="dxa"/>
            <w:shd w:val="clear" w:color="auto" w:fill="auto"/>
            <w:vAlign w:val="center"/>
          </w:tcPr>
          <w:p w14:paraId="7B9900AD">
            <w:pPr>
              <w:pStyle w:val="48"/>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设备工作空间可以保证操作人员的头、臂、手、腿、足在正常作业中有充分的活动余地。</w:t>
            </w:r>
          </w:p>
        </w:tc>
        <w:tc>
          <w:tcPr>
            <w:tcW w:w="845" w:type="dxa"/>
            <w:shd w:val="clear" w:color="auto" w:fill="auto"/>
            <w:vAlign w:val="center"/>
          </w:tcPr>
          <w:p w14:paraId="5D4FD08B">
            <w:pPr>
              <w:pStyle w:val="48"/>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094C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0DEE2BFC">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1E3DFD4">
            <w:pPr>
              <w:pStyle w:val="48"/>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生产设备的操作点和操作区域应防止各种频闪效应和眩光现象,其照明设计应按GB50034 的规定执行。生产设备本体照明设计应符合视觉工效学原则。</w:t>
            </w:r>
          </w:p>
        </w:tc>
        <w:tc>
          <w:tcPr>
            <w:tcW w:w="2140" w:type="dxa"/>
            <w:shd w:val="clear" w:color="auto" w:fill="auto"/>
            <w:vAlign w:val="center"/>
          </w:tcPr>
          <w:p w14:paraId="2C7EE0DC">
            <w:pPr>
              <w:pStyle w:val="48"/>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《生产设备安全卫生设计总则》（GB5083-2023）第5.8.1条</w:t>
            </w:r>
          </w:p>
        </w:tc>
        <w:tc>
          <w:tcPr>
            <w:tcW w:w="2070" w:type="dxa"/>
            <w:shd w:val="clear" w:color="auto" w:fill="auto"/>
            <w:vAlign w:val="center"/>
          </w:tcPr>
          <w:p w14:paraId="1A45A3BD">
            <w:pPr>
              <w:pStyle w:val="48"/>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生产车间安装照明设施。</w:t>
            </w:r>
          </w:p>
        </w:tc>
        <w:tc>
          <w:tcPr>
            <w:tcW w:w="845" w:type="dxa"/>
            <w:shd w:val="clear" w:color="auto" w:fill="auto"/>
            <w:vAlign w:val="center"/>
          </w:tcPr>
          <w:p w14:paraId="6615E7AC">
            <w:pPr>
              <w:pStyle w:val="48"/>
              <w:overflowPunct w:val="0"/>
              <w:snapToGrid w:val="0"/>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符合</w:t>
            </w:r>
          </w:p>
        </w:tc>
      </w:tr>
      <w:tr w14:paraId="17CED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3674AB0A">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2511ECFC">
            <w:pPr>
              <w:pStyle w:val="49"/>
              <w:overflowPunct w:val="0"/>
              <w:snapToGrid w:val="0"/>
              <w:spacing w:line="300" w:lineRule="exact"/>
              <w:jc w:val="both"/>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生产设备运行时可能触及并易造成人身伤害的可动零部件应配置安全卫生防护装置。</w:t>
            </w:r>
          </w:p>
        </w:tc>
        <w:tc>
          <w:tcPr>
            <w:tcW w:w="2140" w:type="dxa"/>
            <w:shd w:val="clear" w:color="auto" w:fill="auto"/>
            <w:vAlign w:val="center"/>
          </w:tcPr>
          <w:p w14:paraId="076A0937">
            <w:pPr>
              <w:pStyle w:val="49"/>
              <w:overflowPunct w:val="0"/>
              <w:snapToGrid w:val="0"/>
              <w:spacing w:line="300" w:lineRule="exact"/>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3BE39F34">
            <w:pPr>
              <w:pStyle w:val="49"/>
              <w:overflowPunct w:val="0"/>
              <w:snapToGrid w:val="0"/>
              <w:spacing w:line="300" w:lineRule="exact"/>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第6.1.1条</w:t>
            </w:r>
          </w:p>
        </w:tc>
        <w:tc>
          <w:tcPr>
            <w:tcW w:w="2070" w:type="dxa"/>
            <w:shd w:val="clear" w:color="auto" w:fill="auto"/>
            <w:vAlign w:val="center"/>
          </w:tcPr>
          <w:p w14:paraId="32F49D5D">
            <w:pPr>
              <w:overflowPunct w:val="0"/>
              <w:snapToGrid w:val="0"/>
              <w:spacing w:line="300" w:lineRule="exac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各设备存在危险的部位均设置了防护网、罩防护。</w:t>
            </w:r>
          </w:p>
        </w:tc>
        <w:tc>
          <w:tcPr>
            <w:tcW w:w="845" w:type="dxa"/>
            <w:shd w:val="clear" w:color="auto" w:fill="auto"/>
            <w:vAlign w:val="center"/>
          </w:tcPr>
          <w:p w14:paraId="553DD881">
            <w:pPr>
              <w:overflowPunct w:val="0"/>
              <w:snapToGrid w:val="0"/>
              <w:spacing w:line="300" w:lineRule="exac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82A1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68046880">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540336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建（构）筑物的通风换气条件，应保证作业环境空气中的危险和有害物质浓度不超过国家卫生标准和防爆规定。</w:t>
            </w:r>
          </w:p>
        </w:tc>
        <w:tc>
          <w:tcPr>
            <w:tcW w:w="2140" w:type="dxa"/>
            <w:shd w:val="clear" w:color="auto" w:fill="auto"/>
            <w:vAlign w:val="center"/>
          </w:tcPr>
          <w:p w14:paraId="5E2A0C4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《生产过程安全卫生要求总则》 </w:t>
            </w:r>
          </w:p>
          <w:p w14:paraId="792CFA6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 12801-2008)</w:t>
            </w:r>
          </w:p>
          <w:p w14:paraId="7376D88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5.4.2</w:t>
            </w:r>
          </w:p>
        </w:tc>
        <w:tc>
          <w:tcPr>
            <w:tcW w:w="2070" w:type="dxa"/>
            <w:shd w:val="clear" w:color="auto" w:fill="auto"/>
            <w:vAlign w:val="center"/>
          </w:tcPr>
          <w:p w14:paraId="45A556C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厂房和仓库通风条件较好。</w:t>
            </w:r>
          </w:p>
        </w:tc>
        <w:tc>
          <w:tcPr>
            <w:tcW w:w="845" w:type="dxa"/>
            <w:shd w:val="clear" w:color="auto" w:fill="auto"/>
            <w:vAlign w:val="center"/>
          </w:tcPr>
          <w:p w14:paraId="15371A7C">
            <w:pPr>
              <w:pStyle w:val="31"/>
              <w:jc w:val="both"/>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snapToGrid w:val="0"/>
                <w:sz w:val="21"/>
                <w:szCs w:val="21"/>
                <w:lang w:val="en-US" w:eastAsia="zh-CN"/>
              </w:rPr>
              <w:t>符合</w:t>
            </w:r>
          </w:p>
        </w:tc>
      </w:tr>
      <w:tr w14:paraId="71835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18A44402">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DAA8518">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危险性作业场所，应设置安全通道；应设应急照明、安全标志和疏散指示标志；门窗应向外开启；通道和出口应保持畅通；出入口的设置应符合有关规定。</w:t>
            </w:r>
          </w:p>
        </w:tc>
        <w:tc>
          <w:tcPr>
            <w:tcW w:w="2140" w:type="dxa"/>
            <w:shd w:val="clear" w:color="auto" w:fill="auto"/>
            <w:vAlign w:val="center"/>
          </w:tcPr>
          <w:p w14:paraId="13F5912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《生产过程安全卫生要求总则》 </w:t>
            </w:r>
          </w:p>
          <w:p w14:paraId="2A7D621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 12801-2008)</w:t>
            </w:r>
          </w:p>
          <w:p w14:paraId="78ECF40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5.4.6</w:t>
            </w:r>
          </w:p>
        </w:tc>
        <w:tc>
          <w:tcPr>
            <w:tcW w:w="2070" w:type="dxa"/>
            <w:shd w:val="clear" w:color="auto" w:fill="auto"/>
            <w:vAlign w:val="center"/>
          </w:tcPr>
          <w:p w14:paraId="7F48A85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生产车间设置安全出口，车间内设 置的安全通道，满足要求。</w:t>
            </w:r>
          </w:p>
        </w:tc>
        <w:tc>
          <w:tcPr>
            <w:tcW w:w="845" w:type="dxa"/>
            <w:shd w:val="clear" w:color="auto" w:fill="auto"/>
            <w:vAlign w:val="center"/>
          </w:tcPr>
          <w:p w14:paraId="579B92D7">
            <w:pPr>
              <w:pStyle w:val="31"/>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snapToGrid w:val="0"/>
                <w:sz w:val="21"/>
                <w:szCs w:val="21"/>
                <w:lang w:val="en-US" w:eastAsia="zh-CN"/>
              </w:rPr>
              <w:t>符合</w:t>
            </w:r>
          </w:p>
        </w:tc>
      </w:tr>
      <w:tr w14:paraId="1B665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6DE26DC0">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lang w:val="en-US" w:eastAsia="zh-CN" w:bidi="ar-SA"/>
                <w14:textFill>
                  <w14:solidFill>
                    <w14:schemeClr w14:val="tx1"/>
                  </w14:solidFill>
                </w14:textFill>
              </w:rPr>
            </w:pPr>
          </w:p>
        </w:tc>
        <w:tc>
          <w:tcPr>
            <w:tcW w:w="3235" w:type="dxa"/>
            <w:shd w:val="clear" w:color="auto" w:fill="auto"/>
            <w:vAlign w:val="center"/>
          </w:tcPr>
          <w:p w14:paraId="50E534A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配置设备、设施、管线、电缆和组织作业区的基本要求：（1）在生产房和作业场地上配置的生产设备、设施、管线、电缆以及堆放的生产物料、产品和剩余物料，不应对人员、生产和运输造成危险和有害影响；（2）各设备之间，管线之间，以及设备、管线与厂房、建（构）筑物的墙壁之间的距离，均应符合有关设计和建筑规范要求；（3）在设备、设施、管线上需要人员操作、检查和维修，并有发生高处坠落危险的部位，应配置扶梯、平台、围栏和系挂装置等附属设施。</w:t>
            </w:r>
          </w:p>
        </w:tc>
        <w:tc>
          <w:tcPr>
            <w:tcW w:w="2140" w:type="dxa"/>
            <w:shd w:val="clear" w:color="auto" w:fill="auto"/>
            <w:vAlign w:val="center"/>
          </w:tcPr>
          <w:p w14:paraId="502B8EE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《生产过程安全卫生要求总则》 </w:t>
            </w:r>
          </w:p>
          <w:p w14:paraId="39D9A38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 12801-2008)</w:t>
            </w:r>
          </w:p>
          <w:p w14:paraId="758ABF8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5.7.1</w:t>
            </w:r>
          </w:p>
        </w:tc>
        <w:tc>
          <w:tcPr>
            <w:tcW w:w="2070" w:type="dxa"/>
            <w:shd w:val="clear" w:color="auto" w:fill="auto"/>
            <w:vAlign w:val="center"/>
          </w:tcPr>
          <w:p w14:paraId="24BCB20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该项目在生产厂房和作业场地上配置的生产设备、设施、管线符合有关设计和建筑规范要求， 未对人员、生产和运输造成危险和有 害影响。</w:t>
            </w:r>
          </w:p>
        </w:tc>
        <w:tc>
          <w:tcPr>
            <w:tcW w:w="845" w:type="dxa"/>
            <w:shd w:val="clear" w:color="auto" w:fill="auto"/>
            <w:vAlign w:val="center"/>
          </w:tcPr>
          <w:p w14:paraId="3EA4D64C">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FCF3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7" w:type="dxa"/>
            <w:vAlign w:val="center"/>
          </w:tcPr>
          <w:p w14:paraId="4282A4C9">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F3F9C2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机床的工作场地及通道（例如，阶梯、爬梯、平台及走道）应提供扶手、踏板和必要的防滑地面，尽量减小滑倒、绊倒和跌倒的可能性。</w:t>
            </w:r>
          </w:p>
        </w:tc>
        <w:tc>
          <w:tcPr>
            <w:tcW w:w="2140" w:type="dxa"/>
            <w:shd w:val="clear" w:color="auto" w:fill="auto"/>
            <w:vAlign w:val="center"/>
          </w:tcPr>
          <w:p w14:paraId="24F0576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《机床安全固定式</w:t>
            </w:r>
          </w:p>
          <w:p w14:paraId="5F6FF51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磨床》</w:t>
            </w:r>
          </w:p>
          <w:p w14:paraId="00EC091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（GB/T40330-2021）</w:t>
            </w:r>
          </w:p>
          <w:p w14:paraId="74E04E89">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5.15 条</w:t>
            </w:r>
          </w:p>
        </w:tc>
        <w:tc>
          <w:tcPr>
            <w:tcW w:w="2070" w:type="dxa"/>
            <w:shd w:val="clear" w:color="auto" w:fill="auto"/>
            <w:vAlign w:val="center"/>
          </w:tcPr>
          <w:p w14:paraId="63DC0583">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本项目机床设置周边定期清扫，机床本身自带的平台、通道采用波纹地面防滑。</w:t>
            </w:r>
          </w:p>
        </w:tc>
        <w:tc>
          <w:tcPr>
            <w:tcW w:w="845" w:type="dxa"/>
            <w:vAlign w:val="center"/>
          </w:tcPr>
          <w:p w14:paraId="69EE0554">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099A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43B512D1">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6F56DF0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装配时的零、部件应清理干净。用于装配的加工件不应磕碰、划伤和锈蚀，加工件的配合面不应有修锉和打磨等痕迹。</w:t>
            </w:r>
          </w:p>
        </w:tc>
        <w:tc>
          <w:tcPr>
            <w:tcW w:w="2140" w:type="dxa"/>
            <w:shd w:val="clear" w:color="auto" w:fill="auto"/>
            <w:vAlign w:val="center"/>
          </w:tcPr>
          <w:p w14:paraId="6A933A5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《金属切削机床装配通用技术条件》 </w:t>
            </w:r>
          </w:p>
          <w:p w14:paraId="24006A0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（GB/T25373-2010） </w:t>
            </w:r>
          </w:p>
          <w:p w14:paraId="49BBE94F">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3.3 条</w:t>
            </w:r>
          </w:p>
        </w:tc>
        <w:tc>
          <w:tcPr>
            <w:tcW w:w="2070" w:type="dxa"/>
            <w:shd w:val="clear" w:color="auto" w:fill="auto"/>
            <w:vAlign w:val="center"/>
          </w:tcPr>
          <w:p w14:paraId="4893963E">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本项目装配的零、部件在组装前进行了清理。</w:t>
            </w:r>
          </w:p>
        </w:tc>
        <w:tc>
          <w:tcPr>
            <w:tcW w:w="845" w:type="dxa"/>
            <w:shd w:val="clear" w:color="auto" w:fill="auto"/>
            <w:vAlign w:val="center"/>
          </w:tcPr>
          <w:p w14:paraId="2237A6F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214B5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7EAE5D93">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bookmarkStart w:id="640" w:name="_Toc9284"/>
          </w:p>
        </w:tc>
        <w:tc>
          <w:tcPr>
            <w:tcW w:w="3235" w:type="dxa"/>
            <w:shd w:val="clear" w:color="auto" w:fill="auto"/>
            <w:vAlign w:val="center"/>
          </w:tcPr>
          <w:p w14:paraId="74E2012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机床的移动、转动部件装配后，运动应平稳、灵活、轻便，无阻滞现象。</w:t>
            </w:r>
          </w:p>
        </w:tc>
        <w:tc>
          <w:tcPr>
            <w:tcW w:w="2140" w:type="dxa"/>
            <w:shd w:val="clear" w:color="auto" w:fill="auto"/>
            <w:vAlign w:val="center"/>
          </w:tcPr>
          <w:p w14:paraId="7EB080CF">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《金属切削机床 装 </w:t>
            </w:r>
          </w:p>
          <w:p w14:paraId="07277488">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配通用技术条件》 </w:t>
            </w:r>
          </w:p>
          <w:p w14:paraId="5612602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（GB/T25373-2010） </w:t>
            </w:r>
          </w:p>
          <w:p w14:paraId="519D3884">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3.6 条</w:t>
            </w:r>
          </w:p>
        </w:tc>
        <w:tc>
          <w:tcPr>
            <w:tcW w:w="2070" w:type="dxa"/>
            <w:shd w:val="clear" w:color="auto" w:fill="auto"/>
            <w:vAlign w:val="center"/>
          </w:tcPr>
          <w:p w14:paraId="691C112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现场检查时，未发现有异常。</w:t>
            </w:r>
          </w:p>
        </w:tc>
        <w:tc>
          <w:tcPr>
            <w:tcW w:w="845" w:type="dxa"/>
            <w:shd w:val="clear" w:color="auto" w:fill="auto"/>
            <w:vAlign w:val="center"/>
          </w:tcPr>
          <w:p w14:paraId="3539E5A3">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6428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4FE29779">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C9D4F3F">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工具的危险运动零、部件的防护装置（如防护罩、盖等）不得任意拆卸。</w:t>
            </w:r>
          </w:p>
        </w:tc>
        <w:tc>
          <w:tcPr>
            <w:tcW w:w="2140" w:type="dxa"/>
            <w:shd w:val="clear" w:color="auto" w:fill="auto"/>
            <w:vAlign w:val="center"/>
          </w:tcPr>
          <w:p w14:paraId="2BB090E4">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《手持式电动工具的 </w:t>
            </w:r>
          </w:p>
          <w:p w14:paraId="43ED77C9">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管理、使用、检查和 </w:t>
            </w:r>
          </w:p>
          <w:p w14:paraId="6243A39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维修安全技术规程》 </w:t>
            </w:r>
          </w:p>
          <w:p w14:paraId="2CB9AEBE">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（GB/T3787-2017） </w:t>
            </w:r>
          </w:p>
          <w:p w14:paraId="22AD576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5.1 条</w:t>
            </w:r>
          </w:p>
        </w:tc>
        <w:tc>
          <w:tcPr>
            <w:tcW w:w="2070" w:type="dxa"/>
            <w:shd w:val="clear" w:color="auto" w:fill="auto"/>
            <w:vAlign w:val="center"/>
          </w:tcPr>
          <w:p w14:paraId="3077ED0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现场检查时，装配使用的手持电动工具防护装置完 </w:t>
            </w:r>
          </w:p>
          <w:p w14:paraId="5C19018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好。</w:t>
            </w:r>
          </w:p>
        </w:tc>
        <w:tc>
          <w:tcPr>
            <w:tcW w:w="845" w:type="dxa"/>
            <w:shd w:val="clear" w:color="auto" w:fill="auto"/>
            <w:vAlign w:val="center"/>
          </w:tcPr>
          <w:p w14:paraId="17CF48E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D94A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01A1BCFD">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69DFFE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工具的插头、插座应按规定正确接线，插头、插座中的保护接地极在任何情况下只能单独连接保护接地（PE）。严禁插头、插座内用导线直接将保护接地极与工作中性线连接起来。</w:t>
            </w:r>
          </w:p>
        </w:tc>
        <w:tc>
          <w:tcPr>
            <w:tcW w:w="2140" w:type="dxa"/>
            <w:shd w:val="clear" w:color="auto" w:fill="auto"/>
            <w:vAlign w:val="center"/>
          </w:tcPr>
          <w:p w14:paraId="36349C2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《手持式电动工具的管理、使用、检查和维修安全技术规程》 </w:t>
            </w:r>
          </w:p>
          <w:p w14:paraId="6A2A3AA1">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（GB/T3787-2017） </w:t>
            </w:r>
          </w:p>
          <w:p w14:paraId="068B8FF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5.4 条</w:t>
            </w:r>
          </w:p>
        </w:tc>
        <w:tc>
          <w:tcPr>
            <w:tcW w:w="2070" w:type="dxa"/>
            <w:shd w:val="clear" w:color="auto" w:fill="auto"/>
            <w:vAlign w:val="center"/>
          </w:tcPr>
          <w:p w14:paraId="7A62748C">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现场检查时，未发现有前述不符合内容。</w:t>
            </w:r>
          </w:p>
        </w:tc>
        <w:tc>
          <w:tcPr>
            <w:tcW w:w="845" w:type="dxa"/>
            <w:shd w:val="clear" w:color="auto" w:fill="auto"/>
            <w:vAlign w:val="center"/>
          </w:tcPr>
          <w:p w14:paraId="1970E08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62C4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0EDB3F1C">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56A45FA9">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工具如有绝缘损坏，电源线保护套破裂、保护接地线（PE）脱落、插头插座裂开或有损于安全的机械损伤等故障时，应立即进行修理。在未修复前，不得继续使用。</w:t>
            </w:r>
          </w:p>
        </w:tc>
        <w:tc>
          <w:tcPr>
            <w:tcW w:w="2140" w:type="dxa"/>
            <w:shd w:val="clear" w:color="auto" w:fill="auto"/>
            <w:vAlign w:val="center"/>
          </w:tcPr>
          <w:p w14:paraId="147C8684">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《手持式电动工具的管理、使用、检查和维修安全技术规程》 </w:t>
            </w:r>
          </w:p>
          <w:p w14:paraId="0F755EE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（GB/T3787-2017） </w:t>
            </w:r>
          </w:p>
          <w:p w14:paraId="7F72FA2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6.5 条</w:t>
            </w:r>
          </w:p>
        </w:tc>
        <w:tc>
          <w:tcPr>
            <w:tcW w:w="2070" w:type="dxa"/>
            <w:shd w:val="clear" w:color="auto" w:fill="auto"/>
            <w:vAlign w:val="center"/>
          </w:tcPr>
          <w:p w14:paraId="2BCAD16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现场检查时，在用的手持式电动工具均正常，未发现有损坏现象。</w:t>
            </w:r>
          </w:p>
        </w:tc>
        <w:tc>
          <w:tcPr>
            <w:tcW w:w="845" w:type="dxa"/>
            <w:shd w:val="clear" w:color="auto" w:fill="auto"/>
            <w:vAlign w:val="center"/>
          </w:tcPr>
          <w:p w14:paraId="16967BD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6231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167F6ADA">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442A2738">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一、二类电动工具应配置剩余电流动作保护装置。</w:t>
            </w:r>
          </w:p>
        </w:tc>
        <w:tc>
          <w:tcPr>
            <w:tcW w:w="2140" w:type="dxa"/>
            <w:shd w:val="clear" w:color="auto" w:fill="auto"/>
            <w:vAlign w:val="center"/>
          </w:tcPr>
          <w:p w14:paraId="35F53B3A">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《机械制造企业安全 </w:t>
            </w:r>
          </w:p>
          <w:p w14:paraId="51384C58">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生产标准化规范》 </w:t>
            </w:r>
          </w:p>
          <w:p w14:paraId="63A53C6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（AQ/T7009-2013） </w:t>
            </w:r>
          </w:p>
          <w:p w14:paraId="42F4850F">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4.2.9.7 条</w:t>
            </w:r>
          </w:p>
        </w:tc>
        <w:tc>
          <w:tcPr>
            <w:tcW w:w="2070" w:type="dxa"/>
            <w:shd w:val="clear" w:color="auto" w:fill="auto"/>
            <w:vAlign w:val="center"/>
          </w:tcPr>
          <w:p w14:paraId="084696A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本项目使用的手持电动工具，车间内均采用了带有漏电保护功能的开关备。</w:t>
            </w:r>
          </w:p>
        </w:tc>
        <w:tc>
          <w:tcPr>
            <w:tcW w:w="845" w:type="dxa"/>
            <w:shd w:val="clear" w:color="auto" w:fill="auto"/>
            <w:vAlign w:val="center"/>
          </w:tcPr>
          <w:p w14:paraId="1580F16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F054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55B5610A">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3D8FBE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运转小车应定位准确、夹持牢固；料架（箱、斗）应结构合理、牢固，放置应平稳。</w:t>
            </w:r>
          </w:p>
        </w:tc>
        <w:tc>
          <w:tcPr>
            <w:tcW w:w="2140" w:type="dxa"/>
            <w:shd w:val="clear" w:color="auto" w:fill="auto"/>
            <w:vAlign w:val="center"/>
          </w:tcPr>
          <w:p w14:paraId="5614472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《机械制造企业安全 </w:t>
            </w:r>
          </w:p>
          <w:p w14:paraId="7AB27132">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生产标准化规范》 </w:t>
            </w:r>
          </w:p>
          <w:p w14:paraId="2DBC889C">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（AQ/T7009-2013） </w:t>
            </w:r>
          </w:p>
          <w:p w14:paraId="3D87D635">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4.2.9.8 条</w:t>
            </w:r>
          </w:p>
        </w:tc>
        <w:tc>
          <w:tcPr>
            <w:tcW w:w="2070" w:type="dxa"/>
            <w:shd w:val="clear" w:color="auto" w:fill="auto"/>
            <w:vAlign w:val="center"/>
          </w:tcPr>
          <w:p w14:paraId="4385E2F6">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生产车间使用的转运物料板车定位准确、夹持牢固；各种配件放置平稳。</w:t>
            </w:r>
          </w:p>
        </w:tc>
        <w:tc>
          <w:tcPr>
            <w:tcW w:w="845" w:type="dxa"/>
            <w:shd w:val="clear" w:color="auto" w:fill="auto"/>
            <w:vAlign w:val="center"/>
          </w:tcPr>
          <w:p w14:paraId="2B83140F">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615E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09C56694">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7459D8AB">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对不易搬运的物料，应设置或采用便于吊运及搬运的装置或设施。</w:t>
            </w:r>
          </w:p>
        </w:tc>
        <w:tc>
          <w:tcPr>
            <w:tcW w:w="2140" w:type="dxa"/>
            <w:shd w:val="clear" w:color="auto" w:fill="auto"/>
            <w:vAlign w:val="center"/>
          </w:tcPr>
          <w:p w14:paraId="0ABF1970">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《生产过程安全卫生 </w:t>
            </w:r>
          </w:p>
          <w:p w14:paraId="350487CA">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要求总则》 </w:t>
            </w:r>
          </w:p>
          <w:p w14:paraId="00C7E367">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（GB/T 12801-2008） </w:t>
            </w:r>
          </w:p>
          <w:p w14:paraId="49ED27E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 5.5.2 条</w:t>
            </w:r>
          </w:p>
        </w:tc>
        <w:tc>
          <w:tcPr>
            <w:tcW w:w="2070" w:type="dxa"/>
            <w:shd w:val="clear" w:color="auto" w:fill="auto"/>
            <w:vAlign w:val="center"/>
          </w:tcPr>
          <w:p w14:paraId="2CEEBB61">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本项目大型配件的搬运均采用起重设备进行搬运。</w:t>
            </w:r>
          </w:p>
        </w:tc>
        <w:tc>
          <w:tcPr>
            <w:tcW w:w="845" w:type="dxa"/>
            <w:shd w:val="clear" w:color="auto" w:fill="auto"/>
            <w:vAlign w:val="center"/>
          </w:tcPr>
          <w:p w14:paraId="7854B29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54E0B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7C19FF4F">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3408AA2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lang w:val="en-US" w:eastAsia="zh-CN" w:bidi="ar"/>
              </w:rPr>
              <w:t>起重机械应装设切断起重机械总电源的电源开关。</w:t>
            </w:r>
          </w:p>
        </w:tc>
        <w:tc>
          <w:tcPr>
            <w:tcW w:w="2140" w:type="dxa"/>
            <w:shd w:val="clear" w:color="auto" w:fill="auto"/>
            <w:vAlign w:val="center"/>
          </w:tcPr>
          <w:p w14:paraId="1DC9BB5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《起重机械安全规程 </w:t>
            </w:r>
          </w:p>
          <w:p w14:paraId="29EEC1E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第 1 部分：总则》 </w:t>
            </w:r>
          </w:p>
          <w:p w14:paraId="48E2A7A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（GB/T6067.1-2010）</w:t>
            </w:r>
          </w:p>
          <w:p w14:paraId="4CDA831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lang w:val="en-US" w:eastAsia="zh-CN" w:bidi="ar"/>
              </w:rPr>
              <w:t>第 6.2.1 条</w:t>
            </w:r>
          </w:p>
        </w:tc>
        <w:tc>
          <w:tcPr>
            <w:tcW w:w="2070" w:type="dxa"/>
            <w:shd w:val="clear" w:color="auto" w:fill="auto"/>
            <w:vAlign w:val="center"/>
          </w:tcPr>
          <w:p w14:paraId="16AE25C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lang w:val="en-US" w:eastAsia="zh-CN" w:bidi="ar"/>
              </w:rPr>
              <w:t>本项目装设有切断起重机械总电源的电源开关。</w:t>
            </w:r>
          </w:p>
        </w:tc>
        <w:tc>
          <w:tcPr>
            <w:tcW w:w="845" w:type="dxa"/>
            <w:shd w:val="clear" w:color="auto" w:fill="auto"/>
            <w:vAlign w:val="center"/>
          </w:tcPr>
          <w:p w14:paraId="114F55F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45FB5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69D851B3">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0CF627A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每台起重机械应备有一个或多个可从操作控制站操作的紧急停止开关,当有紧急情况时，应能够停止所有运动的驱动机构。紧急停止开关动作时不应切断可能造成物品坠落的动力回路(如电磁盘、气动吸持装置)。紧急停止开关应为红色,并且不能自动复位。</w:t>
            </w:r>
          </w:p>
        </w:tc>
        <w:tc>
          <w:tcPr>
            <w:tcW w:w="2140" w:type="dxa"/>
            <w:shd w:val="clear" w:color="auto" w:fill="auto"/>
            <w:vAlign w:val="center"/>
          </w:tcPr>
          <w:p w14:paraId="2403E10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《起重机械安全规程 </w:t>
            </w:r>
          </w:p>
          <w:p w14:paraId="456F64A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第 1 部分：总则》 </w:t>
            </w:r>
          </w:p>
          <w:p w14:paraId="01C9572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（GB/T6067.1-2010） </w:t>
            </w:r>
          </w:p>
          <w:p w14:paraId="742DD78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6.2.4 条</w:t>
            </w:r>
          </w:p>
        </w:tc>
        <w:tc>
          <w:tcPr>
            <w:tcW w:w="2070" w:type="dxa"/>
            <w:shd w:val="clear" w:color="auto" w:fill="auto"/>
            <w:vAlign w:val="center"/>
          </w:tcPr>
          <w:p w14:paraId="6289EFF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起重机械装配有紧急停止开关。</w:t>
            </w:r>
          </w:p>
          <w:p w14:paraId="03BF7D1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p>
        </w:tc>
        <w:tc>
          <w:tcPr>
            <w:tcW w:w="845" w:type="dxa"/>
            <w:shd w:val="clear" w:color="auto" w:fill="auto"/>
            <w:vAlign w:val="center"/>
          </w:tcPr>
          <w:p w14:paraId="36671A52">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51CC4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7E9208C1">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5CB706F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控制与操作系统的设计和布置应能避免发生误操作的可能性，保证在正常使用中起重机械能安全可靠地运转。</w:t>
            </w:r>
          </w:p>
        </w:tc>
        <w:tc>
          <w:tcPr>
            <w:tcW w:w="2140" w:type="dxa"/>
            <w:shd w:val="clear" w:color="auto" w:fill="auto"/>
            <w:vAlign w:val="center"/>
          </w:tcPr>
          <w:p w14:paraId="4778756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《起重机械安全规程 </w:t>
            </w:r>
          </w:p>
          <w:p w14:paraId="2AE4507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第 1 部分：总则》 </w:t>
            </w:r>
          </w:p>
          <w:p w14:paraId="35946D5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（GB/T6067.1-2010） </w:t>
            </w:r>
          </w:p>
          <w:p w14:paraId="4ED1061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7.2 条</w:t>
            </w:r>
          </w:p>
        </w:tc>
        <w:tc>
          <w:tcPr>
            <w:tcW w:w="2070" w:type="dxa"/>
            <w:shd w:val="clear" w:color="auto" w:fill="auto"/>
            <w:vAlign w:val="center"/>
          </w:tcPr>
          <w:p w14:paraId="48DA051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本项目起重机械控制均为地面控制，能保证在正常使用中安全可靠地运转。</w:t>
            </w:r>
          </w:p>
        </w:tc>
        <w:tc>
          <w:tcPr>
            <w:tcW w:w="845" w:type="dxa"/>
            <w:shd w:val="clear" w:color="auto" w:fill="auto"/>
            <w:vAlign w:val="center"/>
          </w:tcPr>
          <w:p w14:paraId="716B81D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364B6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14453AC5">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66F924C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起重机械的安全防护装置应符合GB6067.1-2010中第9章的有关规定。</w:t>
            </w:r>
          </w:p>
        </w:tc>
        <w:tc>
          <w:tcPr>
            <w:tcW w:w="2140" w:type="dxa"/>
            <w:shd w:val="clear" w:color="auto" w:fill="auto"/>
            <w:vAlign w:val="center"/>
          </w:tcPr>
          <w:p w14:paraId="31C6513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《起重机械安全规程 </w:t>
            </w:r>
          </w:p>
          <w:p w14:paraId="3A3D5C2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第 5 部分：桥式和门 </w:t>
            </w:r>
          </w:p>
          <w:p w14:paraId="4117B9C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式起重机》 </w:t>
            </w:r>
          </w:p>
          <w:p w14:paraId="4BD620C8">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（GB/T6067.5-2014） </w:t>
            </w:r>
          </w:p>
          <w:p w14:paraId="6E33643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9.1 条</w:t>
            </w:r>
          </w:p>
        </w:tc>
        <w:tc>
          <w:tcPr>
            <w:tcW w:w="2070" w:type="dxa"/>
            <w:shd w:val="clear" w:color="auto" w:fill="auto"/>
            <w:vAlign w:val="center"/>
          </w:tcPr>
          <w:p w14:paraId="4ECDAAF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本项目起重设备均按要求设置了起重量限制器、起升高度限位器、运行行程限位器、超速保护装置、缓冲器、端部止挡、作业报警装置、防碰撞装置等。</w:t>
            </w:r>
          </w:p>
        </w:tc>
        <w:tc>
          <w:tcPr>
            <w:tcW w:w="845" w:type="dxa"/>
            <w:shd w:val="clear" w:color="auto" w:fill="auto"/>
            <w:vAlign w:val="center"/>
          </w:tcPr>
          <w:p w14:paraId="5E0593BF">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25E70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2828685B">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9EDE00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起重机的安装、改造、维修（以下简称施工）单位必须取得相应的特种设备安装改造维修许可，在许可的范围内进行施工，并且对施工安全和施工质量负责。</w:t>
            </w:r>
          </w:p>
        </w:tc>
        <w:tc>
          <w:tcPr>
            <w:tcW w:w="2140" w:type="dxa"/>
            <w:shd w:val="clear" w:color="auto" w:fill="auto"/>
            <w:vAlign w:val="center"/>
          </w:tcPr>
          <w:p w14:paraId="216A827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《起重机械安全技术监察规程-桥式起重机》（TSGQ0002-2008） </w:t>
            </w:r>
          </w:p>
          <w:p w14:paraId="3024A4A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12 条</w:t>
            </w:r>
          </w:p>
        </w:tc>
        <w:tc>
          <w:tcPr>
            <w:tcW w:w="2070" w:type="dxa"/>
            <w:shd w:val="clear" w:color="auto" w:fill="auto"/>
            <w:vAlign w:val="center"/>
          </w:tcPr>
          <w:p w14:paraId="51660F9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本项目使用的起重机械的安装、维修均由有资质的单位进行施工作业。</w:t>
            </w:r>
          </w:p>
        </w:tc>
        <w:tc>
          <w:tcPr>
            <w:tcW w:w="845" w:type="dxa"/>
            <w:shd w:val="clear" w:color="auto" w:fill="auto"/>
            <w:vAlign w:val="center"/>
          </w:tcPr>
          <w:p w14:paraId="606A21E8">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254FA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4748DBB9">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2AE0CC4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起重机均必须设置起重量限制器，当载荷超过规定的设定值时应当能自动切断起升动力源。</w:t>
            </w:r>
          </w:p>
        </w:tc>
        <w:tc>
          <w:tcPr>
            <w:tcW w:w="2140" w:type="dxa"/>
            <w:shd w:val="clear" w:color="auto" w:fill="auto"/>
            <w:vAlign w:val="center"/>
          </w:tcPr>
          <w:p w14:paraId="369E12B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《起重机械安全技术 </w:t>
            </w:r>
          </w:p>
          <w:p w14:paraId="5CC86F7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监察规程-桥式起重 </w:t>
            </w:r>
          </w:p>
          <w:p w14:paraId="465633C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机》（TSGQ0002-2008） </w:t>
            </w:r>
          </w:p>
          <w:p w14:paraId="69EE6FD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69 条</w:t>
            </w:r>
          </w:p>
        </w:tc>
        <w:tc>
          <w:tcPr>
            <w:tcW w:w="2070" w:type="dxa"/>
            <w:shd w:val="clear" w:color="auto" w:fill="auto"/>
            <w:vAlign w:val="center"/>
          </w:tcPr>
          <w:p w14:paraId="1883609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本项目起重设备均设置有起重量限制器。</w:t>
            </w:r>
          </w:p>
        </w:tc>
        <w:tc>
          <w:tcPr>
            <w:tcW w:w="845" w:type="dxa"/>
            <w:shd w:val="clear" w:color="auto" w:fill="auto"/>
            <w:vAlign w:val="center"/>
          </w:tcPr>
          <w:p w14:paraId="42148A88">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67305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11A9FBCA">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7C3507A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在用起重机械定期检验周期如下: (1)塔式起重机、升降机、流动式起重机，每年1次； </w:t>
            </w:r>
          </w:p>
          <w:p w14:paraId="03D975E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(2)桥式起重机、门式起重机、门座式起重机、缆索式起重机、桅杆式起重机、机械式停车设备，每2年1次，其中涉及吊运熔融金属的起重机，每年1次。</w:t>
            </w:r>
          </w:p>
        </w:tc>
        <w:tc>
          <w:tcPr>
            <w:tcW w:w="2140" w:type="dxa"/>
            <w:shd w:val="clear" w:color="auto" w:fill="auto"/>
            <w:vAlign w:val="center"/>
          </w:tcPr>
          <w:p w14:paraId="09E0017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《起重机械定期检验 </w:t>
            </w:r>
          </w:p>
          <w:p w14:paraId="1CB5469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规则》 </w:t>
            </w:r>
          </w:p>
          <w:p w14:paraId="2DD19A0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（TSGQ7015-2016） </w:t>
            </w:r>
          </w:p>
          <w:p w14:paraId="08E3150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第 4 条</w:t>
            </w:r>
          </w:p>
        </w:tc>
        <w:tc>
          <w:tcPr>
            <w:tcW w:w="2070" w:type="dxa"/>
            <w:shd w:val="clear" w:color="auto" w:fill="auto"/>
            <w:vAlign w:val="center"/>
          </w:tcPr>
          <w:p w14:paraId="53C40D8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本项目内使用的起重机械为桥式起重机，检验周期为每2年1次。</w:t>
            </w:r>
          </w:p>
        </w:tc>
        <w:tc>
          <w:tcPr>
            <w:tcW w:w="845" w:type="dxa"/>
            <w:shd w:val="clear" w:color="auto" w:fill="auto"/>
            <w:vAlign w:val="center"/>
          </w:tcPr>
          <w:p w14:paraId="4642571F">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符合</w:t>
            </w:r>
          </w:p>
        </w:tc>
      </w:tr>
      <w:tr w14:paraId="4D41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22CC795F">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bookmarkStart w:id="641" w:name="_Toc23106"/>
          </w:p>
        </w:tc>
        <w:tc>
          <w:tcPr>
            <w:tcW w:w="3235" w:type="dxa"/>
            <w:shd w:val="clear" w:color="auto" w:fill="auto"/>
            <w:vAlign w:val="center"/>
          </w:tcPr>
          <w:p w14:paraId="5495F145">
            <w:pPr>
              <w:kinsoku w:val="0"/>
              <w:overflowPunct w:val="0"/>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厂房内设有梁式起重机或桥式起重机时，起重机桥架外缘与上柱内缘的净距不应小于100mm；其轨顶至屋架下弦或屋面梁底面之间的净空尺寸，应符合下列规定：1应满足起重机的最小轮廓尺寸及起重机的限界尺寸和安全间隙的要求；2应满足起重机检修的空间要求；3应满足当厂房基础埋置在软弱土、湿陷性黄土、膨胀土地基上及因厂房的地面堆载使相邻柱出现沉降差时的要求；4应满足当屋架或屋面梁底面悬挂带坡度的横向管道或屋架下弦直接安装照明灯具时的要求</w:t>
            </w:r>
          </w:p>
        </w:tc>
        <w:tc>
          <w:tcPr>
            <w:tcW w:w="2140" w:type="dxa"/>
            <w:shd w:val="clear" w:color="auto" w:fill="auto"/>
            <w:vAlign w:val="center"/>
          </w:tcPr>
          <w:p w14:paraId="30BC4C90">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《机械工业厂房建筑设计规范》（GB50681-2011）第3.0.4条</w:t>
            </w:r>
          </w:p>
        </w:tc>
        <w:tc>
          <w:tcPr>
            <w:tcW w:w="2070" w:type="dxa"/>
            <w:shd w:val="clear" w:color="auto" w:fill="auto"/>
            <w:vAlign w:val="center"/>
          </w:tcPr>
          <w:p w14:paraId="74A31327">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本项目厂房内设有桥式起重机，起重机的设置满足使用、检维修要求。</w:t>
            </w:r>
          </w:p>
        </w:tc>
        <w:tc>
          <w:tcPr>
            <w:tcW w:w="845" w:type="dxa"/>
            <w:shd w:val="clear" w:color="auto" w:fill="auto"/>
            <w:vAlign w:val="center"/>
          </w:tcPr>
          <w:p w14:paraId="6B861BDB">
            <w:pPr>
              <w:jc w:val="center"/>
              <w:rPr>
                <w:rFonts w:hint="eastAsia" w:ascii="宋体" w:hAnsi="Times New Roman" w:eastAsia="宋体" w:cs="Times New Roman"/>
                <w:sz w:val="21"/>
                <w:szCs w:val="21"/>
                <w:lang w:val="en-US" w:eastAsia="zh-CN" w:bidi="ar-SA"/>
              </w:rPr>
            </w:pPr>
            <w:r>
              <w:rPr>
                <w:rFonts w:hint="eastAsia" w:hAnsi="宋体" w:cs="宋体"/>
                <w:color w:val="000000"/>
                <w:sz w:val="21"/>
                <w:szCs w:val="21"/>
                <w:lang w:bidi="ar"/>
              </w:rPr>
              <w:t>符合</w:t>
            </w:r>
          </w:p>
        </w:tc>
      </w:tr>
      <w:tr w14:paraId="0333E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vAlign w:val="center"/>
          </w:tcPr>
          <w:p w14:paraId="3BF45E42">
            <w:pPr>
              <w:numPr>
                <w:ilvl w:val="0"/>
                <w:numId w:val="6"/>
              </w:numPr>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235" w:type="dxa"/>
            <w:shd w:val="clear" w:color="auto" w:fill="auto"/>
            <w:vAlign w:val="center"/>
          </w:tcPr>
          <w:p w14:paraId="19826CC3">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钢结构厂房，起重机梁宜采用钢结构。</w:t>
            </w:r>
          </w:p>
        </w:tc>
        <w:tc>
          <w:tcPr>
            <w:tcW w:w="2140" w:type="dxa"/>
            <w:shd w:val="clear" w:color="auto" w:fill="auto"/>
            <w:vAlign w:val="center"/>
          </w:tcPr>
          <w:p w14:paraId="74DE5192">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《机械工业厂房结构设计规范》（GB50906-2013）第9.4.5条</w:t>
            </w:r>
          </w:p>
        </w:tc>
        <w:tc>
          <w:tcPr>
            <w:tcW w:w="2070" w:type="dxa"/>
            <w:shd w:val="clear" w:color="auto" w:fill="auto"/>
            <w:vAlign w:val="center"/>
          </w:tcPr>
          <w:p w14:paraId="4DC0602E">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本项目厂房为钢结构厂房，起重机梁为钢结构。</w:t>
            </w:r>
          </w:p>
        </w:tc>
        <w:tc>
          <w:tcPr>
            <w:tcW w:w="845" w:type="dxa"/>
            <w:shd w:val="clear" w:color="auto" w:fill="auto"/>
            <w:vAlign w:val="center"/>
          </w:tcPr>
          <w:p w14:paraId="7140017B">
            <w:pPr>
              <w:jc w:val="center"/>
              <w:rPr>
                <w:rFonts w:hint="eastAsia" w:ascii="宋体" w:hAnsi="Times New Roman" w:eastAsia="宋体" w:cs="Times New Roman"/>
                <w:sz w:val="21"/>
                <w:szCs w:val="21"/>
                <w:lang w:val="en-US" w:eastAsia="zh-CN" w:bidi="ar-SA"/>
              </w:rPr>
            </w:pPr>
            <w:r>
              <w:rPr>
                <w:rFonts w:hint="eastAsia" w:hAnsi="宋体" w:cs="宋体"/>
                <w:color w:val="000000"/>
                <w:sz w:val="21"/>
                <w:szCs w:val="21"/>
                <w:lang w:bidi="ar"/>
              </w:rPr>
              <w:t>符合</w:t>
            </w:r>
          </w:p>
        </w:tc>
      </w:tr>
    </w:tbl>
    <w:p w14:paraId="37F82ADB">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642" w:name="_Toc105"/>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5.2.2作业条件危险性分析</w:t>
      </w:r>
      <w:bookmarkEnd w:id="640"/>
      <w:bookmarkEnd w:id="641"/>
      <w:bookmarkEnd w:id="642"/>
    </w:p>
    <w:p w14:paraId="66BE9BE3">
      <w:pPr>
        <w:adjustRightInd w:val="0"/>
        <w:snapToGrid w:val="0"/>
        <w:spacing w:line="500" w:lineRule="exact"/>
        <w:ind w:firstLine="561"/>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该项目主要生产工艺过程为</w:t>
      </w:r>
      <w:r>
        <w:rPr>
          <w:rFonts w:hint="eastAsia" w:ascii="宋体" w:hAnsi="宋体" w:eastAsia="宋体" w:cs="宋体"/>
          <w:color w:val="000000" w:themeColor="text1"/>
          <w:sz w:val="28"/>
          <w:szCs w:val="28"/>
          <w:lang w:val="en-US" w:eastAsia="zh-CN"/>
          <w14:textFill>
            <w14:solidFill>
              <w14:schemeClr w14:val="tx1"/>
            </w14:solidFill>
          </w14:textFill>
        </w:rPr>
        <w:t>数控机床的加工、组装</w:t>
      </w:r>
      <w:r>
        <w:rPr>
          <w:rFonts w:hint="eastAsia" w:ascii="宋体" w:hAnsi="宋体" w:eastAsia="宋体" w:cs="宋体"/>
          <w:color w:val="000000" w:themeColor="text1"/>
          <w:sz w:val="28"/>
          <w:szCs w:val="28"/>
          <w14:textFill>
            <w14:solidFill>
              <w14:schemeClr w14:val="tx1"/>
            </w14:solidFill>
          </w14:textFill>
        </w:rPr>
        <w:t>，根据各生产工艺在生产过程中的操作条件及作业人员进入危险环境的频次，下面分别对各生产工艺涉及的各参数进行取值计算。</w:t>
      </w:r>
    </w:p>
    <w:p w14:paraId="3B95A463">
      <w:pPr>
        <w:adjustRightInd w:val="0"/>
        <w:snapToGrid w:val="0"/>
        <w:spacing w:line="500" w:lineRule="exact"/>
        <w:ind w:firstLine="561"/>
        <w:contextualSpacing/>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以机械伤害为例，可知生产过程中有危险事件发生可能性L是有可能发生，因此L值取3，但操作人员会暴露在危险环境中，因此E值取</w:t>
      </w:r>
      <w:r>
        <w:rPr>
          <w:rFonts w:hint="eastAsia" w:hAnsi="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，根据该作业环境中产生的危害对人体的可能伤害程度，危险严重度C值取</w:t>
      </w:r>
      <w:r>
        <w:rPr>
          <w:rFonts w:hint="eastAsia" w:hAnsi="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。按照以上取值计算：</w:t>
      </w:r>
    </w:p>
    <w:p w14:paraId="6AB7DE38">
      <w:pPr>
        <w:adjustRightInd w:val="0"/>
        <w:snapToGrid w:val="0"/>
        <w:spacing w:line="500" w:lineRule="exact"/>
        <w:ind w:firstLine="561"/>
        <w:contextualSpacing/>
        <w:jc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危险性（D）= L×E×C</w:t>
      </w:r>
    </w:p>
    <w:p w14:paraId="7B076254">
      <w:pPr>
        <w:adjustRightInd w:val="0"/>
        <w:snapToGrid w:val="0"/>
        <w:spacing w:line="500" w:lineRule="exact"/>
        <w:ind w:firstLine="561"/>
        <w:contextualSpacing/>
        <w:jc w:val="center"/>
        <w:rPr>
          <w:rFonts w:hint="eastAsia"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xml:space="preserve">           =</w:t>
      </w:r>
      <w:r>
        <w:rPr>
          <w:rFonts w:hint="eastAsia" w:ascii="宋体" w:hAnsi="宋体" w:eastAsia="宋体" w:cs="宋体"/>
          <w:color w:val="000000" w:themeColor="text1"/>
          <w:kern w:val="0"/>
          <w:sz w:val="28"/>
          <w:szCs w:val="28"/>
          <w:lang w:val="en-US" w:eastAsia="zh-CN"/>
          <w14:textFill>
            <w14:solidFill>
              <w14:schemeClr w14:val="tx1"/>
            </w14:solidFill>
          </w14:textFill>
        </w:rPr>
        <w:t>3</w:t>
      </w:r>
      <w:r>
        <w:rPr>
          <w:rFonts w:hint="eastAsia" w:ascii="宋体" w:hAnsi="宋体" w:eastAsia="宋体" w:cs="宋体"/>
          <w:color w:val="000000" w:themeColor="text1"/>
          <w:kern w:val="0"/>
          <w:sz w:val="28"/>
          <w:szCs w:val="28"/>
          <w14:textFill>
            <w14:solidFill>
              <w14:schemeClr w14:val="tx1"/>
            </w14:solidFill>
          </w14:textFill>
        </w:rPr>
        <w:t>×</w:t>
      </w:r>
      <w:r>
        <w:rPr>
          <w:rFonts w:hint="eastAsia" w:hAnsi="宋体" w:cs="宋体"/>
          <w:color w:val="000000" w:themeColor="text1"/>
          <w:kern w:val="0"/>
          <w:sz w:val="28"/>
          <w:szCs w:val="28"/>
          <w:lang w:val="en-US" w:eastAsia="zh-CN"/>
          <w14:textFill>
            <w14:solidFill>
              <w14:schemeClr w14:val="tx1"/>
            </w14:solidFill>
          </w14:textFill>
        </w:rPr>
        <w:t>3</w:t>
      </w:r>
      <w:r>
        <w:rPr>
          <w:rFonts w:hint="eastAsia" w:ascii="宋体" w:hAnsi="宋体" w:eastAsia="宋体" w:cs="宋体"/>
          <w:color w:val="000000" w:themeColor="text1"/>
          <w:kern w:val="0"/>
          <w:sz w:val="28"/>
          <w:szCs w:val="28"/>
          <w14:textFill>
            <w14:solidFill>
              <w14:schemeClr w14:val="tx1"/>
            </w14:solidFill>
          </w14:textFill>
        </w:rPr>
        <w:t>×</w:t>
      </w:r>
      <w:r>
        <w:rPr>
          <w:rFonts w:hint="eastAsia" w:hAnsi="宋体" w:cs="宋体"/>
          <w:color w:val="000000" w:themeColor="text1"/>
          <w:kern w:val="0"/>
          <w:sz w:val="28"/>
          <w:szCs w:val="28"/>
          <w:lang w:val="en-US" w:eastAsia="zh-CN"/>
          <w14:textFill>
            <w14:solidFill>
              <w14:schemeClr w14:val="tx1"/>
            </w14:solidFill>
          </w14:textFill>
        </w:rPr>
        <w:t>7</w:t>
      </w:r>
    </w:p>
    <w:p w14:paraId="5C0A699D">
      <w:pPr>
        <w:adjustRightInd w:val="0"/>
        <w:snapToGrid w:val="0"/>
        <w:spacing w:line="500" w:lineRule="exact"/>
        <w:ind w:firstLine="561"/>
        <w:contextualSpacing/>
        <w:jc w:val="center"/>
        <w:rPr>
          <w:rFonts w:hint="default"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xml:space="preserve">      =</w:t>
      </w:r>
      <w:r>
        <w:rPr>
          <w:rFonts w:hint="eastAsia" w:hAnsi="宋体" w:cs="宋体"/>
          <w:color w:val="000000" w:themeColor="text1"/>
          <w:kern w:val="0"/>
          <w:sz w:val="28"/>
          <w:szCs w:val="28"/>
          <w:lang w:val="en-US" w:eastAsia="zh-CN"/>
          <w14:textFill>
            <w14:solidFill>
              <w14:schemeClr w14:val="tx1"/>
            </w14:solidFill>
          </w14:textFill>
        </w:rPr>
        <w:t>63</w:t>
      </w:r>
    </w:p>
    <w:p w14:paraId="0B3BD0F8">
      <w:pPr>
        <w:adjustRightInd w:val="0"/>
        <w:snapToGrid w:val="0"/>
        <w:spacing w:line="500" w:lineRule="exact"/>
        <w:ind w:firstLine="561"/>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对照危险性程度分级的分数值可以得出生产过程中的危险性程度为可能危险。按照以上方法取值，并计算D值，列入表5-</w:t>
      </w: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w:t>
      </w:r>
    </w:p>
    <w:p w14:paraId="10374BD2">
      <w:pPr>
        <w:adjustRightInd w:val="0"/>
        <w:snapToGrid w:val="0"/>
        <w:spacing w:line="500" w:lineRule="exact"/>
        <w:ind w:firstLine="561"/>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根据生产过程中的操作条件及作业人员进入危险环境的频次，下面分别对各参数进行取值计算，其结果列入下表。</w:t>
      </w:r>
    </w:p>
    <w:p w14:paraId="17EE4126">
      <w:pPr>
        <w:adjustRightInd w:val="0"/>
        <w:snapToGrid w:val="0"/>
        <w:spacing w:line="500" w:lineRule="exact"/>
        <w:contextualSpacing/>
        <w:jc w:val="center"/>
        <w:rPr>
          <w:rFonts w:hint="eastAsia" w:ascii="宋体" w:hAnsi="宋体" w:eastAsia="宋体" w:cs="宋体"/>
          <w:bCs/>
          <w:color w:val="000000" w:themeColor="text1"/>
          <w:sz w:val="24"/>
          <w14:textFill>
            <w14:solidFill>
              <w14:schemeClr w14:val="tx1"/>
            </w14:solidFill>
          </w14:textFill>
        </w:rPr>
      </w:pPr>
      <w:r>
        <w:rPr>
          <w:rFonts w:hint="eastAsia" w:ascii="宋体" w:hAnsi="宋体" w:eastAsia="宋体" w:cs="宋体"/>
          <w:bCs/>
          <w:color w:val="000000" w:themeColor="text1"/>
          <w:sz w:val="24"/>
          <w14:textFill>
            <w14:solidFill>
              <w14:schemeClr w14:val="tx1"/>
            </w14:solidFill>
          </w14:textFill>
        </w:rPr>
        <w:t>表5-</w:t>
      </w:r>
      <w:r>
        <w:rPr>
          <w:rFonts w:hint="eastAsia" w:ascii="宋体" w:hAnsi="宋体" w:eastAsia="宋体" w:cs="宋体"/>
          <w:bCs/>
          <w:color w:val="000000" w:themeColor="text1"/>
          <w:sz w:val="24"/>
          <w:lang w:val="en-US" w:eastAsia="zh-CN"/>
          <w14:textFill>
            <w14:solidFill>
              <w14:schemeClr w14:val="tx1"/>
            </w14:solidFill>
          </w14:textFill>
        </w:rPr>
        <w:t>3</w:t>
      </w:r>
      <w:r>
        <w:rPr>
          <w:rFonts w:hint="eastAsia" w:ascii="宋体" w:hAnsi="宋体" w:eastAsia="宋体" w:cs="宋体"/>
          <w:bCs/>
          <w:color w:val="000000" w:themeColor="text1"/>
          <w:sz w:val="24"/>
          <w14:textFill>
            <w14:solidFill>
              <w14:schemeClr w14:val="tx1"/>
            </w14:solidFill>
          </w14:textFill>
        </w:rPr>
        <w:t xml:space="preserve"> 评价结果表</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7"/>
        <w:gridCol w:w="900"/>
        <w:gridCol w:w="917"/>
        <w:gridCol w:w="1105"/>
        <w:gridCol w:w="1215"/>
        <w:gridCol w:w="2167"/>
      </w:tblGrid>
      <w:tr w14:paraId="788B8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28" w:type="pct"/>
            <w:vMerge w:val="restart"/>
            <w:tcBorders>
              <w:top w:val="single" w:color="auto" w:sz="4" w:space="0"/>
              <w:left w:val="single" w:color="auto" w:sz="4" w:space="0"/>
              <w:right w:val="single" w:color="auto" w:sz="4" w:space="0"/>
            </w:tcBorders>
            <w:vAlign w:val="center"/>
          </w:tcPr>
          <w:p w14:paraId="1E0E1605">
            <w:pPr>
              <w:jc w:val="center"/>
              <w:rPr>
                <w:rFonts w:hint="eastAsia" w:hAnsi="宋体"/>
                <w:b/>
                <w:bCs/>
              </w:rPr>
            </w:pPr>
            <w:r>
              <w:rPr>
                <w:rFonts w:hint="eastAsia" w:hAnsi="宋体"/>
                <w:b/>
                <w:bCs/>
              </w:rPr>
              <w:t>危险因素</w:t>
            </w:r>
          </w:p>
        </w:tc>
        <w:tc>
          <w:tcPr>
            <w:tcW w:w="1774" w:type="pct"/>
            <w:gridSpan w:val="4"/>
            <w:tcBorders>
              <w:top w:val="single" w:color="auto" w:sz="4" w:space="0"/>
              <w:left w:val="single" w:color="auto" w:sz="4" w:space="0"/>
              <w:right w:val="single" w:color="auto" w:sz="4" w:space="0"/>
            </w:tcBorders>
            <w:vAlign w:val="center"/>
          </w:tcPr>
          <w:p w14:paraId="374477B5">
            <w:pPr>
              <w:jc w:val="center"/>
              <w:rPr>
                <w:rFonts w:hint="eastAsia" w:hAnsi="宋体"/>
                <w:b/>
                <w:bCs/>
              </w:rPr>
            </w:pPr>
            <w:r>
              <w:rPr>
                <w:rFonts w:hint="eastAsia" w:hAnsi="宋体"/>
                <w:b/>
                <w:bCs/>
              </w:rPr>
              <w:t>风险值D=L·E·C</w:t>
            </w:r>
          </w:p>
        </w:tc>
        <w:tc>
          <w:tcPr>
            <w:tcW w:w="929" w:type="pct"/>
            <w:vMerge w:val="restart"/>
            <w:tcBorders>
              <w:top w:val="single" w:color="auto" w:sz="4" w:space="0"/>
              <w:left w:val="single" w:color="auto" w:sz="4" w:space="0"/>
              <w:right w:val="single" w:color="auto" w:sz="4" w:space="0"/>
            </w:tcBorders>
            <w:vAlign w:val="center"/>
          </w:tcPr>
          <w:p w14:paraId="3380DE43">
            <w:pPr>
              <w:jc w:val="center"/>
              <w:rPr>
                <w:rFonts w:hint="eastAsia" w:hAnsi="宋体"/>
                <w:b/>
                <w:bCs/>
              </w:rPr>
            </w:pPr>
            <w:r>
              <w:rPr>
                <w:rFonts w:hint="eastAsia" w:hAnsi="宋体"/>
                <w:b/>
                <w:bCs/>
              </w:rPr>
              <w:t>危险程度</w:t>
            </w:r>
          </w:p>
        </w:tc>
      </w:tr>
      <w:tr w14:paraId="07777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28" w:type="pct"/>
            <w:vMerge w:val="continue"/>
            <w:tcBorders>
              <w:left w:val="single" w:color="auto" w:sz="4" w:space="0"/>
              <w:right w:val="single" w:color="auto" w:sz="4" w:space="0"/>
            </w:tcBorders>
            <w:vAlign w:val="center"/>
          </w:tcPr>
          <w:p w14:paraId="6888EF08">
            <w:pPr>
              <w:widowControl/>
              <w:jc w:val="center"/>
              <w:rPr>
                <w:rFonts w:hint="eastAsia" w:hAnsi="宋体"/>
                <w:b/>
                <w:bCs/>
              </w:rPr>
            </w:pPr>
          </w:p>
        </w:tc>
        <w:tc>
          <w:tcPr>
            <w:tcW w:w="386" w:type="pct"/>
            <w:tcBorders>
              <w:top w:val="single" w:color="auto" w:sz="4" w:space="0"/>
              <w:left w:val="single" w:color="auto" w:sz="4" w:space="0"/>
              <w:bottom w:val="single" w:color="auto" w:sz="4" w:space="0"/>
              <w:right w:val="single" w:color="auto" w:sz="4" w:space="0"/>
            </w:tcBorders>
            <w:vAlign w:val="center"/>
          </w:tcPr>
          <w:p w14:paraId="1FBEC576">
            <w:pPr>
              <w:widowControl/>
              <w:jc w:val="center"/>
              <w:rPr>
                <w:rFonts w:hint="eastAsia" w:hAnsi="宋体"/>
                <w:b/>
                <w:bCs/>
              </w:rPr>
            </w:pPr>
            <w:r>
              <w:rPr>
                <w:rFonts w:hAnsi="宋体"/>
                <w:b/>
                <w:bCs/>
              </w:rPr>
              <w:t>L</w:t>
            </w:r>
          </w:p>
        </w:tc>
        <w:tc>
          <w:tcPr>
            <w:tcW w:w="393" w:type="pct"/>
            <w:tcBorders>
              <w:top w:val="single" w:color="auto" w:sz="4" w:space="0"/>
              <w:left w:val="single" w:color="auto" w:sz="4" w:space="0"/>
              <w:bottom w:val="single" w:color="auto" w:sz="4" w:space="0"/>
              <w:right w:val="single" w:color="auto" w:sz="4" w:space="0"/>
            </w:tcBorders>
            <w:vAlign w:val="center"/>
          </w:tcPr>
          <w:p w14:paraId="294495EE">
            <w:pPr>
              <w:widowControl/>
              <w:jc w:val="center"/>
              <w:rPr>
                <w:rFonts w:hint="eastAsia" w:hAnsi="宋体"/>
                <w:b/>
                <w:bCs/>
              </w:rPr>
            </w:pPr>
            <w:r>
              <w:rPr>
                <w:rFonts w:hAnsi="宋体"/>
                <w:b/>
                <w:bCs/>
              </w:rPr>
              <w:t>E</w:t>
            </w:r>
          </w:p>
        </w:tc>
        <w:tc>
          <w:tcPr>
            <w:tcW w:w="474" w:type="pct"/>
            <w:tcBorders>
              <w:top w:val="single" w:color="auto" w:sz="4" w:space="0"/>
              <w:left w:val="single" w:color="auto" w:sz="4" w:space="0"/>
              <w:bottom w:val="single" w:color="auto" w:sz="4" w:space="0"/>
              <w:right w:val="single" w:color="auto" w:sz="4" w:space="0"/>
            </w:tcBorders>
            <w:vAlign w:val="center"/>
          </w:tcPr>
          <w:p w14:paraId="78790429">
            <w:pPr>
              <w:widowControl/>
              <w:jc w:val="center"/>
              <w:rPr>
                <w:rFonts w:hint="eastAsia" w:hAnsi="宋体"/>
                <w:b/>
                <w:bCs/>
              </w:rPr>
            </w:pPr>
            <w:r>
              <w:rPr>
                <w:rFonts w:hAnsi="宋体"/>
                <w:b/>
                <w:bCs/>
              </w:rPr>
              <w:t>C</w:t>
            </w:r>
          </w:p>
        </w:tc>
        <w:tc>
          <w:tcPr>
            <w:tcW w:w="520" w:type="pct"/>
            <w:tcBorders>
              <w:top w:val="single" w:color="auto" w:sz="4" w:space="0"/>
              <w:left w:val="single" w:color="auto" w:sz="4" w:space="0"/>
              <w:bottom w:val="single" w:color="auto" w:sz="4" w:space="0"/>
              <w:right w:val="single" w:color="auto" w:sz="4" w:space="0"/>
            </w:tcBorders>
            <w:vAlign w:val="center"/>
          </w:tcPr>
          <w:p w14:paraId="1EDF1E86">
            <w:pPr>
              <w:jc w:val="center"/>
              <w:rPr>
                <w:rFonts w:hint="eastAsia" w:hAnsi="宋体"/>
                <w:b/>
                <w:bCs/>
              </w:rPr>
            </w:pPr>
            <w:r>
              <w:rPr>
                <w:rFonts w:hAnsi="宋体"/>
                <w:b/>
                <w:bCs/>
              </w:rPr>
              <w:t>D</w:t>
            </w:r>
          </w:p>
        </w:tc>
        <w:tc>
          <w:tcPr>
            <w:tcW w:w="929" w:type="pct"/>
            <w:vMerge w:val="continue"/>
            <w:tcBorders>
              <w:left w:val="single" w:color="auto" w:sz="4" w:space="0"/>
              <w:bottom w:val="single" w:color="auto" w:sz="4" w:space="0"/>
              <w:right w:val="single" w:color="auto" w:sz="4" w:space="0"/>
            </w:tcBorders>
            <w:vAlign w:val="center"/>
          </w:tcPr>
          <w:p w14:paraId="3A6229F0">
            <w:pPr>
              <w:jc w:val="center"/>
              <w:rPr>
                <w:rFonts w:hint="eastAsia" w:hAnsi="宋体"/>
              </w:rPr>
            </w:pPr>
          </w:p>
        </w:tc>
      </w:tr>
      <w:tr w14:paraId="41902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vAlign w:val="center"/>
          </w:tcPr>
          <w:p w14:paraId="69ACCE39">
            <w:pPr>
              <w:jc w:val="center"/>
              <w:rPr>
                <w:rFonts w:hint="eastAsia" w:hAnsi="宋体" w:cs="宋体"/>
                <w:bCs/>
                <w:kern w:val="3"/>
                <w:sz w:val="21"/>
                <w:szCs w:val="21"/>
              </w:rPr>
            </w:pPr>
            <w:r>
              <w:rPr>
                <w:rFonts w:hint="eastAsia" w:hAnsi="宋体" w:cs="宋体"/>
                <w:sz w:val="21"/>
                <w:szCs w:val="21"/>
              </w:rPr>
              <w:t>火灾</w:t>
            </w:r>
          </w:p>
        </w:tc>
        <w:tc>
          <w:tcPr>
            <w:tcW w:w="386" w:type="pct"/>
            <w:tcBorders>
              <w:top w:val="single" w:color="auto" w:sz="4" w:space="0"/>
              <w:left w:val="single" w:color="auto" w:sz="4" w:space="0"/>
              <w:bottom w:val="single" w:color="auto" w:sz="4" w:space="0"/>
              <w:right w:val="single" w:color="auto" w:sz="4" w:space="0"/>
            </w:tcBorders>
            <w:shd w:val="clear" w:color="auto" w:fill="auto"/>
            <w:vAlign w:val="center"/>
          </w:tcPr>
          <w:p w14:paraId="5FC0E21A">
            <w:pPr>
              <w:jc w:val="center"/>
              <w:rPr>
                <w:rFonts w:hint="eastAsia" w:hAnsi="宋体"/>
              </w:rPr>
            </w:pPr>
            <w:r>
              <w:rPr>
                <w:rFonts w:hint="eastAsia" w:hAnsi="宋体"/>
              </w:rPr>
              <w:t>3</w:t>
            </w:r>
          </w:p>
        </w:tc>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14:paraId="4A281D04">
            <w:pPr>
              <w:jc w:val="center"/>
              <w:rPr>
                <w:rFonts w:hint="eastAsia" w:hAnsi="宋体"/>
              </w:rPr>
            </w:pPr>
            <w:r>
              <w:rPr>
                <w:rFonts w:hint="eastAsia" w:hAnsi="宋体"/>
              </w:rPr>
              <w:t>3</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263267CD">
            <w:pPr>
              <w:jc w:val="center"/>
              <w:rPr>
                <w:rFonts w:hint="eastAsia" w:hAnsi="宋体"/>
              </w:rPr>
            </w:pPr>
            <w:r>
              <w:rPr>
                <w:rFonts w:hint="eastAsia" w:hAnsi="宋体"/>
              </w:rPr>
              <w:t>7</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4D02C3FA">
            <w:pPr>
              <w:jc w:val="center"/>
              <w:rPr>
                <w:rFonts w:hint="eastAsia" w:hAnsi="宋体"/>
              </w:rPr>
            </w:pPr>
            <w:r>
              <w:rPr>
                <w:rFonts w:hint="eastAsia" w:hAnsi="宋体"/>
              </w:rPr>
              <w:t>63</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67153918">
            <w:pPr>
              <w:jc w:val="center"/>
              <w:rPr>
                <w:rFonts w:hint="eastAsia" w:hAnsi="宋体"/>
              </w:rPr>
            </w:pPr>
            <w:r>
              <w:rPr>
                <w:rFonts w:hint="eastAsia" w:hAnsi="宋体"/>
              </w:rPr>
              <w:t>一般危险</w:t>
            </w:r>
          </w:p>
        </w:tc>
      </w:tr>
      <w:tr w14:paraId="55F1E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vAlign w:val="center"/>
          </w:tcPr>
          <w:p w14:paraId="6542F347">
            <w:pPr>
              <w:jc w:val="center"/>
              <w:rPr>
                <w:rFonts w:hint="eastAsia" w:hAnsi="宋体" w:cs="宋体"/>
                <w:bCs/>
                <w:kern w:val="3"/>
                <w:sz w:val="21"/>
                <w:szCs w:val="21"/>
              </w:rPr>
            </w:pPr>
            <w:r>
              <w:rPr>
                <w:rFonts w:hint="eastAsia" w:hAnsi="宋体" w:cs="宋体"/>
                <w:bCs/>
                <w:kern w:val="3"/>
                <w:sz w:val="21"/>
                <w:szCs w:val="21"/>
              </w:rPr>
              <w:t>机械伤害</w:t>
            </w:r>
          </w:p>
        </w:tc>
        <w:tc>
          <w:tcPr>
            <w:tcW w:w="386" w:type="pct"/>
            <w:tcBorders>
              <w:top w:val="single" w:color="auto" w:sz="4" w:space="0"/>
              <w:left w:val="single" w:color="auto" w:sz="4" w:space="0"/>
              <w:bottom w:val="single" w:color="auto" w:sz="4" w:space="0"/>
              <w:right w:val="single" w:color="auto" w:sz="4" w:space="0"/>
            </w:tcBorders>
            <w:shd w:val="clear" w:color="auto" w:fill="auto"/>
            <w:vAlign w:val="center"/>
          </w:tcPr>
          <w:p w14:paraId="56A2F84F">
            <w:pPr>
              <w:jc w:val="center"/>
              <w:rPr>
                <w:rFonts w:hint="eastAsia" w:hAnsi="宋体"/>
              </w:rPr>
            </w:pPr>
            <w:r>
              <w:rPr>
                <w:rFonts w:hint="eastAsia" w:hAnsi="宋体"/>
              </w:rPr>
              <w:t>3</w:t>
            </w:r>
          </w:p>
        </w:tc>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14:paraId="261C2952">
            <w:pPr>
              <w:jc w:val="center"/>
              <w:rPr>
                <w:rFonts w:hint="eastAsia" w:hAnsi="宋体"/>
              </w:rPr>
            </w:pPr>
            <w:r>
              <w:rPr>
                <w:rFonts w:hint="eastAsia" w:hAnsi="宋体"/>
              </w:rPr>
              <w:t>3</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6DE1E575">
            <w:pPr>
              <w:jc w:val="center"/>
              <w:rPr>
                <w:rFonts w:hint="eastAsia" w:hAnsi="宋体"/>
              </w:rPr>
            </w:pPr>
            <w:r>
              <w:rPr>
                <w:rFonts w:hint="eastAsia" w:hAnsi="宋体"/>
              </w:rPr>
              <w:t>7</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6D04DD04">
            <w:pPr>
              <w:jc w:val="center"/>
              <w:rPr>
                <w:rFonts w:hint="eastAsia" w:hAnsi="宋体"/>
              </w:rPr>
            </w:pPr>
            <w:r>
              <w:rPr>
                <w:rFonts w:hint="eastAsia" w:hAnsi="宋体"/>
              </w:rPr>
              <w:t>63</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2EC3764B">
            <w:pPr>
              <w:jc w:val="center"/>
              <w:rPr>
                <w:rFonts w:hint="eastAsia" w:hAnsi="宋体"/>
                <w:kern w:val="2"/>
                <w:sz w:val="21"/>
                <w:szCs w:val="24"/>
              </w:rPr>
            </w:pPr>
            <w:r>
              <w:rPr>
                <w:rFonts w:hint="eastAsia" w:hAnsi="宋体"/>
              </w:rPr>
              <w:t>一般危险</w:t>
            </w:r>
          </w:p>
        </w:tc>
      </w:tr>
      <w:tr w14:paraId="501B1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vAlign w:val="center"/>
          </w:tcPr>
          <w:p w14:paraId="2093946A">
            <w:pPr>
              <w:jc w:val="center"/>
              <w:rPr>
                <w:rFonts w:hint="eastAsia" w:hAnsi="宋体" w:cs="宋体"/>
                <w:bCs/>
                <w:kern w:val="3"/>
                <w:sz w:val="21"/>
                <w:szCs w:val="21"/>
              </w:rPr>
            </w:pPr>
            <w:r>
              <w:rPr>
                <w:rFonts w:hint="eastAsia" w:hAnsi="宋体" w:cs="宋体"/>
                <w:bCs/>
                <w:kern w:val="3"/>
                <w:sz w:val="21"/>
                <w:szCs w:val="21"/>
              </w:rPr>
              <w:t>触电</w:t>
            </w:r>
          </w:p>
        </w:tc>
        <w:tc>
          <w:tcPr>
            <w:tcW w:w="386" w:type="pct"/>
            <w:tcBorders>
              <w:top w:val="single" w:color="auto" w:sz="4" w:space="0"/>
              <w:left w:val="single" w:color="auto" w:sz="4" w:space="0"/>
              <w:bottom w:val="single" w:color="auto" w:sz="4" w:space="0"/>
              <w:right w:val="single" w:color="auto" w:sz="4" w:space="0"/>
            </w:tcBorders>
            <w:shd w:val="clear" w:color="auto" w:fill="auto"/>
            <w:vAlign w:val="center"/>
          </w:tcPr>
          <w:p w14:paraId="16122E1D">
            <w:pPr>
              <w:jc w:val="center"/>
              <w:rPr>
                <w:rFonts w:hint="eastAsia" w:hAnsi="宋体"/>
              </w:rPr>
            </w:pPr>
            <w:r>
              <w:rPr>
                <w:rFonts w:hint="eastAsia" w:hAnsi="宋体"/>
              </w:rPr>
              <w:t>1</w:t>
            </w:r>
          </w:p>
        </w:tc>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14:paraId="2C31A81F">
            <w:pPr>
              <w:jc w:val="center"/>
              <w:rPr>
                <w:rFonts w:hint="eastAsia" w:hAnsi="宋体"/>
              </w:rPr>
            </w:pPr>
            <w:r>
              <w:rPr>
                <w:rFonts w:hint="eastAsia" w:hAnsi="宋体"/>
              </w:rPr>
              <w:t>6</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60B1196C">
            <w:pPr>
              <w:jc w:val="center"/>
              <w:rPr>
                <w:rFonts w:hint="eastAsia" w:hAnsi="宋体"/>
              </w:rPr>
            </w:pPr>
            <w:r>
              <w:rPr>
                <w:rFonts w:hint="eastAsia" w:hAnsi="宋体"/>
              </w:rPr>
              <w:t>15</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1CB48094">
            <w:pPr>
              <w:jc w:val="center"/>
              <w:rPr>
                <w:rFonts w:hint="eastAsia" w:hAnsi="宋体"/>
              </w:rPr>
            </w:pPr>
            <w:r>
              <w:rPr>
                <w:rFonts w:hint="eastAsia" w:hAnsi="宋体"/>
              </w:rPr>
              <w:t>90</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34E99E2E">
            <w:pPr>
              <w:jc w:val="center"/>
              <w:rPr>
                <w:rFonts w:hint="eastAsia" w:hAnsi="宋体"/>
                <w:kern w:val="2"/>
                <w:sz w:val="21"/>
                <w:szCs w:val="24"/>
              </w:rPr>
            </w:pPr>
            <w:r>
              <w:rPr>
                <w:rFonts w:hint="eastAsia" w:hAnsi="宋体"/>
              </w:rPr>
              <w:t>显著危险</w:t>
            </w:r>
          </w:p>
        </w:tc>
      </w:tr>
      <w:tr w14:paraId="40F4E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vAlign w:val="center"/>
          </w:tcPr>
          <w:p w14:paraId="54FCC55F">
            <w:pPr>
              <w:jc w:val="center"/>
              <w:rPr>
                <w:rFonts w:hint="eastAsia" w:hAnsi="宋体" w:cs="宋体"/>
                <w:bCs/>
                <w:kern w:val="3"/>
                <w:sz w:val="21"/>
                <w:szCs w:val="21"/>
              </w:rPr>
            </w:pPr>
            <w:r>
              <w:rPr>
                <w:rFonts w:hint="eastAsia" w:hAnsi="宋体" w:cs="宋体"/>
                <w:bCs/>
                <w:kern w:val="3"/>
                <w:sz w:val="21"/>
                <w:szCs w:val="21"/>
              </w:rPr>
              <w:t>车辆伤害</w:t>
            </w:r>
          </w:p>
        </w:tc>
        <w:tc>
          <w:tcPr>
            <w:tcW w:w="386" w:type="pct"/>
            <w:tcBorders>
              <w:top w:val="single" w:color="auto" w:sz="4" w:space="0"/>
              <w:left w:val="single" w:color="auto" w:sz="4" w:space="0"/>
              <w:bottom w:val="single" w:color="auto" w:sz="4" w:space="0"/>
              <w:right w:val="single" w:color="auto" w:sz="4" w:space="0"/>
            </w:tcBorders>
            <w:shd w:val="clear" w:color="auto" w:fill="auto"/>
            <w:vAlign w:val="center"/>
          </w:tcPr>
          <w:p w14:paraId="18AFC3E0">
            <w:pPr>
              <w:jc w:val="center"/>
              <w:rPr>
                <w:rFonts w:hint="eastAsia" w:hAnsi="宋体"/>
              </w:rPr>
            </w:pPr>
            <w:r>
              <w:rPr>
                <w:rFonts w:hint="eastAsia" w:hAnsi="宋体"/>
              </w:rPr>
              <w:t>1</w:t>
            </w:r>
          </w:p>
        </w:tc>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14:paraId="4AAEF8FF">
            <w:pPr>
              <w:jc w:val="center"/>
              <w:rPr>
                <w:rFonts w:hint="eastAsia" w:hAnsi="宋体"/>
              </w:rPr>
            </w:pPr>
            <w:r>
              <w:rPr>
                <w:rFonts w:hint="eastAsia" w:hAnsi="宋体"/>
              </w:rPr>
              <w:t>3</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39798647">
            <w:pPr>
              <w:jc w:val="center"/>
              <w:rPr>
                <w:rFonts w:hint="eastAsia" w:hAnsi="宋体"/>
                <w:kern w:val="2"/>
                <w:sz w:val="21"/>
                <w:szCs w:val="24"/>
              </w:rPr>
            </w:pPr>
            <w:r>
              <w:rPr>
                <w:rFonts w:hint="eastAsia" w:hAnsi="宋体"/>
                <w:kern w:val="2"/>
                <w:sz w:val="21"/>
                <w:szCs w:val="24"/>
              </w:rPr>
              <w:t>7</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3167E6D2">
            <w:pPr>
              <w:jc w:val="center"/>
              <w:rPr>
                <w:rFonts w:hint="eastAsia" w:hAnsi="宋体"/>
                <w:kern w:val="2"/>
                <w:sz w:val="21"/>
                <w:szCs w:val="24"/>
              </w:rPr>
            </w:pPr>
            <w:r>
              <w:rPr>
                <w:rFonts w:hint="eastAsia" w:hAnsi="宋体"/>
                <w:kern w:val="2"/>
                <w:sz w:val="21"/>
                <w:szCs w:val="24"/>
              </w:rPr>
              <w:t>21</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3E325E87">
            <w:pPr>
              <w:jc w:val="center"/>
              <w:rPr>
                <w:rFonts w:hint="eastAsia" w:hAnsi="宋体"/>
                <w:kern w:val="2"/>
                <w:sz w:val="21"/>
                <w:szCs w:val="24"/>
              </w:rPr>
            </w:pPr>
            <w:r>
              <w:rPr>
                <w:rFonts w:hint="eastAsia" w:hAnsi="宋体"/>
              </w:rPr>
              <w:t>一般危险</w:t>
            </w:r>
          </w:p>
        </w:tc>
      </w:tr>
      <w:tr w14:paraId="29D13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vAlign w:val="center"/>
          </w:tcPr>
          <w:p w14:paraId="0C1D577F">
            <w:pPr>
              <w:jc w:val="center"/>
              <w:rPr>
                <w:rFonts w:hint="eastAsia" w:hAnsi="宋体" w:cs="宋体"/>
                <w:bCs/>
                <w:kern w:val="3"/>
                <w:sz w:val="21"/>
                <w:szCs w:val="21"/>
              </w:rPr>
            </w:pPr>
            <w:r>
              <w:rPr>
                <w:rFonts w:hint="eastAsia" w:hAnsi="宋体" w:cs="宋体"/>
                <w:bCs/>
                <w:kern w:val="3"/>
                <w:sz w:val="21"/>
                <w:szCs w:val="21"/>
              </w:rPr>
              <w:t>高处坠落</w:t>
            </w:r>
          </w:p>
        </w:tc>
        <w:tc>
          <w:tcPr>
            <w:tcW w:w="386" w:type="pct"/>
            <w:tcBorders>
              <w:top w:val="single" w:color="auto" w:sz="4" w:space="0"/>
              <w:left w:val="single" w:color="auto" w:sz="4" w:space="0"/>
              <w:bottom w:val="single" w:color="auto" w:sz="4" w:space="0"/>
              <w:right w:val="single" w:color="auto" w:sz="4" w:space="0"/>
            </w:tcBorders>
            <w:shd w:val="clear" w:color="auto" w:fill="auto"/>
            <w:vAlign w:val="center"/>
          </w:tcPr>
          <w:p w14:paraId="3BB018FD">
            <w:pPr>
              <w:jc w:val="center"/>
              <w:rPr>
                <w:rFonts w:hint="eastAsia" w:hAnsi="宋体"/>
              </w:rPr>
            </w:pPr>
            <w:r>
              <w:rPr>
                <w:rFonts w:hint="eastAsia" w:hAnsi="宋体"/>
              </w:rPr>
              <w:t>3</w:t>
            </w:r>
          </w:p>
        </w:tc>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14:paraId="051FE0E1">
            <w:pPr>
              <w:jc w:val="center"/>
              <w:rPr>
                <w:rFonts w:hint="eastAsia" w:hAnsi="宋体"/>
              </w:rPr>
            </w:pPr>
            <w:r>
              <w:rPr>
                <w:rFonts w:hint="eastAsia" w:hAnsi="宋体"/>
              </w:rPr>
              <w:t>2</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33453957">
            <w:pPr>
              <w:jc w:val="center"/>
              <w:rPr>
                <w:rFonts w:hint="eastAsia" w:hAnsi="宋体"/>
              </w:rPr>
            </w:pPr>
            <w:r>
              <w:rPr>
                <w:rFonts w:hint="eastAsia" w:hAnsi="宋体"/>
              </w:rPr>
              <w:t>7</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46881F7F">
            <w:pPr>
              <w:jc w:val="center"/>
              <w:rPr>
                <w:rFonts w:hint="eastAsia" w:hAnsi="宋体"/>
              </w:rPr>
            </w:pPr>
            <w:r>
              <w:rPr>
                <w:rFonts w:hint="eastAsia" w:hAnsi="宋体"/>
              </w:rPr>
              <w:t>42</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5F7D86D4">
            <w:pPr>
              <w:jc w:val="center"/>
              <w:rPr>
                <w:rFonts w:hint="eastAsia" w:hAnsi="宋体"/>
                <w:kern w:val="2"/>
                <w:sz w:val="21"/>
                <w:szCs w:val="24"/>
              </w:rPr>
            </w:pPr>
            <w:r>
              <w:rPr>
                <w:rFonts w:hint="eastAsia" w:hAnsi="宋体"/>
              </w:rPr>
              <w:t>一般危险</w:t>
            </w:r>
          </w:p>
        </w:tc>
      </w:tr>
      <w:tr w14:paraId="0FA57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vAlign w:val="center"/>
          </w:tcPr>
          <w:p w14:paraId="234CB245">
            <w:pPr>
              <w:jc w:val="center"/>
              <w:rPr>
                <w:rFonts w:hint="eastAsia" w:hAnsi="宋体" w:cs="宋体"/>
                <w:bCs/>
                <w:kern w:val="3"/>
                <w:sz w:val="21"/>
                <w:szCs w:val="21"/>
              </w:rPr>
            </w:pPr>
            <w:r>
              <w:rPr>
                <w:rFonts w:hint="eastAsia" w:hAnsi="宋体" w:cs="宋体"/>
                <w:bCs/>
                <w:kern w:val="3"/>
                <w:sz w:val="21"/>
                <w:szCs w:val="21"/>
              </w:rPr>
              <w:t>物体打击</w:t>
            </w:r>
          </w:p>
        </w:tc>
        <w:tc>
          <w:tcPr>
            <w:tcW w:w="386" w:type="pct"/>
            <w:tcBorders>
              <w:top w:val="single" w:color="auto" w:sz="4" w:space="0"/>
              <w:left w:val="single" w:color="auto" w:sz="4" w:space="0"/>
              <w:bottom w:val="single" w:color="auto" w:sz="4" w:space="0"/>
              <w:right w:val="single" w:color="auto" w:sz="4" w:space="0"/>
            </w:tcBorders>
            <w:shd w:val="clear" w:color="auto" w:fill="auto"/>
            <w:vAlign w:val="center"/>
          </w:tcPr>
          <w:p w14:paraId="22F4191D">
            <w:pPr>
              <w:jc w:val="center"/>
              <w:rPr>
                <w:rFonts w:hint="eastAsia" w:hAnsi="宋体"/>
              </w:rPr>
            </w:pPr>
            <w:r>
              <w:rPr>
                <w:rFonts w:hint="eastAsia" w:hAnsi="宋体"/>
              </w:rPr>
              <w:t>3</w:t>
            </w:r>
          </w:p>
        </w:tc>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14:paraId="47CC5850">
            <w:pPr>
              <w:jc w:val="center"/>
              <w:rPr>
                <w:rFonts w:hint="eastAsia" w:hAnsi="宋体"/>
              </w:rPr>
            </w:pPr>
            <w:r>
              <w:rPr>
                <w:rFonts w:hint="eastAsia" w:hAnsi="宋体"/>
              </w:rPr>
              <w:t>3</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27AC65C5">
            <w:pPr>
              <w:jc w:val="center"/>
              <w:rPr>
                <w:rFonts w:hint="eastAsia" w:hAnsi="宋体"/>
              </w:rPr>
            </w:pPr>
            <w:r>
              <w:rPr>
                <w:rFonts w:hint="eastAsia" w:hAnsi="宋体"/>
              </w:rPr>
              <w:t>7</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4F4043B3">
            <w:pPr>
              <w:jc w:val="center"/>
              <w:rPr>
                <w:rFonts w:hint="eastAsia" w:hAnsi="宋体"/>
              </w:rPr>
            </w:pPr>
            <w:r>
              <w:rPr>
                <w:rFonts w:hint="eastAsia" w:hAnsi="宋体"/>
              </w:rPr>
              <w:t>63</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062D3E5E">
            <w:pPr>
              <w:jc w:val="center"/>
              <w:rPr>
                <w:rFonts w:hint="eastAsia" w:hAnsi="宋体"/>
              </w:rPr>
            </w:pPr>
            <w:r>
              <w:rPr>
                <w:rFonts w:hint="eastAsia" w:hAnsi="宋体"/>
              </w:rPr>
              <w:t>一般危险</w:t>
            </w:r>
          </w:p>
        </w:tc>
      </w:tr>
      <w:tr w14:paraId="2BEB5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vAlign w:val="center"/>
          </w:tcPr>
          <w:p w14:paraId="5F135962">
            <w:pPr>
              <w:jc w:val="center"/>
              <w:rPr>
                <w:rFonts w:hint="eastAsia" w:hAnsi="宋体" w:cs="宋体"/>
                <w:bCs/>
                <w:kern w:val="3"/>
                <w:sz w:val="21"/>
                <w:szCs w:val="21"/>
              </w:rPr>
            </w:pPr>
            <w:r>
              <w:rPr>
                <w:rFonts w:hint="eastAsia" w:hAnsi="宋体" w:cs="宋体"/>
                <w:bCs/>
                <w:kern w:val="3"/>
                <w:sz w:val="21"/>
                <w:szCs w:val="21"/>
              </w:rPr>
              <w:t>坍塌</w:t>
            </w:r>
          </w:p>
        </w:tc>
        <w:tc>
          <w:tcPr>
            <w:tcW w:w="386" w:type="pct"/>
            <w:tcBorders>
              <w:top w:val="single" w:color="auto" w:sz="4" w:space="0"/>
              <w:left w:val="single" w:color="auto" w:sz="4" w:space="0"/>
              <w:bottom w:val="single" w:color="auto" w:sz="4" w:space="0"/>
              <w:right w:val="single" w:color="auto" w:sz="4" w:space="0"/>
            </w:tcBorders>
            <w:shd w:val="clear" w:color="auto" w:fill="auto"/>
            <w:vAlign w:val="center"/>
          </w:tcPr>
          <w:p w14:paraId="76BB551D">
            <w:pPr>
              <w:jc w:val="center"/>
              <w:rPr>
                <w:rFonts w:hint="eastAsia" w:hAnsi="宋体"/>
              </w:rPr>
            </w:pPr>
            <w:r>
              <w:rPr>
                <w:rFonts w:hint="eastAsia" w:hAnsi="宋体"/>
              </w:rPr>
              <w:t>1</w:t>
            </w:r>
          </w:p>
        </w:tc>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14:paraId="2CA68943">
            <w:pPr>
              <w:jc w:val="center"/>
              <w:rPr>
                <w:rFonts w:hint="eastAsia" w:hAnsi="宋体"/>
              </w:rPr>
            </w:pPr>
            <w:r>
              <w:rPr>
                <w:rFonts w:hint="eastAsia" w:hAnsi="宋体"/>
              </w:rPr>
              <w:t>1</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54344E6C">
            <w:pPr>
              <w:jc w:val="center"/>
              <w:rPr>
                <w:rFonts w:hint="eastAsia" w:hAnsi="宋体"/>
              </w:rPr>
            </w:pPr>
            <w:r>
              <w:rPr>
                <w:rFonts w:hint="eastAsia" w:hAnsi="宋体"/>
              </w:rPr>
              <w:t>15</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470167D1">
            <w:pPr>
              <w:jc w:val="center"/>
              <w:rPr>
                <w:rFonts w:hint="eastAsia" w:hAnsi="宋体"/>
              </w:rPr>
            </w:pPr>
            <w:r>
              <w:rPr>
                <w:rFonts w:hint="eastAsia" w:hAnsi="宋体"/>
              </w:rPr>
              <w:t>15</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7EDE12C3">
            <w:pPr>
              <w:jc w:val="center"/>
              <w:rPr>
                <w:rFonts w:hint="eastAsia" w:hAnsi="宋体"/>
              </w:rPr>
            </w:pPr>
            <w:r>
              <w:rPr>
                <w:rFonts w:hint="eastAsia" w:hAnsi="宋体"/>
              </w:rPr>
              <w:t>稍有危险</w:t>
            </w:r>
          </w:p>
        </w:tc>
      </w:tr>
      <w:tr w14:paraId="77871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vAlign w:val="center"/>
          </w:tcPr>
          <w:p w14:paraId="0C837538">
            <w:pPr>
              <w:jc w:val="center"/>
              <w:rPr>
                <w:rFonts w:hint="eastAsia" w:hAnsi="宋体" w:cs="宋体"/>
                <w:bCs/>
                <w:kern w:val="3"/>
                <w:sz w:val="21"/>
                <w:szCs w:val="21"/>
              </w:rPr>
            </w:pPr>
            <w:r>
              <w:rPr>
                <w:rFonts w:hint="eastAsia" w:hAnsi="宋体" w:cs="宋体"/>
                <w:bCs/>
                <w:kern w:val="3"/>
                <w:sz w:val="21"/>
                <w:szCs w:val="21"/>
              </w:rPr>
              <w:t>起重伤害</w:t>
            </w:r>
          </w:p>
        </w:tc>
        <w:tc>
          <w:tcPr>
            <w:tcW w:w="386" w:type="pct"/>
            <w:tcBorders>
              <w:top w:val="single" w:color="auto" w:sz="4" w:space="0"/>
              <w:left w:val="single" w:color="auto" w:sz="4" w:space="0"/>
              <w:bottom w:val="single" w:color="auto" w:sz="4" w:space="0"/>
              <w:right w:val="single" w:color="auto" w:sz="4" w:space="0"/>
            </w:tcBorders>
            <w:shd w:val="clear" w:color="auto" w:fill="auto"/>
            <w:vAlign w:val="center"/>
          </w:tcPr>
          <w:p w14:paraId="02223DB3">
            <w:pPr>
              <w:jc w:val="center"/>
              <w:rPr>
                <w:rFonts w:hint="eastAsia" w:hAnsi="宋体"/>
              </w:rPr>
            </w:pPr>
            <w:r>
              <w:rPr>
                <w:rFonts w:hint="eastAsia" w:hAnsi="宋体"/>
              </w:rPr>
              <w:t>3</w:t>
            </w:r>
          </w:p>
        </w:tc>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14:paraId="2576265B">
            <w:pPr>
              <w:jc w:val="center"/>
              <w:rPr>
                <w:szCs w:val="21"/>
              </w:rPr>
            </w:pPr>
            <w:r>
              <w:rPr>
                <w:rFonts w:hint="eastAsia"/>
                <w:szCs w:val="21"/>
              </w:rPr>
              <w:t>3</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1BF9EAC7">
            <w:pPr>
              <w:jc w:val="center"/>
              <w:rPr>
                <w:rFonts w:hint="eastAsia" w:hAnsi="宋体"/>
              </w:rPr>
            </w:pPr>
            <w:r>
              <w:rPr>
                <w:rFonts w:hint="eastAsia" w:hAnsi="宋体"/>
              </w:rPr>
              <w:t>15</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2D79E37E">
            <w:pPr>
              <w:jc w:val="center"/>
              <w:rPr>
                <w:rFonts w:hint="eastAsia" w:hAnsi="宋体"/>
              </w:rPr>
            </w:pPr>
            <w:r>
              <w:rPr>
                <w:rFonts w:hint="eastAsia" w:hAnsi="宋体"/>
              </w:rPr>
              <w:t>135</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07AAAB11">
            <w:pPr>
              <w:jc w:val="center"/>
              <w:rPr>
                <w:rFonts w:hint="eastAsia" w:hAnsi="宋体"/>
                <w:kern w:val="2"/>
                <w:sz w:val="21"/>
                <w:szCs w:val="24"/>
              </w:rPr>
            </w:pPr>
            <w:r>
              <w:rPr>
                <w:rFonts w:hint="eastAsia" w:hAnsi="宋体"/>
              </w:rPr>
              <w:t>显著危险</w:t>
            </w:r>
          </w:p>
        </w:tc>
      </w:tr>
      <w:tr w14:paraId="13CDA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vAlign w:val="center"/>
          </w:tcPr>
          <w:p w14:paraId="5FC7346A">
            <w:pPr>
              <w:jc w:val="center"/>
              <w:rPr>
                <w:rFonts w:hint="eastAsia" w:hAnsi="宋体" w:cs="宋体"/>
                <w:bCs/>
                <w:kern w:val="3"/>
                <w:sz w:val="21"/>
                <w:szCs w:val="21"/>
              </w:rPr>
            </w:pPr>
            <w:r>
              <w:rPr>
                <w:rFonts w:hint="eastAsia" w:hAnsi="宋体" w:cs="宋体"/>
                <w:bCs/>
                <w:kern w:val="3"/>
                <w:sz w:val="21"/>
                <w:szCs w:val="21"/>
              </w:rPr>
              <w:t>其他伤害</w:t>
            </w:r>
          </w:p>
        </w:tc>
        <w:tc>
          <w:tcPr>
            <w:tcW w:w="386" w:type="pct"/>
            <w:tcBorders>
              <w:top w:val="single" w:color="auto" w:sz="4" w:space="0"/>
              <w:left w:val="single" w:color="auto" w:sz="4" w:space="0"/>
              <w:bottom w:val="single" w:color="auto" w:sz="4" w:space="0"/>
              <w:right w:val="single" w:color="auto" w:sz="4" w:space="0"/>
            </w:tcBorders>
            <w:shd w:val="clear" w:color="auto" w:fill="auto"/>
            <w:vAlign w:val="center"/>
          </w:tcPr>
          <w:p w14:paraId="2211B555">
            <w:pPr>
              <w:jc w:val="center"/>
              <w:rPr>
                <w:rFonts w:hint="eastAsia" w:hAnsi="宋体"/>
              </w:rPr>
            </w:pPr>
            <w:r>
              <w:rPr>
                <w:rFonts w:hint="eastAsia" w:hAnsi="宋体"/>
              </w:rPr>
              <w:t>3</w:t>
            </w:r>
          </w:p>
        </w:tc>
        <w:tc>
          <w:tcPr>
            <w:tcW w:w="393" w:type="pct"/>
            <w:tcBorders>
              <w:top w:val="single" w:color="auto" w:sz="4" w:space="0"/>
              <w:left w:val="single" w:color="auto" w:sz="4" w:space="0"/>
              <w:bottom w:val="single" w:color="auto" w:sz="4" w:space="0"/>
              <w:right w:val="single" w:color="auto" w:sz="4" w:space="0"/>
            </w:tcBorders>
            <w:shd w:val="clear" w:color="auto" w:fill="auto"/>
            <w:vAlign w:val="center"/>
          </w:tcPr>
          <w:p w14:paraId="72E289B7">
            <w:pPr>
              <w:jc w:val="center"/>
              <w:rPr>
                <w:szCs w:val="21"/>
              </w:rPr>
            </w:pPr>
            <w:r>
              <w:rPr>
                <w:rFonts w:hint="eastAsia"/>
                <w:szCs w:val="21"/>
              </w:rPr>
              <w:t>3</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2FBB10EC">
            <w:pPr>
              <w:jc w:val="center"/>
              <w:rPr>
                <w:rFonts w:hint="eastAsia" w:hAnsi="宋体"/>
              </w:rPr>
            </w:pPr>
            <w:r>
              <w:rPr>
                <w:rFonts w:hint="eastAsia" w:hAnsi="宋体"/>
              </w:rPr>
              <w:t>2</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40C858BA">
            <w:pPr>
              <w:jc w:val="center"/>
              <w:rPr>
                <w:rFonts w:hint="eastAsia" w:hAnsi="宋体"/>
                <w:kern w:val="2"/>
                <w:sz w:val="21"/>
                <w:szCs w:val="24"/>
              </w:rPr>
            </w:pPr>
            <w:r>
              <w:rPr>
                <w:rFonts w:hint="eastAsia" w:hAnsi="宋体"/>
              </w:rPr>
              <w:t>18</w:t>
            </w:r>
          </w:p>
        </w:tc>
        <w:tc>
          <w:tcPr>
            <w:tcW w:w="929" w:type="pct"/>
            <w:tcBorders>
              <w:top w:val="single" w:color="auto" w:sz="4" w:space="0"/>
              <w:left w:val="single" w:color="auto" w:sz="4" w:space="0"/>
              <w:bottom w:val="single" w:color="auto" w:sz="4" w:space="0"/>
              <w:right w:val="single" w:color="auto" w:sz="4" w:space="0"/>
            </w:tcBorders>
            <w:shd w:val="clear" w:color="auto" w:fill="auto"/>
            <w:vAlign w:val="center"/>
          </w:tcPr>
          <w:p w14:paraId="71F02431">
            <w:pPr>
              <w:jc w:val="center"/>
              <w:rPr>
                <w:rFonts w:hint="eastAsia" w:hAnsi="宋体"/>
                <w:kern w:val="2"/>
                <w:sz w:val="21"/>
                <w:szCs w:val="24"/>
              </w:rPr>
            </w:pPr>
            <w:r>
              <w:rPr>
                <w:rFonts w:hint="eastAsia" w:hAnsi="宋体"/>
              </w:rPr>
              <w:t>稍有危险</w:t>
            </w:r>
          </w:p>
        </w:tc>
      </w:tr>
    </w:tbl>
    <w:p w14:paraId="0A2DE90A">
      <w:pPr>
        <w:adjustRightInd w:val="0"/>
        <w:snapToGrid w:val="0"/>
        <w:spacing w:line="500" w:lineRule="exact"/>
        <w:ind w:firstLine="561"/>
        <w:contextualSpacing/>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从上表中可以看出：触电、起重伤害属于显著危险，火灾、机械伤害、车辆伤害、高处坠落、物体打击、坍塌、其它伤害属于一般危险或稍有危险。</w:t>
      </w:r>
    </w:p>
    <w:p w14:paraId="3CD013B6">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643" w:name="_Toc31834"/>
      <w:bookmarkStart w:id="644" w:name="_Toc30885"/>
      <w:bookmarkStart w:id="645" w:name="_Toc15855"/>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5.2.3单元小结</w:t>
      </w:r>
      <w:bookmarkEnd w:id="643"/>
      <w:bookmarkEnd w:id="644"/>
      <w:bookmarkEnd w:id="645"/>
    </w:p>
    <w:p w14:paraId="7669C396">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通过以上分析评价可知：</w:t>
      </w:r>
    </w:p>
    <w:p w14:paraId="1DEC5E10">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安全检查表分析评价结果：该项目的生产工艺设备设施符合《生产设备安全卫生设计总则》（GB5083-</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）、《生产过程安全卫生要求总则》（GB/T 12801-2008）、《中华人民共和国安全生产法》（中华人民共和国主席令第88号，2021年修订）</w:t>
      </w:r>
      <w:r>
        <w:rPr>
          <w:rFonts w:hint="eastAsia" w:ascii="宋体" w:hAnsi="宋体" w:eastAsia="宋体" w:cs="宋体"/>
          <w:color w:val="000000" w:themeColor="text1"/>
          <w:kern w:val="0"/>
          <w:sz w:val="28"/>
          <w:szCs w:val="28"/>
          <w:lang w:eastAsia="zh-CN"/>
          <w14:textFill>
            <w14:solidFill>
              <w14:schemeClr w14:val="tx1"/>
            </w14:solidFill>
          </w14:textFill>
        </w:rPr>
        <w:t>、</w:t>
      </w:r>
      <w:r>
        <w:rPr>
          <w:rFonts w:hint="eastAsia" w:ascii="宋体" w:hAnsi="宋体" w:eastAsia="宋体" w:cs="宋体"/>
          <w:color w:val="000000"/>
          <w:kern w:val="0"/>
          <w:sz w:val="28"/>
          <w:szCs w:val="28"/>
          <w:lang w:val="en-US" w:eastAsia="zh-CN" w:bidi="ar"/>
        </w:rPr>
        <w:t>《金属切削机床装配通用技术条件》（GB/T25373-2010）、《手持式电动工具的管理、使用、检查和维修安全技术规程》（GB/T3787-2017）</w:t>
      </w:r>
      <w:r>
        <w:rPr>
          <w:rFonts w:hint="eastAsia" w:ascii="宋体" w:hAnsi="宋体" w:eastAsia="宋体" w:cs="宋体"/>
          <w:color w:val="000000" w:themeColor="text1"/>
          <w:sz w:val="28"/>
          <w:szCs w:val="28"/>
          <w14:textFill>
            <w14:solidFill>
              <w14:schemeClr w14:val="tx1"/>
            </w14:solidFill>
          </w14:textFill>
        </w:rPr>
        <w:t>等相关规范的要求。</w:t>
      </w:r>
    </w:p>
    <w:p w14:paraId="16881B65">
      <w:pPr>
        <w:adjustRightInd w:val="0"/>
        <w:snapToGrid w:val="0"/>
        <w:spacing w:line="500" w:lineRule="exact"/>
        <w:ind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作业条件危险性分析结果可知：该项目各工序风险控制措施有效，通过分析可知，触电、起重伤害属于显著危险，火灾、机械伤害、车辆伤害、高处坠落、物体打击、坍塌、其它伤害属于一般危险或稍有危险。企业的风险控制措施有效。</w:t>
      </w:r>
    </w:p>
    <w:p w14:paraId="2B2572EE">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646" w:name="_Toc20842"/>
      <w:bookmarkStart w:id="647" w:name="_Toc4152"/>
      <w:bookmarkStart w:id="648" w:name="_Toc27545"/>
      <w:bookmarkStart w:id="649" w:name="_Toc13490"/>
      <w:bookmarkStart w:id="650" w:name="_Toc32459"/>
      <w:bookmarkStart w:id="651" w:name="_Toc30001447"/>
      <w:bookmarkStart w:id="652" w:name="_Toc61474470"/>
      <w:r>
        <w:rPr>
          <w:rFonts w:hint="eastAsia" w:ascii="宋体" w:hAnsi="宋体" w:eastAsia="宋体" w:cs="宋体"/>
          <w:color w:val="000000" w:themeColor="text1"/>
          <w:kern w:val="0"/>
          <w14:textFill>
            <w14:solidFill>
              <w14:schemeClr w14:val="tx1"/>
            </w14:solidFill>
          </w14:textFill>
        </w:rPr>
        <w:t>5.3安全防护设施评价单元</w:t>
      </w:r>
      <w:bookmarkEnd w:id="646"/>
      <w:bookmarkEnd w:id="647"/>
      <w:bookmarkEnd w:id="648"/>
      <w:bookmarkEnd w:id="649"/>
      <w:bookmarkEnd w:id="650"/>
      <w:bookmarkEnd w:id="651"/>
      <w:bookmarkEnd w:id="652"/>
    </w:p>
    <w:p w14:paraId="4D5A25F3">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653" w:name="_Toc26190"/>
      <w:bookmarkStart w:id="654" w:name="_Toc21957"/>
      <w:bookmarkStart w:id="655" w:name="_Toc28763"/>
      <w:bookmarkStart w:id="656" w:name="_Toc31600"/>
      <w:bookmarkStart w:id="657" w:name="_Toc30001448"/>
      <w:bookmarkStart w:id="658" w:name="_Toc61474471"/>
      <w:bookmarkStart w:id="659" w:name="_Toc4283"/>
      <w:bookmarkStart w:id="660" w:name="_Toc4056"/>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5.3.1常规防护设施和措施安全检查表法</w:t>
      </w:r>
      <w:bookmarkEnd w:id="653"/>
      <w:bookmarkEnd w:id="654"/>
      <w:bookmarkEnd w:id="655"/>
      <w:bookmarkEnd w:id="656"/>
      <w:bookmarkEnd w:id="657"/>
      <w:bookmarkEnd w:id="658"/>
      <w:bookmarkEnd w:id="659"/>
      <w:bookmarkEnd w:id="660"/>
    </w:p>
    <w:p w14:paraId="4295055B">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安全色》（GB2893-2008）、《安全标志及其使用导则》（GB2894-2008）、《机械安全防护装置固定式和活动式防护装置的设计与制造一般要求》（GB/T8196-2018）、《机械工业职业安全卫生设计规范》（JBJ18-2000）等规范的要求，编制了常规防护设施和措施检查表，对该项目的常规防护设施和措施进行检查，其检查结果见下表5-</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w:t>
      </w:r>
    </w:p>
    <w:p w14:paraId="5FDBF8DE">
      <w:pPr>
        <w:adjustRightInd w:val="0"/>
        <w:snapToGrid w:val="0"/>
        <w:spacing w:line="500" w:lineRule="exact"/>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表5-</w:t>
      </w:r>
      <w:r>
        <w:rPr>
          <w:rFonts w:hint="eastAsia" w:ascii="宋体" w:hAnsi="宋体" w:eastAsia="宋体" w:cs="宋体"/>
          <w:b/>
          <w:bCs/>
          <w:color w:val="000000" w:themeColor="text1"/>
          <w:szCs w:val="21"/>
          <w:lang w:val="en-US" w:eastAsia="zh-CN"/>
          <w14:textFill>
            <w14:solidFill>
              <w14:schemeClr w14:val="tx1"/>
            </w14:solidFill>
          </w14:textFill>
        </w:rPr>
        <w:t>4</w:t>
      </w:r>
      <w:r>
        <w:rPr>
          <w:rFonts w:hint="eastAsia" w:ascii="宋体" w:hAnsi="宋体" w:eastAsia="宋体" w:cs="宋体"/>
          <w:b/>
          <w:bCs/>
          <w:color w:val="000000" w:themeColor="text1"/>
          <w:szCs w:val="21"/>
          <w14:textFill>
            <w14:solidFill>
              <w14:schemeClr w14:val="tx1"/>
            </w14:solidFill>
          </w14:textFill>
        </w:rPr>
        <w:t>常规防护设施和措施安全检查表</w:t>
      </w:r>
    </w:p>
    <w:tbl>
      <w:tblPr>
        <w:tblStyle w:val="24"/>
        <w:tblW w:w="89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3335"/>
        <w:gridCol w:w="2271"/>
        <w:gridCol w:w="1808"/>
        <w:gridCol w:w="806"/>
      </w:tblGrid>
      <w:tr w14:paraId="3A7EA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750" w:type="dxa"/>
            <w:vAlign w:val="center"/>
          </w:tcPr>
          <w:p w14:paraId="0ED470D1">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335" w:type="dxa"/>
            <w:vAlign w:val="center"/>
          </w:tcPr>
          <w:p w14:paraId="00F1E50E">
            <w:pPr>
              <w:suppressAutoHyphens/>
              <w:adjustRightInd w:val="0"/>
              <w:snapToGrid w:val="0"/>
              <w:spacing w:line="300" w:lineRule="exact"/>
              <w:ind w:firstLine="211" w:firstLineChars="100"/>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检查内容</w:t>
            </w:r>
          </w:p>
        </w:tc>
        <w:tc>
          <w:tcPr>
            <w:tcW w:w="2271" w:type="dxa"/>
            <w:vAlign w:val="center"/>
          </w:tcPr>
          <w:p w14:paraId="6688D93F">
            <w:pPr>
              <w:suppressAutoHyphens/>
              <w:adjustRightInd w:val="0"/>
              <w:snapToGrid w:val="0"/>
              <w:spacing w:line="300" w:lineRule="exact"/>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依据标准</w:t>
            </w:r>
          </w:p>
        </w:tc>
        <w:tc>
          <w:tcPr>
            <w:tcW w:w="1808" w:type="dxa"/>
            <w:vAlign w:val="center"/>
          </w:tcPr>
          <w:p w14:paraId="60467567">
            <w:pPr>
              <w:suppressAutoHyphens/>
              <w:adjustRightInd w:val="0"/>
              <w:snapToGrid w:val="0"/>
              <w:spacing w:line="300" w:lineRule="exact"/>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检查情况</w:t>
            </w:r>
          </w:p>
        </w:tc>
        <w:tc>
          <w:tcPr>
            <w:tcW w:w="806" w:type="dxa"/>
            <w:vAlign w:val="center"/>
          </w:tcPr>
          <w:p w14:paraId="3EB01D07">
            <w:pPr>
              <w:suppressAutoHyphens/>
              <w:adjustRightInd w:val="0"/>
              <w:snapToGrid w:val="0"/>
              <w:spacing w:line="300" w:lineRule="exact"/>
              <w:jc w:val="center"/>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结论</w:t>
            </w:r>
          </w:p>
        </w:tc>
      </w:tr>
      <w:tr w14:paraId="2997E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970" w:type="dxa"/>
            <w:gridSpan w:val="5"/>
            <w:vAlign w:val="center"/>
          </w:tcPr>
          <w:p w14:paraId="7EA62595">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安全色与安全标识</w:t>
            </w:r>
          </w:p>
        </w:tc>
      </w:tr>
      <w:tr w14:paraId="0A463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9712CFE">
            <w:pPr>
              <w:numPr>
                <w:ilvl w:val="0"/>
                <w:numId w:val="7"/>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776B575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使用安全色时要考虑周围的亮度及同其他颜色的关系,要使安全色能正确辨认。</w:t>
            </w:r>
          </w:p>
        </w:tc>
        <w:tc>
          <w:tcPr>
            <w:tcW w:w="2271" w:type="dxa"/>
            <w:vAlign w:val="center"/>
          </w:tcPr>
          <w:p w14:paraId="0111064A">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7460992D">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第A.3条</w:t>
            </w:r>
          </w:p>
        </w:tc>
        <w:tc>
          <w:tcPr>
            <w:tcW w:w="1808" w:type="dxa"/>
            <w:vAlign w:val="center"/>
          </w:tcPr>
          <w:p w14:paraId="7A47B93F">
            <w:pPr>
              <w:tabs>
                <w:tab w:val="left" w:pos="2898"/>
              </w:tabs>
              <w:adjustRightInd w:val="0"/>
              <w:snapToGrid w:val="0"/>
              <w:spacing w:line="300" w:lineRule="exact"/>
              <w:ind w:left="210" w:hanging="210" w:hangingChars="1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该项目使用的安全色符合要求。</w:t>
            </w:r>
          </w:p>
        </w:tc>
        <w:tc>
          <w:tcPr>
            <w:tcW w:w="806" w:type="dxa"/>
            <w:vAlign w:val="center"/>
          </w:tcPr>
          <w:p w14:paraId="7BF7F4A3">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FA0C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0FC3509">
            <w:pPr>
              <w:numPr>
                <w:ilvl w:val="0"/>
                <w:numId w:val="7"/>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863D040">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凡涂有安全色的部位，每半年应检查一次，应保持整洁、明亮，如有变色、褪色等不符合安全色范围,逆反射系数低于70%或安全色的使用环境改变时，应及时重涂或更换，以保证安全色正确、醒目，达到安全警示的目的。</w:t>
            </w:r>
          </w:p>
        </w:tc>
        <w:tc>
          <w:tcPr>
            <w:tcW w:w="2271" w:type="dxa"/>
            <w:vAlign w:val="center"/>
          </w:tcPr>
          <w:p w14:paraId="36869772">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678973EA">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第A.4条</w:t>
            </w:r>
          </w:p>
        </w:tc>
        <w:tc>
          <w:tcPr>
            <w:tcW w:w="1808" w:type="dxa"/>
            <w:vAlign w:val="center"/>
          </w:tcPr>
          <w:p w14:paraId="2961F489">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该公司对安全色的使用和管理符合规范要求。</w:t>
            </w:r>
          </w:p>
        </w:tc>
        <w:tc>
          <w:tcPr>
            <w:tcW w:w="806" w:type="dxa"/>
            <w:vAlign w:val="center"/>
          </w:tcPr>
          <w:p w14:paraId="7398485C">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7A68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392718EE">
            <w:pPr>
              <w:numPr>
                <w:ilvl w:val="0"/>
                <w:numId w:val="7"/>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0C2D491E">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标志牌设置的高度，应尽量与人眼的视线高度相一致。悬排式和柱式的环境信息标志牌的下缘距地面的高度不宜小于2m，局部信息标志设置高度视具体情况确定。</w:t>
            </w:r>
          </w:p>
        </w:tc>
        <w:tc>
          <w:tcPr>
            <w:tcW w:w="2271" w:type="dxa"/>
            <w:vAlign w:val="center"/>
          </w:tcPr>
          <w:p w14:paraId="736F4FC5">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《安全标志及其使用导则》</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（GB 2894-2008 ）</w:t>
            </w:r>
          </w:p>
          <w:p w14:paraId="6FBC3833">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第8条</w:t>
            </w:r>
          </w:p>
        </w:tc>
        <w:tc>
          <w:tcPr>
            <w:tcW w:w="1808" w:type="dxa"/>
            <w:vAlign w:val="center"/>
          </w:tcPr>
          <w:p w14:paraId="1F1E144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该项目内的标志牌设置高度符合规范要求。</w:t>
            </w:r>
          </w:p>
        </w:tc>
        <w:tc>
          <w:tcPr>
            <w:tcW w:w="806" w:type="dxa"/>
            <w:vAlign w:val="center"/>
          </w:tcPr>
          <w:p w14:paraId="5D40B077">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3B6D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DC467AC">
            <w:pPr>
              <w:numPr>
                <w:ilvl w:val="0"/>
                <w:numId w:val="7"/>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C371985">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标志牌不应设在门、窗、架等可移动的物体上，以免标志牌随母体物体相应移动，影响认读，标志牌前不得放置妨碍认读的障碍物。</w:t>
            </w:r>
          </w:p>
        </w:tc>
        <w:tc>
          <w:tcPr>
            <w:tcW w:w="2271" w:type="dxa"/>
            <w:vAlign w:val="center"/>
          </w:tcPr>
          <w:p w14:paraId="0D52C498">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6A3BCC00">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第9.1条</w:t>
            </w:r>
          </w:p>
        </w:tc>
        <w:tc>
          <w:tcPr>
            <w:tcW w:w="1808" w:type="dxa"/>
            <w:vAlign w:val="center"/>
          </w:tcPr>
          <w:p w14:paraId="7E463608">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该项目内的标志牌未设置在可移动的物体上，均固定牢靠。</w:t>
            </w:r>
          </w:p>
        </w:tc>
        <w:tc>
          <w:tcPr>
            <w:tcW w:w="806" w:type="dxa"/>
            <w:vAlign w:val="center"/>
          </w:tcPr>
          <w:p w14:paraId="7A5D7E22">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152A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3A164B0F">
            <w:pPr>
              <w:numPr>
                <w:ilvl w:val="0"/>
                <w:numId w:val="7"/>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3D05023">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安全标志牌至少每半年检查一次，如发现有破损、变形、褪色等不符合要求时,应及时修正或更换。</w:t>
            </w:r>
          </w:p>
        </w:tc>
        <w:tc>
          <w:tcPr>
            <w:tcW w:w="2271" w:type="dxa"/>
            <w:vAlign w:val="center"/>
          </w:tcPr>
          <w:p w14:paraId="34179024">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《安全色》（GB2893-2008）</w:t>
            </w:r>
          </w:p>
          <w:p w14:paraId="59EA417D">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第10.1条</w:t>
            </w:r>
          </w:p>
        </w:tc>
        <w:tc>
          <w:tcPr>
            <w:tcW w:w="1808" w:type="dxa"/>
            <w:vAlign w:val="center"/>
          </w:tcPr>
          <w:p w14:paraId="51DF691C">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w:t>
            </w:r>
            <w:r>
              <w:rPr>
                <w:rFonts w:hint="eastAsia" w:ascii="宋体" w:hAnsi="宋体" w:eastAsia="宋体" w:cs="宋体"/>
                <w:color w:val="000000" w:themeColor="text1"/>
                <w:sz w:val="21"/>
                <w:szCs w:val="21"/>
                <w:lang w:val="en-US" w:eastAsia="zh-CN"/>
                <w14:textFill>
                  <w14:solidFill>
                    <w14:schemeClr w14:val="tx1"/>
                  </w14:solidFill>
                </w14:textFill>
              </w:rPr>
              <w:t>生产区</w:t>
            </w:r>
            <w:r>
              <w:rPr>
                <w:rFonts w:hint="eastAsia" w:ascii="宋体" w:hAnsi="宋体" w:eastAsia="宋体" w:cs="宋体"/>
                <w:color w:val="000000" w:themeColor="text1"/>
                <w:sz w:val="21"/>
                <w:szCs w:val="21"/>
                <w14:textFill>
                  <w14:solidFill>
                    <w14:schemeClr w14:val="tx1"/>
                  </w14:solidFill>
                </w14:textFill>
              </w:rPr>
              <w:t>安全标志牌符合要求。</w:t>
            </w:r>
          </w:p>
        </w:tc>
        <w:tc>
          <w:tcPr>
            <w:tcW w:w="806" w:type="dxa"/>
            <w:vAlign w:val="center"/>
          </w:tcPr>
          <w:p w14:paraId="63A75A06">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00EE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970" w:type="dxa"/>
            <w:gridSpan w:val="5"/>
            <w:vAlign w:val="center"/>
          </w:tcPr>
          <w:p w14:paraId="2BE49B3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固定式钢直梯</w:t>
            </w:r>
          </w:p>
        </w:tc>
      </w:tr>
      <w:tr w14:paraId="52CBD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1F54485">
            <w:pPr>
              <w:numPr>
                <w:ilvl w:val="0"/>
                <w:numId w:val="7"/>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BE25FB7">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钢直梯应与其固定的结构表明平行并尽可能垂直水平面设置。</w:t>
            </w:r>
          </w:p>
        </w:tc>
        <w:tc>
          <w:tcPr>
            <w:tcW w:w="2271" w:type="dxa"/>
            <w:vAlign w:val="center"/>
          </w:tcPr>
          <w:p w14:paraId="7D4FB37F">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3F4AF948">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60BD156B">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第4.2条</w:t>
            </w:r>
          </w:p>
        </w:tc>
        <w:tc>
          <w:tcPr>
            <w:tcW w:w="1808" w:type="dxa"/>
            <w:vAlign w:val="center"/>
          </w:tcPr>
          <w:p w14:paraId="74425D5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该项目设置的直梯符合要求。</w:t>
            </w:r>
          </w:p>
        </w:tc>
        <w:tc>
          <w:tcPr>
            <w:tcW w:w="806" w:type="dxa"/>
            <w:vAlign w:val="center"/>
          </w:tcPr>
          <w:p w14:paraId="69313AB7">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538E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233F949">
            <w:pPr>
              <w:numPr>
                <w:ilvl w:val="0"/>
                <w:numId w:val="7"/>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C16CA2E">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钢直梯应采用焊接连接，焊接要求应符合GB50205的规定。采用其他方式连接时，连接强度应不低于焊接。安装后的梯子不应有歪斜、扭曲、变形及其他缺陷。</w:t>
            </w:r>
          </w:p>
        </w:tc>
        <w:tc>
          <w:tcPr>
            <w:tcW w:w="2271" w:type="dxa"/>
            <w:vAlign w:val="center"/>
          </w:tcPr>
          <w:p w14:paraId="54413A07">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5A7C7A71">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1722C5B7">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第4.4.1条</w:t>
            </w:r>
          </w:p>
        </w:tc>
        <w:tc>
          <w:tcPr>
            <w:tcW w:w="1808" w:type="dxa"/>
            <w:vAlign w:val="center"/>
          </w:tcPr>
          <w:p w14:paraId="500E837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钢直梯</w:t>
            </w:r>
            <w:r>
              <w:rPr>
                <w:rFonts w:hint="eastAsia" w:ascii="宋体" w:hAnsi="宋体" w:eastAsia="宋体" w:cs="宋体"/>
                <w:color w:val="000000" w:themeColor="text1"/>
                <w:sz w:val="21"/>
                <w:szCs w:val="21"/>
                <w14:textFill>
                  <w14:solidFill>
                    <w14:schemeClr w14:val="tx1"/>
                  </w14:solidFill>
                </w14:textFill>
              </w:rPr>
              <w:t>采用焊接，现场查看时未发现明显缺陷。</w:t>
            </w:r>
          </w:p>
        </w:tc>
        <w:tc>
          <w:tcPr>
            <w:tcW w:w="806" w:type="dxa"/>
            <w:vAlign w:val="center"/>
          </w:tcPr>
          <w:p w14:paraId="0B36E4A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0BDA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40FCC1D2">
            <w:pPr>
              <w:numPr>
                <w:ilvl w:val="0"/>
                <w:numId w:val="7"/>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3DF71FB">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制造安装工艺应确保梯子及其所有部件的表面光滑、无锐边、尖角、毛刺或其他可能对梯子使用者造成伤害或妨碍其通过的外部缺陷。</w:t>
            </w:r>
          </w:p>
        </w:tc>
        <w:tc>
          <w:tcPr>
            <w:tcW w:w="2271" w:type="dxa"/>
            <w:vAlign w:val="center"/>
          </w:tcPr>
          <w:p w14:paraId="22A708C3">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58B5EC3A">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7D1BB730">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第4.4.2条</w:t>
            </w:r>
          </w:p>
        </w:tc>
        <w:tc>
          <w:tcPr>
            <w:tcW w:w="1808" w:type="dxa"/>
            <w:vAlign w:val="center"/>
          </w:tcPr>
          <w:p w14:paraId="51A9F518">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楼梯表面光滑、无锐边、尖角、等外部缺陷。</w:t>
            </w:r>
          </w:p>
        </w:tc>
        <w:tc>
          <w:tcPr>
            <w:tcW w:w="806" w:type="dxa"/>
            <w:vAlign w:val="center"/>
          </w:tcPr>
          <w:p w14:paraId="7BE2AF79">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8AC7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36A754A">
            <w:pPr>
              <w:numPr>
                <w:ilvl w:val="0"/>
                <w:numId w:val="7"/>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683BFC67">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根据钢直梯使用场合及环境条件，应对梯子进行合适的防锈及防腐涂装。</w:t>
            </w:r>
          </w:p>
        </w:tc>
        <w:tc>
          <w:tcPr>
            <w:tcW w:w="2271" w:type="dxa"/>
            <w:vAlign w:val="center"/>
          </w:tcPr>
          <w:p w14:paraId="087C080E">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7C43439D">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39F321B2">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第4.5.2条</w:t>
            </w:r>
          </w:p>
        </w:tc>
        <w:tc>
          <w:tcPr>
            <w:tcW w:w="1808" w:type="dxa"/>
            <w:vAlign w:val="center"/>
          </w:tcPr>
          <w:p w14:paraId="68C018A1">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通过现场检查，该项目的钢直梯进行了防腐油漆。</w:t>
            </w:r>
          </w:p>
        </w:tc>
        <w:tc>
          <w:tcPr>
            <w:tcW w:w="806" w:type="dxa"/>
            <w:vAlign w:val="center"/>
          </w:tcPr>
          <w:p w14:paraId="4501F47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01B5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2810AB36">
            <w:pPr>
              <w:numPr>
                <w:ilvl w:val="0"/>
                <w:numId w:val="7"/>
              </w:numPr>
              <w:tabs>
                <w:tab w:val="left" w:pos="533"/>
              </w:tabs>
              <w:adjustRightInd w:val="0"/>
              <w:snapToGrid w:val="0"/>
              <w:spacing w:line="300" w:lineRule="exact"/>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652472EC">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在持续潮湿条件下使用的梯子,建议进行热镀锌,或采用特殊涂层或采用耐腐蚀材料。</w:t>
            </w:r>
          </w:p>
        </w:tc>
        <w:tc>
          <w:tcPr>
            <w:tcW w:w="2271" w:type="dxa"/>
            <w:vAlign w:val="center"/>
          </w:tcPr>
          <w:p w14:paraId="04F5B96A">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《固定式钢梯及平台安全要求第1部分：钢直梯》</w:t>
            </w:r>
          </w:p>
          <w:p w14:paraId="1F31DAFD">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4053.1-2009）</w:t>
            </w:r>
          </w:p>
          <w:p w14:paraId="271241E6">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第4.5.4条</w:t>
            </w:r>
          </w:p>
        </w:tc>
        <w:tc>
          <w:tcPr>
            <w:tcW w:w="1808" w:type="dxa"/>
            <w:vAlign w:val="center"/>
          </w:tcPr>
          <w:p w14:paraId="16B09E8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通过现场检查，该项目的钢直梯进行了防腐涂装。</w:t>
            </w:r>
          </w:p>
        </w:tc>
        <w:tc>
          <w:tcPr>
            <w:tcW w:w="806" w:type="dxa"/>
            <w:vAlign w:val="center"/>
          </w:tcPr>
          <w:p w14:paraId="5ADB5027">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5987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970" w:type="dxa"/>
            <w:gridSpan w:val="5"/>
            <w:vAlign w:val="center"/>
          </w:tcPr>
          <w:p w14:paraId="05656E2F">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固定式钢斜梯</w:t>
            </w:r>
          </w:p>
        </w:tc>
      </w:tr>
      <w:tr w14:paraId="6B96D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A48EDFE">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FF0EFB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采用的钢材力学性能不应低于Q235-B，并具有含碳量合格保证。</w:t>
            </w:r>
          </w:p>
        </w:tc>
        <w:tc>
          <w:tcPr>
            <w:tcW w:w="2271" w:type="dxa"/>
            <w:vAlign w:val="center"/>
          </w:tcPr>
          <w:p w14:paraId="3C12E08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第2部分：钢斜梯》</w:t>
            </w:r>
          </w:p>
          <w:p w14:paraId="28E2C0E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44DB2E0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第4.1条</w:t>
            </w:r>
          </w:p>
        </w:tc>
        <w:tc>
          <w:tcPr>
            <w:tcW w:w="1808" w:type="dxa"/>
            <w:vAlign w:val="center"/>
          </w:tcPr>
          <w:p w14:paraId="118AFE4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该项目采用的钢材符合相关的要求。</w:t>
            </w:r>
          </w:p>
        </w:tc>
        <w:tc>
          <w:tcPr>
            <w:tcW w:w="806" w:type="dxa"/>
            <w:vAlign w:val="center"/>
          </w:tcPr>
          <w:p w14:paraId="52292923">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D3FA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C6E5AD6">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92A66F7">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钢斜梯应采用焊接连接。</w:t>
            </w:r>
          </w:p>
        </w:tc>
        <w:tc>
          <w:tcPr>
            <w:tcW w:w="2271" w:type="dxa"/>
            <w:vAlign w:val="center"/>
          </w:tcPr>
          <w:p w14:paraId="27988BE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76D07D2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7F089D1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第4.4.1条</w:t>
            </w:r>
          </w:p>
        </w:tc>
        <w:tc>
          <w:tcPr>
            <w:tcW w:w="1808" w:type="dxa"/>
            <w:vAlign w:val="center"/>
          </w:tcPr>
          <w:p w14:paraId="6C10B95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项目的钢斜梯采用焊接连接。</w:t>
            </w:r>
          </w:p>
        </w:tc>
        <w:tc>
          <w:tcPr>
            <w:tcW w:w="806" w:type="dxa"/>
            <w:vAlign w:val="center"/>
          </w:tcPr>
          <w:p w14:paraId="2B55B2B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57C8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95B7645">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775F219">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制造安装工艺应确保梯子及其所有构件的表面光滑、无锐边、尖角、毛刺或其他可能对梯子使用者造成伤害或者妨碍其通过的外部缺陷。</w:t>
            </w:r>
          </w:p>
        </w:tc>
        <w:tc>
          <w:tcPr>
            <w:tcW w:w="2271" w:type="dxa"/>
            <w:vAlign w:val="center"/>
          </w:tcPr>
          <w:p w14:paraId="0C3BF44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413647A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3CDD89A7">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第4.4.2条</w:t>
            </w:r>
          </w:p>
        </w:tc>
        <w:tc>
          <w:tcPr>
            <w:tcW w:w="1808" w:type="dxa"/>
            <w:vAlign w:val="center"/>
          </w:tcPr>
          <w:p w14:paraId="59DEBA4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项目内的钢斜梯符合相关要求。</w:t>
            </w:r>
          </w:p>
        </w:tc>
        <w:tc>
          <w:tcPr>
            <w:tcW w:w="806" w:type="dxa"/>
            <w:vAlign w:val="center"/>
          </w:tcPr>
          <w:p w14:paraId="6682003B">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61DF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0CEEDAEB">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D2E4AB1">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根据钢斜梯使用场合及环境条件,应对梯子进行合适的防锈及防腐涂装。</w:t>
            </w:r>
          </w:p>
        </w:tc>
        <w:tc>
          <w:tcPr>
            <w:tcW w:w="2271" w:type="dxa"/>
            <w:vAlign w:val="center"/>
          </w:tcPr>
          <w:p w14:paraId="120B9BE4">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610DFBF8">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1D064D0C">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第4.5.2条</w:t>
            </w:r>
          </w:p>
        </w:tc>
        <w:tc>
          <w:tcPr>
            <w:tcW w:w="1808" w:type="dxa"/>
            <w:vAlign w:val="center"/>
          </w:tcPr>
          <w:p w14:paraId="08F8CB5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项目内的钢斜梯均进行了相关的防锈及防腐涂装。</w:t>
            </w:r>
          </w:p>
        </w:tc>
        <w:tc>
          <w:tcPr>
            <w:tcW w:w="806" w:type="dxa"/>
            <w:vAlign w:val="center"/>
          </w:tcPr>
          <w:p w14:paraId="10E5AE6C">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B624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35DE5E55">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56081DCC">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在室外安装的钢斜梯和连按部分的防雷电保护,连接和接地附件应符合相关要求。</w:t>
            </w:r>
          </w:p>
        </w:tc>
        <w:tc>
          <w:tcPr>
            <w:tcW w:w="2271" w:type="dxa"/>
            <w:vAlign w:val="center"/>
          </w:tcPr>
          <w:p w14:paraId="5002BF60">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47183EB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23A33A7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第4.6条</w:t>
            </w:r>
          </w:p>
        </w:tc>
        <w:tc>
          <w:tcPr>
            <w:tcW w:w="1808" w:type="dxa"/>
            <w:vAlign w:val="center"/>
          </w:tcPr>
          <w:p w14:paraId="5EA703E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项目内的钢斜梯均设置了相应的防雷电保护设施。</w:t>
            </w:r>
          </w:p>
        </w:tc>
        <w:tc>
          <w:tcPr>
            <w:tcW w:w="806" w:type="dxa"/>
            <w:vAlign w:val="center"/>
          </w:tcPr>
          <w:p w14:paraId="1235FB5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A99A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42E10614">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42FC9D1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扶手应沿其整个长度方向上连续可抓握。</w:t>
            </w:r>
          </w:p>
        </w:tc>
        <w:tc>
          <w:tcPr>
            <w:tcW w:w="2271" w:type="dxa"/>
            <w:vAlign w:val="center"/>
          </w:tcPr>
          <w:p w14:paraId="1127323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《固定式钢梯及平台安全要求第2部分：钢斜梯》</w:t>
            </w:r>
          </w:p>
          <w:p w14:paraId="5025767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4053.2-2009）</w:t>
            </w:r>
          </w:p>
          <w:p w14:paraId="3AC2251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第5.6.8条</w:t>
            </w:r>
          </w:p>
        </w:tc>
        <w:tc>
          <w:tcPr>
            <w:tcW w:w="1808" w:type="dxa"/>
            <w:vAlign w:val="center"/>
          </w:tcPr>
          <w:p w14:paraId="2BDF03DD">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该项目内钢斜梯的扶手符合要求。</w:t>
            </w:r>
          </w:p>
        </w:tc>
        <w:tc>
          <w:tcPr>
            <w:tcW w:w="806" w:type="dxa"/>
            <w:vAlign w:val="center"/>
          </w:tcPr>
          <w:p w14:paraId="2AF2E222">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7244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970" w:type="dxa"/>
            <w:gridSpan w:val="5"/>
            <w:vAlign w:val="center"/>
          </w:tcPr>
          <w:p w14:paraId="75477E14">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工业防护栏杆及钢平台</w:t>
            </w:r>
          </w:p>
        </w:tc>
      </w:tr>
      <w:tr w14:paraId="2BF27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1FE1E19">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EC7B22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距下方相邻地板或地面1.2m 及以上的平台、通道或工作面的所有敞开边缘应设置防护栏杆。</w:t>
            </w:r>
          </w:p>
        </w:tc>
        <w:tc>
          <w:tcPr>
            <w:tcW w:w="2271" w:type="dxa"/>
            <w:vAlign w:val="center"/>
          </w:tcPr>
          <w:p w14:paraId="482DA8A6">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《固定式钢梯及平台安全要求第3部分工业防护栏杆及钢平台》</w:t>
            </w:r>
          </w:p>
          <w:p w14:paraId="18DF2CFC">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4053.3-2009）</w:t>
            </w:r>
          </w:p>
          <w:p w14:paraId="6DC12B1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第4.1.1条</w:t>
            </w:r>
          </w:p>
        </w:tc>
        <w:tc>
          <w:tcPr>
            <w:tcW w:w="1808" w:type="dxa"/>
            <w:vAlign w:val="center"/>
          </w:tcPr>
          <w:p w14:paraId="0D8D53B9">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平台设置了防护栏杆。</w:t>
            </w:r>
          </w:p>
        </w:tc>
        <w:tc>
          <w:tcPr>
            <w:tcW w:w="806" w:type="dxa"/>
            <w:vAlign w:val="center"/>
          </w:tcPr>
          <w:p w14:paraId="2D2D5D90">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1749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3F43C22B">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tcPr>
          <w:p w14:paraId="3245E0D8">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bookmarkStart w:id="661" w:name="_Toc20226"/>
            <w:bookmarkStart w:id="662" w:name="_Toc22279"/>
            <w:bookmarkStart w:id="663" w:name="_Toc532"/>
            <w:bookmarkStart w:id="664" w:name="_Toc30564"/>
            <w:bookmarkStart w:id="665" w:name="_Toc30641"/>
            <w:bookmarkStart w:id="666" w:name="_Toc8677"/>
            <w:bookmarkStart w:id="667" w:name="_Toc27337"/>
            <w:bookmarkStart w:id="668" w:name="_Toc12194"/>
            <w:bookmarkStart w:id="669" w:name="_Toc9402"/>
            <w:bookmarkStart w:id="670" w:name="_Toc1708"/>
            <w:bookmarkStart w:id="671" w:name="_Toc728"/>
            <w:bookmarkStart w:id="672" w:name="_Toc26173"/>
            <w:bookmarkStart w:id="673" w:name="_Toc2892"/>
            <w:bookmarkStart w:id="674" w:name="_Toc5942"/>
            <w:bookmarkStart w:id="675" w:name="_Toc12967"/>
            <w:r>
              <w:rPr>
                <w:rFonts w:hint="eastAsia" w:ascii="宋体" w:hAnsi="宋体" w:eastAsia="宋体" w:cs="宋体"/>
                <w:color w:val="000000" w:themeColor="text1"/>
                <w:sz w:val="21"/>
                <w:szCs w:val="21"/>
                <w14:textFill>
                  <w14:solidFill>
                    <w14:schemeClr w14:val="tx1"/>
                  </w14:solidFill>
                </w14:textFill>
              </w:rPr>
              <w:t>防护栏杆及钢平台应采用焊接连接，焊接要求应符合GB 50205 的规定。</w:t>
            </w:r>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 w14:paraId="5B3A1D2C">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bookmarkStart w:id="676" w:name="_Toc1362"/>
            <w:bookmarkStart w:id="677" w:name="_Toc30759"/>
            <w:bookmarkStart w:id="678" w:name="_Toc18355"/>
            <w:bookmarkStart w:id="679" w:name="_Toc30638"/>
            <w:bookmarkStart w:id="680" w:name="_Toc12075"/>
            <w:bookmarkStart w:id="681" w:name="_Toc20274"/>
            <w:bookmarkStart w:id="682" w:name="_Toc4823"/>
            <w:bookmarkStart w:id="683" w:name="_Toc5331"/>
            <w:bookmarkStart w:id="684" w:name="_Toc20920"/>
            <w:bookmarkStart w:id="685" w:name="_Toc18729"/>
            <w:bookmarkStart w:id="686" w:name="_Toc23531"/>
            <w:bookmarkStart w:id="687" w:name="_Toc12547"/>
            <w:bookmarkStart w:id="688" w:name="_Toc2131"/>
            <w:bookmarkStart w:id="689" w:name="_Toc1808"/>
            <w:bookmarkStart w:id="690" w:name="_Toc13685"/>
            <w:r>
              <w:rPr>
                <w:rFonts w:hint="eastAsia" w:ascii="宋体" w:hAnsi="宋体" w:eastAsia="宋体" w:cs="宋体"/>
                <w:color w:val="000000" w:themeColor="text1"/>
                <w:sz w:val="21"/>
                <w:szCs w:val="21"/>
                <w14:textFill>
                  <w14:solidFill>
                    <w14:schemeClr w14:val="tx1"/>
                  </w14:solidFill>
                </w14:textFill>
              </w:rPr>
              <w:t>当不便焊接时，可用螺栓连接，但应保证设计的结构强度。安装后的防护栏杆及钢平台不应有歪斜、扭曲、变形及其它缺陷。</w:t>
            </w:r>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tc>
        <w:tc>
          <w:tcPr>
            <w:tcW w:w="2271" w:type="dxa"/>
            <w:vAlign w:val="center"/>
          </w:tcPr>
          <w:p w14:paraId="6D0690AA">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《固定式钢梯及平台安全要求第3部分工业防护栏杆及钢平台》</w:t>
            </w:r>
          </w:p>
          <w:p w14:paraId="40C330C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4053.3-2009）</w:t>
            </w:r>
          </w:p>
          <w:p w14:paraId="742872F4">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第4.5.1条</w:t>
            </w:r>
          </w:p>
        </w:tc>
        <w:tc>
          <w:tcPr>
            <w:tcW w:w="1808" w:type="dxa"/>
            <w:vAlign w:val="center"/>
          </w:tcPr>
          <w:p w14:paraId="3DC87CD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防护栏杆及钢平台采用焊接连接。</w:t>
            </w:r>
          </w:p>
        </w:tc>
        <w:tc>
          <w:tcPr>
            <w:tcW w:w="806" w:type="dxa"/>
            <w:vAlign w:val="center"/>
          </w:tcPr>
          <w:p w14:paraId="6C509A7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6A53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756E90DB">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A025A70">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防护栏杆制造安装工艺应确保所有构件及其连接部分表面光滑，无锐边、尖角、毛刺或其它可能对人员造成伤害或妨碍其通过的外部缺陷。</w:t>
            </w:r>
          </w:p>
        </w:tc>
        <w:tc>
          <w:tcPr>
            <w:tcW w:w="2271" w:type="dxa"/>
            <w:vAlign w:val="center"/>
          </w:tcPr>
          <w:p w14:paraId="1838E187">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《固定式钢梯及平台安全要求第3部分工业防护栏杆及钢平台》</w:t>
            </w:r>
          </w:p>
          <w:p w14:paraId="74D0052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4053.3-2009）</w:t>
            </w:r>
          </w:p>
          <w:p w14:paraId="7C865461">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第4.5.2条</w:t>
            </w:r>
          </w:p>
        </w:tc>
        <w:tc>
          <w:tcPr>
            <w:tcW w:w="1808" w:type="dxa"/>
            <w:vAlign w:val="center"/>
          </w:tcPr>
          <w:p w14:paraId="3769E4B0">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现场检查扶手无尖角、不光滑等外部缺陷。</w:t>
            </w:r>
          </w:p>
        </w:tc>
        <w:tc>
          <w:tcPr>
            <w:tcW w:w="806" w:type="dxa"/>
            <w:vAlign w:val="center"/>
          </w:tcPr>
          <w:p w14:paraId="4C27E5C0">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19C6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F6FC043">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69EBCBF4">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安装后的平台钢梁应平直，铺板应平整，不应有歪斜、翘曲、变形及其它缺陷。</w:t>
            </w:r>
          </w:p>
        </w:tc>
        <w:tc>
          <w:tcPr>
            <w:tcW w:w="2271" w:type="dxa"/>
            <w:vAlign w:val="center"/>
          </w:tcPr>
          <w:p w14:paraId="3E814F22">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w:t>
            </w:r>
            <w:r>
              <w:rPr>
                <w:rFonts w:hint="eastAsia" w:ascii="宋体" w:hAnsi="宋体" w:eastAsia="宋体" w:cs="宋体"/>
                <w:color w:val="000000" w:themeColor="text1"/>
                <w:kern w:val="0"/>
                <w:sz w:val="21"/>
                <w:szCs w:val="21"/>
                <w14:textFill>
                  <w14:solidFill>
                    <w14:schemeClr w14:val="tx1"/>
                  </w14:solidFill>
                </w14:textFill>
              </w:rPr>
              <w:t>工业防护栏杆及钢平台</w:t>
            </w:r>
            <w:r>
              <w:rPr>
                <w:rFonts w:hint="eastAsia" w:ascii="宋体" w:hAnsi="宋体" w:eastAsia="宋体" w:cs="宋体"/>
                <w:color w:val="000000" w:themeColor="text1"/>
                <w:sz w:val="21"/>
                <w:szCs w:val="21"/>
                <w14:textFill>
                  <w14:solidFill>
                    <w14:schemeClr w14:val="tx1"/>
                  </w14:solidFill>
                </w14:textFill>
              </w:rPr>
              <w:t>》</w:t>
            </w:r>
          </w:p>
          <w:p w14:paraId="0FC24D01">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27"/>
                <w:rFonts w:hint="eastAsia" w:ascii="宋体" w:hAnsi="宋体" w:eastAsia="宋体" w:cs="宋体"/>
                <w:b w:val="0"/>
                <w:color w:val="000000" w:themeColor="text1"/>
                <w:sz w:val="21"/>
                <w:szCs w:val="21"/>
                <w14:textFill>
                  <w14:solidFill>
                    <w14:schemeClr w14:val="tx1"/>
                  </w14:solidFill>
                </w14:textFill>
              </w:rPr>
              <w:t>（GB 4053.3-2009）</w:t>
            </w:r>
          </w:p>
          <w:p w14:paraId="26027481">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第4.5.4条</w:t>
            </w:r>
          </w:p>
        </w:tc>
        <w:tc>
          <w:tcPr>
            <w:tcW w:w="1808" w:type="dxa"/>
            <w:vAlign w:val="center"/>
          </w:tcPr>
          <w:p w14:paraId="47F32B1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现场检查时未发现平台存在明显缺陷。</w:t>
            </w:r>
          </w:p>
        </w:tc>
        <w:tc>
          <w:tcPr>
            <w:tcW w:w="806" w:type="dxa"/>
            <w:vAlign w:val="center"/>
          </w:tcPr>
          <w:p w14:paraId="65C7C4AE">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3B99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399B0740">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3E33FACD">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根据防护栏杆和钢平台使用场合及环境条件，应对其进行合适的防锈及防腐涂装。</w:t>
            </w:r>
          </w:p>
        </w:tc>
        <w:tc>
          <w:tcPr>
            <w:tcW w:w="2271" w:type="dxa"/>
            <w:vAlign w:val="center"/>
          </w:tcPr>
          <w:p w14:paraId="58F141E8">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《固定式钢梯及平台安全要求第3部分</w:t>
            </w:r>
            <w:r>
              <w:rPr>
                <w:rFonts w:hint="eastAsia" w:ascii="宋体" w:hAnsi="宋体" w:eastAsia="宋体" w:cs="宋体"/>
                <w:color w:val="000000" w:themeColor="text1"/>
                <w:kern w:val="0"/>
                <w:sz w:val="21"/>
                <w:szCs w:val="21"/>
                <w14:textFill>
                  <w14:solidFill>
                    <w14:schemeClr w14:val="tx1"/>
                  </w14:solidFill>
                </w14:textFill>
              </w:rPr>
              <w:t>工业防护栏杆及钢平台</w:t>
            </w:r>
            <w:r>
              <w:rPr>
                <w:rFonts w:hint="eastAsia" w:ascii="宋体" w:hAnsi="宋体" w:eastAsia="宋体" w:cs="宋体"/>
                <w:color w:val="000000" w:themeColor="text1"/>
                <w:sz w:val="21"/>
                <w:szCs w:val="21"/>
                <w14:textFill>
                  <w14:solidFill>
                    <w14:schemeClr w14:val="tx1"/>
                  </w14:solidFill>
                </w14:textFill>
              </w:rPr>
              <w:t>》</w:t>
            </w:r>
          </w:p>
          <w:p w14:paraId="77A470E0">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Style w:val="27"/>
                <w:rFonts w:hint="eastAsia" w:ascii="宋体" w:hAnsi="宋体" w:eastAsia="宋体" w:cs="宋体"/>
                <w:b w:val="0"/>
                <w:color w:val="000000" w:themeColor="text1"/>
                <w:sz w:val="21"/>
                <w:szCs w:val="21"/>
                <w14:textFill>
                  <w14:solidFill>
                    <w14:schemeClr w14:val="tx1"/>
                  </w14:solidFill>
                </w14:textFill>
              </w:rPr>
              <w:t>（GB 4053.3-2009）</w:t>
            </w:r>
          </w:p>
          <w:p w14:paraId="72341051">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第4.6.2条</w:t>
            </w:r>
          </w:p>
        </w:tc>
        <w:tc>
          <w:tcPr>
            <w:tcW w:w="1808" w:type="dxa"/>
            <w:vAlign w:val="center"/>
          </w:tcPr>
          <w:p w14:paraId="4958E30E">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项目的防护栏杆和钢平台进行了防腐涂装。</w:t>
            </w:r>
          </w:p>
        </w:tc>
        <w:tc>
          <w:tcPr>
            <w:tcW w:w="806" w:type="dxa"/>
            <w:vAlign w:val="center"/>
          </w:tcPr>
          <w:p w14:paraId="7802BE7A">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4DD8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970" w:type="dxa"/>
            <w:gridSpan w:val="5"/>
            <w:vAlign w:val="center"/>
          </w:tcPr>
          <w:p w14:paraId="03448FA4">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机械设备防护装置</w:t>
            </w:r>
          </w:p>
        </w:tc>
      </w:tr>
      <w:tr w14:paraId="3F68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51740E80">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64C6C8AD">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在设计和应用防护装置时，应适当考虑在机器整个预期寿命期间的运行和可预见的机器环境方面的因素。对这些方面的考虑不当可能导致不安全或机器不能运行，以致人为的使防护装置失效，从而使人员暴露在更大的风险中。</w:t>
            </w:r>
          </w:p>
        </w:tc>
        <w:tc>
          <w:tcPr>
            <w:tcW w:w="2271" w:type="dxa"/>
            <w:vAlign w:val="center"/>
          </w:tcPr>
          <w:p w14:paraId="3CDAD942">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157019CB">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42CA96F8">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第5.1.1条</w:t>
            </w:r>
          </w:p>
        </w:tc>
        <w:tc>
          <w:tcPr>
            <w:tcW w:w="1808" w:type="dxa"/>
            <w:vAlign w:val="center"/>
          </w:tcPr>
          <w:p w14:paraId="56AD9DA3">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该项目的采用的防护装置均考虑了相关的因素。</w:t>
            </w:r>
          </w:p>
        </w:tc>
        <w:tc>
          <w:tcPr>
            <w:tcW w:w="806" w:type="dxa"/>
            <w:vAlign w:val="center"/>
          </w:tcPr>
          <w:p w14:paraId="2BA43E0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3D94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0B04D7D2">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75B3E97D">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在可行时,为尽可能减少进入危险区,防护装置和机械的设计应使得不用打开或拆卸防护装置就可进行例行的调整、润滑和维护。</w:t>
            </w:r>
          </w:p>
          <w:p w14:paraId="247E253F">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如果需要进入被防护区域，则应尽可能做到可自由、畅通无阻地进入。</w:t>
            </w:r>
          </w:p>
        </w:tc>
        <w:tc>
          <w:tcPr>
            <w:tcW w:w="2271" w:type="dxa"/>
            <w:vAlign w:val="center"/>
          </w:tcPr>
          <w:p w14:paraId="6CA95322">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7D9655F7">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3548F895">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第5.1.2条</w:t>
            </w:r>
          </w:p>
        </w:tc>
        <w:tc>
          <w:tcPr>
            <w:tcW w:w="1808" w:type="dxa"/>
            <w:vAlign w:val="center"/>
          </w:tcPr>
          <w:p w14:paraId="425F3754">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该项目的防护装置符合相关的要求。</w:t>
            </w:r>
          </w:p>
        </w:tc>
        <w:tc>
          <w:tcPr>
            <w:tcW w:w="806" w:type="dxa"/>
            <w:vAlign w:val="center"/>
          </w:tcPr>
          <w:p w14:paraId="2B7CAD1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1043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29BC2BEF">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918FE4E">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对于用于防止进入危险区的防护装置，其设计、制造和定位应满足 ISO 13857，以防止人体各部位触及危险区。对联锁活动式防护装置，还应满足ISO 13855 的安全距离。</w:t>
            </w:r>
          </w:p>
        </w:tc>
        <w:tc>
          <w:tcPr>
            <w:tcW w:w="2271" w:type="dxa"/>
            <w:vAlign w:val="center"/>
          </w:tcPr>
          <w:p w14:paraId="045AF207">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158ED857">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0715ADA7">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第5.2.2条</w:t>
            </w:r>
          </w:p>
        </w:tc>
        <w:tc>
          <w:tcPr>
            <w:tcW w:w="1808" w:type="dxa"/>
            <w:vAlign w:val="center"/>
          </w:tcPr>
          <w:p w14:paraId="6A5814DF">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该项目的防护装置符合相关的要求。</w:t>
            </w:r>
          </w:p>
        </w:tc>
        <w:tc>
          <w:tcPr>
            <w:tcW w:w="806" w:type="dxa"/>
            <w:vAlign w:val="center"/>
          </w:tcPr>
          <w:p w14:paraId="10F9C308">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9F3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69EDEE15">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0B84BE9F">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连接牢固性：焊接、粘接或机械式紧固连接应有足够的强度，以承受正常的可预见的载荷。在使用粘接剂的场合，应使其与所采用的工艺和使用的材料相匹配。在使用机械紧固件的场合，其强度、数量和位置应足以保证防护装置的稳定性和刚度。</w:t>
            </w:r>
          </w:p>
        </w:tc>
        <w:tc>
          <w:tcPr>
            <w:tcW w:w="2271" w:type="dxa"/>
            <w:vAlign w:val="center"/>
          </w:tcPr>
          <w:p w14:paraId="6857A34D">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07D2AB7F">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2CFB6C4C">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第5.3.8条</w:t>
            </w:r>
          </w:p>
        </w:tc>
        <w:tc>
          <w:tcPr>
            <w:tcW w:w="1808" w:type="dxa"/>
            <w:vAlign w:val="center"/>
          </w:tcPr>
          <w:p w14:paraId="76632292">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该项目防护装置连接牢固性基本符合要求，现场检查时未发现明显缺陷。</w:t>
            </w:r>
          </w:p>
        </w:tc>
        <w:tc>
          <w:tcPr>
            <w:tcW w:w="806" w:type="dxa"/>
            <w:vAlign w:val="center"/>
          </w:tcPr>
          <w:p w14:paraId="4FD01F97">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951F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0F411571">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D662E83">
            <w:pPr>
              <w:tabs>
                <w:tab w:val="left" w:pos="2898"/>
              </w:tabs>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只能用工具拆卸：防护装置的可拆卸部件应只能借助工具才可以拆卸。</w:t>
            </w:r>
          </w:p>
        </w:tc>
        <w:tc>
          <w:tcPr>
            <w:tcW w:w="2271" w:type="dxa"/>
            <w:vAlign w:val="center"/>
          </w:tcPr>
          <w:p w14:paraId="448A231C">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5C1AFF10">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030AD988">
            <w:pPr>
              <w:tabs>
                <w:tab w:val="left" w:pos="2898"/>
              </w:tabs>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第5.3.9条</w:t>
            </w:r>
          </w:p>
        </w:tc>
        <w:tc>
          <w:tcPr>
            <w:tcW w:w="1808" w:type="dxa"/>
            <w:vAlign w:val="center"/>
          </w:tcPr>
          <w:p w14:paraId="6ED6ADCB">
            <w:pPr>
              <w:tabs>
                <w:tab w:val="left" w:pos="2898"/>
              </w:tabs>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该项目防护装置可拆卸部件设计符合相关要求。</w:t>
            </w:r>
          </w:p>
        </w:tc>
        <w:tc>
          <w:tcPr>
            <w:tcW w:w="806" w:type="dxa"/>
            <w:vAlign w:val="center"/>
          </w:tcPr>
          <w:p w14:paraId="3D63B647">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9631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7BE646B">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2350D516">
            <w:pPr>
              <w:tabs>
                <w:tab w:val="left" w:pos="2898"/>
              </w:tabs>
              <w:autoSpaceDE w:val="0"/>
              <w:autoSpaceDN w:val="0"/>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对于带轮、传动带、齿轮、齿条齿轮和传动轴等运动的传动部件产生的危险,应采用固定式防护装置或联锁的活动式防护装置进行防护。</w:t>
            </w:r>
          </w:p>
        </w:tc>
        <w:tc>
          <w:tcPr>
            <w:tcW w:w="2271" w:type="dxa"/>
            <w:vAlign w:val="center"/>
          </w:tcPr>
          <w:p w14:paraId="53C67D07">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3116AC56">
            <w:pPr>
              <w:tabs>
                <w:tab w:val="left" w:pos="2898"/>
              </w:tabs>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73302AB7">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第6.4.2条</w:t>
            </w:r>
          </w:p>
        </w:tc>
        <w:tc>
          <w:tcPr>
            <w:tcW w:w="1808" w:type="dxa"/>
            <w:vAlign w:val="center"/>
          </w:tcPr>
          <w:p w14:paraId="4E5E54F1">
            <w:pPr>
              <w:tabs>
                <w:tab w:val="left" w:pos="2898"/>
              </w:tabs>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该项目的转动或传动机械设备部位设置了机械防护装置。</w:t>
            </w:r>
          </w:p>
        </w:tc>
        <w:tc>
          <w:tcPr>
            <w:tcW w:w="806" w:type="dxa"/>
            <w:vAlign w:val="center"/>
          </w:tcPr>
          <w:p w14:paraId="7E800BE1">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2944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vAlign w:val="center"/>
          </w:tcPr>
          <w:p w14:paraId="188F8A82">
            <w:pPr>
              <w:numPr>
                <w:ilvl w:val="0"/>
                <w:numId w:val="7"/>
              </w:numPr>
              <w:tabs>
                <w:tab w:val="left" w:pos="533"/>
              </w:tabs>
              <w:adjustRightInd w:val="0"/>
              <w:snapToGrid w:val="0"/>
              <w:spacing w:line="300" w:lineRule="exact"/>
              <w:ind w:left="533" w:hanging="420"/>
              <w:jc w:val="center"/>
              <w:rPr>
                <w:rFonts w:hint="eastAsia" w:ascii="宋体" w:hAnsi="宋体" w:eastAsia="宋体" w:cs="宋体"/>
                <w:color w:val="000000" w:themeColor="text1"/>
                <w:sz w:val="21"/>
                <w:szCs w:val="21"/>
                <w14:textFill>
                  <w14:solidFill>
                    <w14:schemeClr w14:val="tx1"/>
                  </w14:solidFill>
                </w14:textFill>
              </w:rPr>
            </w:pPr>
          </w:p>
        </w:tc>
        <w:tc>
          <w:tcPr>
            <w:tcW w:w="3335" w:type="dxa"/>
            <w:vAlign w:val="center"/>
          </w:tcPr>
          <w:p w14:paraId="197ADF4A">
            <w:pPr>
              <w:tabs>
                <w:tab w:val="left" w:pos="2898"/>
              </w:tabs>
              <w:autoSpaceDE w:val="0"/>
              <w:autoSpaceDN w:val="0"/>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车间的地面应平坦、不打滑。</w:t>
            </w:r>
          </w:p>
        </w:tc>
        <w:tc>
          <w:tcPr>
            <w:tcW w:w="2271" w:type="dxa"/>
            <w:vAlign w:val="center"/>
          </w:tcPr>
          <w:p w14:paraId="6F9DD569">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《机械工业职业安全卫生设计规范》</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（JBJ 18-2000）</w:t>
            </w:r>
          </w:p>
          <w:p w14:paraId="517E4873">
            <w:pPr>
              <w:tabs>
                <w:tab w:val="left" w:pos="2898"/>
              </w:tabs>
              <w:autoSpaceDE w:val="0"/>
              <w:autoSpaceDN w:val="0"/>
              <w:adjustRightInd w:val="0"/>
              <w:snapToGrid w:val="0"/>
              <w:spacing w:line="300" w:lineRule="exact"/>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第3.1.4条</w:t>
            </w:r>
          </w:p>
        </w:tc>
        <w:tc>
          <w:tcPr>
            <w:tcW w:w="1808" w:type="dxa"/>
            <w:vAlign w:val="center"/>
          </w:tcPr>
          <w:p w14:paraId="2B9F743E">
            <w:pPr>
              <w:tabs>
                <w:tab w:val="left" w:pos="2898"/>
              </w:tabs>
              <w:autoSpaceDE w:val="0"/>
              <w:autoSpaceDN w:val="0"/>
              <w:adjustRightInd w:val="0"/>
              <w:snapToGrid w:val="0"/>
              <w:spacing w:line="30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该项目车间地面平坦、不打滑。</w:t>
            </w:r>
          </w:p>
        </w:tc>
        <w:tc>
          <w:tcPr>
            <w:tcW w:w="806" w:type="dxa"/>
            <w:vAlign w:val="center"/>
          </w:tcPr>
          <w:p w14:paraId="6F3F8FC1">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31576A64">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691" w:name="_Toc11877"/>
      <w:bookmarkStart w:id="692" w:name="_Toc16943"/>
      <w:bookmarkStart w:id="693" w:name="_Toc10336"/>
      <w:bookmarkStart w:id="694" w:name="_Toc5797"/>
      <w:bookmarkStart w:id="695" w:name="_Toc5267"/>
      <w:bookmarkStart w:id="696" w:name="_Toc61474472"/>
      <w:bookmarkStart w:id="697" w:name="_Toc30001449"/>
      <w:bookmarkStart w:id="698" w:name="_Toc11760"/>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5.3.2防雷、防静电安全评价子单元安全检查表</w:t>
      </w:r>
      <w:bookmarkEnd w:id="691"/>
      <w:bookmarkEnd w:id="692"/>
      <w:bookmarkEnd w:id="693"/>
      <w:bookmarkEnd w:id="694"/>
      <w:bookmarkEnd w:id="695"/>
    </w:p>
    <w:p w14:paraId="3BD18AB2">
      <w:pPr>
        <w:spacing w:line="500" w:lineRule="exact"/>
        <w:ind w:firstLine="560" w:firstLineChars="200"/>
        <w:jc w:val="left"/>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根据《建筑物防雷设计规范》（GB50057-2010）、《生产设备安全卫生设计总则》（GB5083-2023）、《防止静电事故通用导则》（GB12158-2006）等标准、规范要求，对该项目区的防雷、防静电设施进行安全评价，具体情况见下表5-</w:t>
      </w:r>
      <w:r>
        <w:rPr>
          <w:rFonts w:hint="eastAsia" w:ascii="宋体" w:hAnsi="宋体" w:eastAsia="宋体" w:cs="宋体"/>
          <w:color w:val="000000" w:themeColor="text1"/>
          <w:kern w:val="0"/>
          <w:sz w:val="28"/>
          <w:szCs w:val="28"/>
          <w:lang w:val="en-US" w:eastAsia="zh-CN"/>
          <w14:textFill>
            <w14:solidFill>
              <w14:schemeClr w14:val="tx1"/>
            </w14:solidFill>
          </w14:textFill>
        </w:rPr>
        <w:t>5</w:t>
      </w:r>
      <w:r>
        <w:rPr>
          <w:rFonts w:hint="eastAsia" w:ascii="宋体" w:hAnsi="宋体" w:eastAsia="宋体" w:cs="宋体"/>
          <w:color w:val="000000" w:themeColor="text1"/>
          <w:kern w:val="0"/>
          <w:sz w:val="28"/>
          <w:szCs w:val="28"/>
          <w14:textFill>
            <w14:solidFill>
              <w14:schemeClr w14:val="tx1"/>
            </w14:solidFill>
          </w14:textFill>
        </w:rPr>
        <w:t>所示。</w:t>
      </w:r>
    </w:p>
    <w:p w14:paraId="6EA01BB8">
      <w:pPr>
        <w:pStyle w:val="14"/>
        <w:autoSpaceDE w:val="0"/>
        <w:autoSpaceDN w:val="0"/>
        <w:adjustRightInd w:val="0"/>
        <w:snapToGrid w:val="0"/>
        <w:spacing w:after="0" w:line="500" w:lineRule="exact"/>
        <w:ind w:left="0" w:leftChars="0" w:firstLine="482" w:firstLineChars="200"/>
        <w:jc w:val="center"/>
        <w:rPr>
          <w:rFonts w:hint="eastAsia" w:ascii="宋体" w:hAnsi="宋体" w:eastAsia="宋体" w:cs="宋体"/>
          <w:snapToGrid w:val="0"/>
          <w:color w:val="000000" w:themeColor="text1"/>
          <w:kern w:val="0"/>
          <w:sz w:val="24"/>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表5-</w:t>
      </w:r>
      <w:r>
        <w:rPr>
          <w:rFonts w:hint="eastAsia" w:ascii="宋体" w:hAnsi="宋体" w:eastAsia="宋体" w:cs="宋体"/>
          <w:b/>
          <w:bCs/>
          <w:color w:val="000000" w:themeColor="text1"/>
          <w:szCs w:val="21"/>
          <w:lang w:val="en-US" w:eastAsia="zh-CN"/>
          <w14:textFill>
            <w14:solidFill>
              <w14:schemeClr w14:val="tx1"/>
            </w14:solidFill>
          </w14:textFill>
        </w:rPr>
        <w:t xml:space="preserve">5 </w:t>
      </w:r>
      <w:r>
        <w:rPr>
          <w:rFonts w:hint="eastAsia" w:ascii="宋体" w:hAnsi="宋体" w:eastAsia="宋体" w:cs="宋体"/>
          <w:b/>
          <w:bCs/>
          <w:color w:val="000000" w:themeColor="text1"/>
          <w:szCs w:val="21"/>
          <w14:textFill>
            <w14:solidFill>
              <w14:schemeClr w14:val="tx1"/>
            </w14:solidFill>
          </w14:textFill>
        </w:rPr>
        <w:t>防雷、防静电设施安全检查表</w:t>
      </w:r>
    </w:p>
    <w:tbl>
      <w:tblPr>
        <w:tblStyle w:val="24"/>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1"/>
        <w:gridCol w:w="2316"/>
        <w:gridCol w:w="1843"/>
        <w:gridCol w:w="3449"/>
        <w:gridCol w:w="1228"/>
      </w:tblGrid>
      <w:tr w14:paraId="0AB6F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21" w:type="dxa"/>
            <w:vAlign w:val="center"/>
          </w:tcPr>
          <w:p w14:paraId="0B64CDC0">
            <w:pPr>
              <w:autoSpaceDE w:val="0"/>
              <w:autoSpaceDN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2316" w:type="dxa"/>
            <w:vAlign w:val="center"/>
          </w:tcPr>
          <w:p w14:paraId="2FC0AF1A">
            <w:pPr>
              <w:autoSpaceDE w:val="0"/>
              <w:autoSpaceDN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1843" w:type="dxa"/>
            <w:vAlign w:val="center"/>
          </w:tcPr>
          <w:p w14:paraId="7C57AF2F">
            <w:pPr>
              <w:autoSpaceDE w:val="0"/>
              <w:autoSpaceDN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检查依据</w:t>
            </w:r>
          </w:p>
        </w:tc>
        <w:tc>
          <w:tcPr>
            <w:tcW w:w="3449" w:type="dxa"/>
            <w:vAlign w:val="center"/>
          </w:tcPr>
          <w:p w14:paraId="2D0955D2">
            <w:pPr>
              <w:autoSpaceDE w:val="0"/>
              <w:autoSpaceDN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检查记录</w:t>
            </w:r>
          </w:p>
        </w:tc>
        <w:tc>
          <w:tcPr>
            <w:tcW w:w="1228" w:type="dxa"/>
            <w:vAlign w:val="center"/>
          </w:tcPr>
          <w:p w14:paraId="2EECBB7C">
            <w:pPr>
              <w:autoSpaceDE w:val="0"/>
              <w:autoSpaceDN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检查结果</w:t>
            </w:r>
          </w:p>
        </w:tc>
      </w:tr>
      <w:tr w14:paraId="13502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21" w:type="dxa"/>
            <w:vAlign w:val="center"/>
          </w:tcPr>
          <w:p w14:paraId="48057E3A">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316" w:type="dxa"/>
            <w:vAlign w:val="center"/>
          </w:tcPr>
          <w:p w14:paraId="308582C0">
            <w:pPr>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可能遭受雷击的生产设备，应有防雷等措施。</w:t>
            </w:r>
          </w:p>
        </w:tc>
        <w:tc>
          <w:tcPr>
            <w:tcW w:w="1843" w:type="dxa"/>
            <w:vAlign w:val="center"/>
          </w:tcPr>
          <w:p w14:paraId="401C61F6">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w:t>
            </w:r>
          </w:p>
          <w:p w14:paraId="4D0B8F5F">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（GB5083-2023）</w:t>
            </w:r>
          </w:p>
          <w:p w14:paraId="39612DFD">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第6.10.1条</w:t>
            </w:r>
          </w:p>
        </w:tc>
        <w:tc>
          <w:tcPr>
            <w:tcW w:w="3449" w:type="dxa"/>
            <w:vAlign w:val="center"/>
          </w:tcPr>
          <w:p w14:paraId="07BAA88F">
            <w:pPr>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本项目防雷接地设施于202</w:t>
            </w:r>
            <w:r>
              <w:rPr>
                <w:rFonts w:hint="eastAsia" w:ascii="宋体" w:hAnsi="宋体" w:eastAsia="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年</w:t>
            </w:r>
            <w:r>
              <w:rPr>
                <w:rFonts w:hint="eastAsia" w:ascii="宋体" w:hAnsi="宋体" w:eastAsia="宋体" w:cs="宋体"/>
                <w:color w:val="000000" w:themeColor="text1"/>
                <w:sz w:val="21"/>
                <w:szCs w:val="21"/>
                <w:lang w:val="en-US" w:eastAsia="zh-CN"/>
                <w14:textFill>
                  <w14:solidFill>
                    <w14:schemeClr w14:val="tx1"/>
                  </w14:solidFill>
                </w14:textFill>
              </w:rPr>
              <w:t>11</w:t>
            </w:r>
            <w:r>
              <w:rPr>
                <w:rFonts w:hint="eastAsia" w:ascii="宋体" w:hAnsi="宋体" w:eastAsia="宋体" w:cs="宋体"/>
                <w:color w:val="000000" w:themeColor="text1"/>
                <w:sz w:val="21"/>
                <w:szCs w:val="21"/>
                <w14:textFill>
                  <w14:solidFill>
                    <w14:schemeClr w14:val="tx1"/>
                  </w14:solidFill>
                </w14:textFill>
              </w:rPr>
              <w:t>月</w:t>
            </w:r>
            <w:r>
              <w:rPr>
                <w:rFonts w:hint="eastAsia" w:ascii="宋体" w:hAnsi="宋体" w:eastAsia="宋体" w:cs="宋体"/>
                <w:color w:val="000000" w:themeColor="text1"/>
                <w:sz w:val="21"/>
                <w:szCs w:val="21"/>
                <w:lang w:val="en-US" w:eastAsia="zh-CN"/>
                <w14:textFill>
                  <w14:solidFill>
                    <w14:schemeClr w14:val="tx1"/>
                  </w14:solidFill>
                </w14:textFill>
              </w:rPr>
              <w:t>04</w:t>
            </w:r>
            <w:r>
              <w:rPr>
                <w:rFonts w:hint="eastAsia" w:ascii="宋体" w:hAnsi="宋体" w:eastAsia="宋体" w:cs="宋体"/>
                <w:color w:val="000000" w:themeColor="text1"/>
                <w:sz w:val="21"/>
                <w:szCs w:val="21"/>
                <w14:textFill>
                  <w14:solidFill>
                    <w14:schemeClr w14:val="tx1"/>
                  </w14:solidFill>
                </w14:textFill>
              </w:rPr>
              <w:t>日</w:t>
            </w:r>
            <w:r>
              <w:rPr>
                <w:rFonts w:hint="eastAsia" w:ascii="宋体" w:hAnsi="宋体" w:eastAsia="宋体" w:cs="宋体"/>
                <w:color w:val="000000" w:themeColor="text1"/>
                <w:sz w:val="21"/>
                <w:szCs w:val="21"/>
                <w:lang w:val="en-US" w:eastAsia="zh-CN"/>
                <w14:textFill>
                  <w14:solidFill>
                    <w14:schemeClr w14:val="tx1"/>
                  </w14:solidFill>
                </w14:textFill>
              </w:rPr>
              <w:t>由云南标普电气检测技术有限公司</w:t>
            </w:r>
            <w:r>
              <w:rPr>
                <w:rFonts w:hint="eastAsia" w:ascii="宋体" w:hAnsi="宋体" w:eastAsia="宋体" w:cs="宋体"/>
                <w:color w:val="000000" w:themeColor="text1"/>
                <w:sz w:val="21"/>
                <w:szCs w:val="21"/>
                <w14:textFill>
                  <w14:solidFill>
                    <w14:schemeClr w14:val="tx1"/>
                  </w14:solidFill>
                </w14:textFill>
              </w:rPr>
              <w:t>检测完成</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检测结果均为合格，有效</w:t>
            </w:r>
            <w:r>
              <w:rPr>
                <w:rFonts w:hint="eastAsia" w:ascii="宋体" w:hAnsi="宋体" w:eastAsia="宋体" w:cs="宋体"/>
                <w:color w:val="000000" w:themeColor="text1"/>
                <w:sz w:val="21"/>
                <w:szCs w:val="21"/>
                <w:lang w:val="en-US" w:eastAsia="zh-CN"/>
                <w14:textFill>
                  <w14:solidFill>
                    <w14:schemeClr w14:val="tx1"/>
                  </w14:solidFill>
                </w14:textFill>
              </w:rPr>
              <w:t>期至：2025年11月03日，报告编号：（1252022002）[2024]0697号。</w:t>
            </w:r>
          </w:p>
        </w:tc>
        <w:tc>
          <w:tcPr>
            <w:tcW w:w="1228" w:type="dxa"/>
            <w:vAlign w:val="center"/>
          </w:tcPr>
          <w:p w14:paraId="5E697793">
            <w:pPr>
              <w:pStyle w:val="47"/>
              <w:widowControl w:val="0"/>
              <w:adjustRightInd/>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7C8E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521" w:type="dxa"/>
            <w:vAlign w:val="center"/>
          </w:tcPr>
          <w:p w14:paraId="27684254">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316" w:type="dxa"/>
            <w:vAlign w:val="center"/>
          </w:tcPr>
          <w:p w14:paraId="1E6773C0">
            <w:pPr>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各类防雷建构物应设防直击雷的外部防雷装置，并应采取防雷电电涌浸入措施。</w:t>
            </w:r>
          </w:p>
        </w:tc>
        <w:tc>
          <w:tcPr>
            <w:tcW w:w="1843" w:type="dxa"/>
            <w:vAlign w:val="center"/>
          </w:tcPr>
          <w:p w14:paraId="12551ED6">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《建筑物防雷设计规范》（GB50057-2010）</w:t>
            </w:r>
          </w:p>
          <w:p w14:paraId="746315AB">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第4.1.1条</w:t>
            </w:r>
          </w:p>
        </w:tc>
        <w:tc>
          <w:tcPr>
            <w:tcW w:w="3449" w:type="dxa"/>
            <w:vAlign w:val="center"/>
          </w:tcPr>
          <w:p w14:paraId="100B6B03">
            <w:pPr>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根据现场检查可知，该项目设置了防雷和防静电接地。</w:t>
            </w:r>
          </w:p>
        </w:tc>
        <w:tc>
          <w:tcPr>
            <w:tcW w:w="1228" w:type="dxa"/>
            <w:vAlign w:val="center"/>
          </w:tcPr>
          <w:p w14:paraId="569157CE">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605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521" w:type="dxa"/>
            <w:vAlign w:val="center"/>
          </w:tcPr>
          <w:p w14:paraId="5893141A">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316" w:type="dxa"/>
            <w:vAlign w:val="center"/>
          </w:tcPr>
          <w:p w14:paraId="6DDAF2D9">
            <w:pPr>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各类防雷建构筑物应设置内部防雷装置。</w:t>
            </w:r>
          </w:p>
        </w:tc>
        <w:tc>
          <w:tcPr>
            <w:tcW w:w="1843" w:type="dxa"/>
            <w:vAlign w:val="center"/>
          </w:tcPr>
          <w:p w14:paraId="6BED2056">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《建筑物防雷设计规范》（GB50057-2010）</w:t>
            </w:r>
          </w:p>
          <w:p w14:paraId="05CDF68C">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第4.1.2条</w:t>
            </w:r>
          </w:p>
        </w:tc>
        <w:tc>
          <w:tcPr>
            <w:tcW w:w="3449" w:type="dxa"/>
            <w:vAlign w:val="center"/>
          </w:tcPr>
          <w:p w14:paraId="0FD963AC">
            <w:pPr>
              <w:autoSpaceDE w:val="0"/>
              <w:autoSpaceDN w:val="0"/>
              <w:adjustRightInd w:val="0"/>
              <w:snapToGrid w:val="0"/>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构筑物已设置内部防雷装置。</w:t>
            </w:r>
          </w:p>
        </w:tc>
        <w:tc>
          <w:tcPr>
            <w:tcW w:w="1228" w:type="dxa"/>
            <w:vAlign w:val="center"/>
          </w:tcPr>
          <w:p w14:paraId="43AA3C35">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E962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521" w:type="dxa"/>
            <w:vAlign w:val="center"/>
          </w:tcPr>
          <w:p w14:paraId="1E2A7B70">
            <w:pPr>
              <w:autoSpaceDE w:val="0"/>
              <w:autoSpaceDN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2316" w:type="dxa"/>
            <w:vAlign w:val="center"/>
          </w:tcPr>
          <w:p w14:paraId="1F431843">
            <w:pPr>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在静电危险场所，所有属于静电导体的物体必须接地。对金属物体必须采用金属导体与大地做导通性连接，对金属以外的静电导体及亚导体则应间接接地。</w:t>
            </w:r>
          </w:p>
        </w:tc>
        <w:tc>
          <w:tcPr>
            <w:tcW w:w="1843" w:type="dxa"/>
            <w:vAlign w:val="center"/>
          </w:tcPr>
          <w:p w14:paraId="44C24328">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《防止静电事故通用导则》</w:t>
            </w:r>
          </w:p>
          <w:p w14:paraId="5E19C97C">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（GB12158-2006）</w:t>
            </w:r>
          </w:p>
          <w:p w14:paraId="5586BD74">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第6.1.2条</w:t>
            </w:r>
          </w:p>
        </w:tc>
        <w:tc>
          <w:tcPr>
            <w:tcW w:w="3449" w:type="dxa"/>
            <w:vAlign w:val="center"/>
          </w:tcPr>
          <w:p w14:paraId="7E0612AE">
            <w:pPr>
              <w:spacing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本项目防雷接地设施于202</w:t>
            </w:r>
            <w:r>
              <w:rPr>
                <w:rFonts w:hint="eastAsia" w:ascii="宋体" w:hAnsi="宋体" w:eastAsia="宋体" w:cs="宋体"/>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年</w:t>
            </w:r>
            <w:r>
              <w:rPr>
                <w:rFonts w:hint="eastAsia" w:ascii="宋体" w:hAnsi="宋体" w:eastAsia="宋体" w:cs="宋体"/>
                <w:color w:val="000000" w:themeColor="text1"/>
                <w:sz w:val="21"/>
                <w:szCs w:val="21"/>
                <w:lang w:val="en-US" w:eastAsia="zh-CN"/>
                <w14:textFill>
                  <w14:solidFill>
                    <w14:schemeClr w14:val="tx1"/>
                  </w14:solidFill>
                </w14:textFill>
              </w:rPr>
              <w:t>11</w:t>
            </w:r>
            <w:r>
              <w:rPr>
                <w:rFonts w:hint="eastAsia" w:ascii="宋体" w:hAnsi="宋体" w:eastAsia="宋体" w:cs="宋体"/>
                <w:color w:val="000000" w:themeColor="text1"/>
                <w:sz w:val="21"/>
                <w:szCs w:val="21"/>
                <w14:textFill>
                  <w14:solidFill>
                    <w14:schemeClr w14:val="tx1"/>
                  </w14:solidFill>
                </w14:textFill>
              </w:rPr>
              <w:t>月</w:t>
            </w:r>
            <w:r>
              <w:rPr>
                <w:rFonts w:hint="eastAsia" w:ascii="宋体" w:hAnsi="宋体" w:eastAsia="宋体" w:cs="宋体"/>
                <w:color w:val="000000" w:themeColor="text1"/>
                <w:sz w:val="21"/>
                <w:szCs w:val="21"/>
                <w:lang w:val="en-US" w:eastAsia="zh-CN"/>
                <w14:textFill>
                  <w14:solidFill>
                    <w14:schemeClr w14:val="tx1"/>
                  </w14:solidFill>
                </w14:textFill>
              </w:rPr>
              <w:t>04</w:t>
            </w:r>
            <w:r>
              <w:rPr>
                <w:rFonts w:hint="eastAsia" w:ascii="宋体" w:hAnsi="宋体" w:eastAsia="宋体" w:cs="宋体"/>
                <w:color w:val="000000" w:themeColor="text1"/>
                <w:sz w:val="21"/>
                <w:szCs w:val="21"/>
                <w14:textFill>
                  <w14:solidFill>
                    <w14:schemeClr w14:val="tx1"/>
                  </w14:solidFill>
                </w14:textFill>
              </w:rPr>
              <w:t>日</w:t>
            </w:r>
            <w:r>
              <w:rPr>
                <w:rFonts w:hint="eastAsia" w:ascii="宋体" w:hAnsi="宋体" w:eastAsia="宋体" w:cs="宋体"/>
                <w:color w:val="000000" w:themeColor="text1"/>
                <w:sz w:val="21"/>
                <w:szCs w:val="21"/>
                <w:lang w:val="en-US" w:eastAsia="zh-CN"/>
                <w14:textFill>
                  <w14:solidFill>
                    <w14:schemeClr w14:val="tx1"/>
                  </w14:solidFill>
                </w14:textFill>
              </w:rPr>
              <w:t>由云南标普电气检测技术有限公司</w:t>
            </w:r>
            <w:r>
              <w:rPr>
                <w:rFonts w:hint="eastAsia" w:ascii="宋体" w:hAnsi="宋体" w:eastAsia="宋体" w:cs="宋体"/>
                <w:color w:val="000000" w:themeColor="text1"/>
                <w:sz w:val="21"/>
                <w:szCs w:val="21"/>
                <w14:textFill>
                  <w14:solidFill>
                    <w14:schemeClr w14:val="tx1"/>
                  </w14:solidFill>
                </w14:textFill>
              </w:rPr>
              <w:t>检测完成</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检测结果均为合格，有效</w:t>
            </w:r>
            <w:r>
              <w:rPr>
                <w:rFonts w:hint="eastAsia" w:ascii="宋体" w:hAnsi="宋体" w:eastAsia="宋体" w:cs="宋体"/>
                <w:color w:val="000000" w:themeColor="text1"/>
                <w:sz w:val="21"/>
                <w:szCs w:val="21"/>
                <w:lang w:val="en-US" w:eastAsia="zh-CN"/>
                <w14:textFill>
                  <w14:solidFill>
                    <w14:schemeClr w14:val="tx1"/>
                  </w14:solidFill>
                </w14:textFill>
              </w:rPr>
              <w:t>期至：2025年11月03日，报告编号：（1252022002）[2024]0697号。</w:t>
            </w:r>
          </w:p>
        </w:tc>
        <w:tc>
          <w:tcPr>
            <w:tcW w:w="1228" w:type="dxa"/>
            <w:vAlign w:val="center"/>
          </w:tcPr>
          <w:p w14:paraId="3DED3E9B">
            <w:pPr>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4FC0C1B0">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699" w:name="_Toc6462"/>
      <w:bookmarkStart w:id="700" w:name="_Toc24965"/>
      <w:bookmarkStart w:id="701" w:name="_Toc22920"/>
      <w:bookmarkStart w:id="702" w:name="_Toc10208"/>
      <w:bookmarkStart w:id="703" w:name="_Toc28849"/>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5.3.3单元评价小结</w:t>
      </w:r>
      <w:bookmarkEnd w:id="696"/>
      <w:bookmarkEnd w:id="697"/>
      <w:bookmarkEnd w:id="698"/>
      <w:bookmarkEnd w:id="699"/>
      <w:bookmarkEnd w:id="700"/>
      <w:bookmarkEnd w:id="701"/>
      <w:bookmarkEnd w:id="702"/>
      <w:bookmarkEnd w:id="703"/>
    </w:p>
    <w:p w14:paraId="57FA21C7">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安全防护设施符合《安全色》（GB2893-2008）、《安全标志及其使用导则》（GB2894-2008）、《机械安全防护装置固定式和活动式防护装置的设计与制造一般要求》（GB/T8196-2018）、《机械工业职业安全卫生设计规范》（JBJ18-2000）等国家相关标准、规范的规定和要求。</w:t>
      </w:r>
    </w:p>
    <w:p w14:paraId="4E53EEC6">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w:t>
      </w:r>
      <w:r>
        <w:rPr>
          <w:rFonts w:hint="eastAsia" w:ascii="宋体" w:hAnsi="宋体" w:eastAsia="宋体" w:cs="宋体"/>
          <w:color w:val="000000" w:themeColor="text1"/>
          <w:kern w:val="0"/>
          <w:sz w:val="28"/>
          <w:szCs w:val="28"/>
          <w14:textFill>
            <w14:solidFill>
              <w14:schemeClr w14:val="tx1"/>
            </w14:solidFill>
          </w14:textFill>
        </w:rPr>
        <w:t>：该项目防雷、防静电装置符合《建筑物防雷设计规范》（GB50057-2010）、《生产设备安全卫生设计总则》（GB5083-2023）、</w:t>
      </w:r>
      <w:r>
        <w:rPr>
          <w:rFonts w:hint="eastAsia" w:ascii="宋体" w:hAnsi="宋体" w:eastAsia="宋体" w:cs="宋体"/>
          <w:color w:val="000000" w:themeColor="text1"/>
          <w:sz w:val="28"/>
          <w:szCs w:val="28"/>
          <w14:textFill>
            <w14:solidFill>
              <w14:schemeClr w14:val="tx1"/>
            </w14:solidFill>
          </w14:textFill>
        </w:rPr>
        <w:t>《防止静电事故通用导则》（GB12158-2006）</w:t>
      </w:r>
      <w:r>
        <w:rPr>
          <w:rFonts w:hint="eastAsia" w:ascii="宋体" w:hAnsi="宋体" w:eastAsia="宋体" w:cs="宋体"/>
          <w:color w:val="000000" w:themeColor="text1"/>
          <w:kern w:val="0"/>
          <w:sz w:val="28"/>
          <w:szCs w:val="28"/>
          <w14:textFill>
            <w14:solidFill>
              <w14:schemeClr w14:val="tx1"/>
            </w14:solidFill>
          </w14:textFill>
        </w:rPr>
        <w:t>等标准、规范的要求</w:t>
      </w:r>
      <w:r>
        <w:rPr>
          <w:rFonts w:hint="eastAsia" w:ascii="宋体" w:hAnsi="宋体" w:eastAsia="宋体" w:cs="宋体"/>
          <w:color w:val="000000" w:themeColor="text1"/>
          <w:sz w:val="28"/>
          <w:szCs w:val="28"/>
          <w14:textFill>
            <w14:solidFill>
              <w14:schemeClr w14:val="tx1"/>
            </w14:solidFill>
          </w14:textFill>
        </w:rPr>
        <w:t>。</w:t>
      </w:r>
    </w:p>
    <w:p w14:paraId="3D2EEEEF">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704" w:name="_Toc4845"/>
      <w:bookmarkStart w:id="705" w:name="_Toc15595"/>
      <w:bookmarkStart w:id="706" w:name="_Toc5881"/>
      <w:bookmarkStart w:id="707" w:name="_Toc13427"/>
      <w:bookmarkStart w:id="708" w:name="_Toc21809"/>
      <w:bookmarkStart w:id="709" w:name="_Toc145775743"/>
      <w:bookmarkStart w:id="710" w:name="_Toc313453596"/>
      <w:bookmarkStart w:id="711" w:name="_Toc335926300"/>
      <w:bookmarkStart w:id="712" w:name="_Toc313493993"/>
      <w:bookmarkStart w:id="713" w:name="_Toc11730"/>
      <w:r>
        <w:rPr>
          <w:rFonts w:hint="eastAsia" w:ascii="宋体" w:hAnsi="宋体" w:eastAsia="宋体" w:cs="宋体"/>
          <w:color w:val="000000" w:themeColor="text1"/>
          <w:kern w:val="0"/>
          <w14:textFill>
            <w14:solidFill>
              <w14:schemeClr w14:val="tx1"/>
            </w14:solidFill>
          </w14:textFill>
        </w:rPr>
        <w:t>5.</w:t>
      </w:r>
      <w:r>
        <w:rPr>
          <w:rFonts w:hint="eastAsia" w:ascii="宋体" w:hAnsi="宋体" w:eastAsia="宋体" w:cs="宋体"/>
          <w:color w:val="000000" w:themeColor="text1"/>
          <w:kern w:val="0"/>
          <w:lang w:val="en-US" w:eastAsia="zh-CN"/>
          <w14:textFill>
            <w14:solidFill>
              <w14:schemeClr w14:val="tx1"/>
            </w14:solidFill>
          </w14:textFill>
        </w:rPr>
        <w:t>4</w:t>
      </w:r>
      <w:r>
        <w:rPr>
          <w:rFonts w:hint="eastAsia" w:ascii="宋体" w:hAnsi="宋体" w:eastAsia="宋体" w:cs="宋体"/>
          <w:color w:val="000000" w:themeColor="text1"/>
          <w:kern w:val="0"/>
          <w14:textFill>
            <w14:solidFill>
              <w14:schemeClr w14:val="tx1"/>
            </w14:solidFill>
          </w14:textFill>
        </w:rPr>
        <w:t>公用工程及辅助设施评价单元</w:t>
      </w:r>
      <w:bookmarkEnd w:id="704"/>
      <w:bookmarkEnd w:id="705"/>
      <w:bookmarkEnd w:id="706"/>
      <w:bookmarkEnd w:id="707"/>
      <w:bookmarkEnd w:id="708"/>
    </w:p>
    <w:p w14:paraId="00773BD8">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714" w:name="_Toc27554"/>
      <w:bookmarkStart w:id="715" w:name="_Toc31717"/>
      <w:bookmarkStart w:id="716" w:name="_Toc433009881"/>
      <w:bookmarkStart w:id="717" w:name="_Toc32325"/>
      <w:bookmarkStart w:id="718" w:name="_Toc278282327"/>
      <w:bookmarkStart w:id="719" w:name="_Toc211237913"/>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5.4.1 供配电系统安全检查表</w:t>
      </w:r>
      <w:bookmarkEnd w:id="714"/>
      <w:bookmarkEnd w:id="715"/>
      <w:bookmarkEnd w:id="716"/>
      <w:bookmarkEnd w:id="717"/>
    </w:p>
    <w:p w14:paraId="6F54A2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依据《用电安全导则》（GB/T 13869-2017）、《低压配电设计规范》（GB 50054-2011）等标准规范的规定，对本项目的供配电采用安全检查表法进行分析评价。检查结果见下表。</w:t>
      </w:r>
    </w:p>
    <w:p w14:paraId="76841EB5">
      <w:pPr>
        <w:numPr>
          <w:ilvl w:val="0"/>
          <w:numId w:val="0"/>
        </w:numPr>
        <w:adjustRightInd w:val="0"/>
        <w:snapToGrid w:val="0"/>
        <w:ind w:leftChars="0"/>
        <w:jc w:val="center"/>
        <w:rPr>
          <w:rFonts w:hint="eastAsia" w:ascii="宋体" w:hAnsi="宋体" w:eastAsia="宋体" w:cs="宋体"/>
          <w:b/>
          <w:bCs w:val="0"/>
          <w:color w:val="000000" w:themeColor="text1"/>
          <w:sz w:val="24"/>
          <w14:textFill>
            <w14:solidFill>
              <w14:schemeClr w14:val="tx1"/>
            </w14:solidFill>
          </w14:textFill>
        </w:rPr>
      </w:pPr>
      <w:r>
        <w:rPr>
          <w:rFonts w:hint="eastAsia" w:ascii="宋体" w:hAnsi="宋体" w:eastAsia="宋体" w:cs="宋体"/>
          <w:b/>
          <w:bCs w:val="0"/>
          <w:color w:val="000000" w:themeColor="text1"/>
          <w:sz w:val="24"/>
          <w:lang w:val="en-US" w:eastAsia="zh-CN"/>
          <w14:textFill>
            <w14:solidFill>
              <w14:schemeClr w14:val="tx1"/>
            </w14:solidFill>
          </w14:textFill>
        </w:rPr>
        <w:t xml:space="preserve">表5-6 </w:t>
      </w:r>
      <w:r>
        <w:rPr>
          <w:rFonts w:hint="eastAsia" w:ascii="宋体" w:hAnsi="宋体" w:eastAsia="宋体" w:cs="宋体"/>
          <w:b/>
          <w:bCs w:val="0"/>
          <w:color w:val="000000" w:themeColor="text1"/>
          <w:sz w:val="24"/>
          <w14:textFill>
            <w14:solidFill>
              <w14:schemeClr w14:val="tx1"/>
            </w14:solidFill>
          </w14:textFill>
        </w:rPr>
        <w:t>供配电安全检查表</w:t>
      </w:r>
    </w:p>
    <w:tbl>
      <w:tblPr>
        <w:tblStyle w:val="24"/>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343"/>
        <w:gridCol w:w="2126"/>
        <w:gridCol w:w="2539"/>
        <w:gridCol w:w="700"/>
      </w:tblGrid>
      <w:tr w14:paraId="42DFC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50" w:type="dxa"/>
            <w:vAlign w:val="center"/>
          </w:tcPr>
          <w:p w14:paraId="15C0FD0D">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343" w:type="dxa"/>
            <w:vAlign w:val="center"/>
          </w:tcPr>
          <w:p w14:paraId="249C610A">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26" w:type="dxa"/>
            <w:vAlign w:val="center"/>
          </w:tcPr>
          <w:p w14:paraId="2EF9E568">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2539" w:type="dxa"/>
            <w:vAlign w:val="center"/>
          </w:tcPr>
          <w:p w14:paraId="3ADEF5BB">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700" w:type="dxa"/>
            <w:vAlign w:val="center"/>
          </w:tcPr>
          <w:p w14:paraId="3D6A2BFC">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469D1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3D815579">
            <w:pPr>
              <w:numPr>
                <w:ilvl w:val="0"/>
                <w:numId w:val="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vAlign w:val="center"/>
          </w:tcPr>
          <w:p w14:paraId="02F46605">
            <w:pPr>
              <w:spacing w:line="240" w:lineRule="auto"/>
              <w:ind w:firstLine="0" w:firstLineChars="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配电线路应装设短路保护和过负荷保护</w:t>
            </w:r>
          </w:p>
        </w:tc>
        <w:tc>
          <w:tcPr>
            <w:tcW w:w="2126" w:type="dxa"/>
            <w:vAlign w:val="center"/>
          </w:tcPr>
          <w:p w14:paraId="57CD8887">
            <w:pPr>
              <w:spacing w:line="240" w:lineRule="auto"/>
              <w:ind w:firstLine="0" w:firstLineChars="0"/>
              <w:jc w:val="center"/>
              <w:rPr>
                <w:rFonts w:hint="eastAsia" w:ascii="宋体" w:hAnsi="宋体" w:eastAsia="宋体" w:cs="宋体"/>
                <w:bCs/>
                <w:color w:val="000000" w:themeColor="text1"/>
                <w:sz w:val="21"/>
                <w:szCs w:val="21"/>
                <w:lang w:val="en-US" w:eastAsia="zh-CN"/>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《低压配电设计规范》（GB 50054-2011）</w:t>
            </w:r>
            <w:r>
              <w:rPr>
                <w:rFonts w:hint="eastAsia" w:ascii="宋体" w:hAnsi="宋体" w:eastAsia="宋体" w:cs="宋体"/>
                <w:bCs/>
                <w:color w:val="000000" w:themeColor="text1"/>
                <w:sz w:val="21"/>
                <w:szCs w:val="21"/>
                <w:lang w:val="en-US" w:eastAsia="zh-CN"/>
                <w14:textFill>
                  <w14:solidFill>
                    <w14:schemeClr w14:val="tx1"/>
                  </w14:solidFill>
                </w14:textFill>
              </w:rPr>
              <w:t>第</w:t>
            </w:r>
            <w:r>
              <w:rPr>
                <w:rFonts w:hint="eastAsia" w:ascii="宋体" w:hAnsi="宋体" w:eastAsia="宋体" w:cs="宋体"/>
                <w:bCs/>
                <w:color w:val="000000" w:themeColor="text1"/>
                <w:sz w:val="21"/>
                <w:szCs w:val="21"/>
                <w14:textFill>
                  <w14:solidFill>
                    <w14:schemeClr w14:val="tx1"/>
                  </w14:solidFill>
                </w14:textFill>
              </w:rPr>
              <w:t>6.1.1</w:t>
            </w:r>
            <w:r>
              <w:rPr>
                <w:rFonts w:hint="eastAsia" w:ascii="宋体" w:hAnsi="宋体" w:eastAsia="宋体" w:cs="宋体"/>
                <w:bCs/>
                <w:color w:val="000000" w:themeColor="text1"/>
                <w:sz w:val="21"/>
                <w:szCs w:val="21"/>
                <w:lang w:val="en-US" w:eastAsia="zh-CN"/>
                <w14:textFill>
                  <w14:solidFill>
                    <w14:schemeClr w14:val="tx1"/>
                  </w14:solidFill>
                </w14:textFill>
              </w:rPr>
              <w:t>条</w:t>
            </w:r>
          </w:p>
        </w:tc>
        <w:tc>
          <w:tcPr>
            <w:tcW w:w="2539" w:type="dxa"/>
            <w:vAlign w:val="center"/>
          </w:tcPr>
          <w:p w14:paraId="7EFC52FA">
            <w:pPr>
              <w:spacing w:line="240" w:lineRule="auto"/>
              <w:ind w:firstLine="0" w:firstLineChars="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配电线路装设短路保护，过载保护和接地保护。</w:t>
            </w:r>
          </w:p>
        </w:tc>
        <w:tc>
          <w:tcPr>
            <w:tcW w:w="700" w:type="dxa"/>
            <w:vAlign w:val="center"/>
          </w:tcPr>
          <w:p w14:paraId="1E5B50C8">
            <w:pPr>
              <w:spacing w:line="240" w:lineRule="auto"/>
              <w:ind w:firstLine="0" w:firstLineChars="0"/>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符合</w:t>
            </w:r>
          </w:p>
        </w:tc>
      </w:tr>
      <w:tr w14:paraId="13F94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7298E210">
            <w:pPr>
              <w:numPr>
                <w:ilvl w:val="0"/>
                <w:numId w:val="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55528867">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配电室的位置应靠近用电负荷中心，设置在尘埃少、腐蚀介质少、周围环境干燥和无剧烈震动的场所，并宜留有发展余地。</w:t>
            </w:r>
          </w:p>
        </w:tc>
        <w:tc>
          <w:tcPr>
            <w:tcW w:w="2126" w:type="dxa"/>
            <w:shd w:val="clear" w:color="auto" w:fill="auto"/>
            <w:vAlign w:val="center"/>
          </w:tcPr>
          <w:p w14:paraId="5C9CCF2B">
            <w:pPr>
              <w:widowControl/>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《低压配电设计规范》（GB50054-2011）第4.1.1条</w:t>
            </w:r>
          </w:p>
        </w:tc>
        <w:tc>
          <w:tcPr>
            <w:tcW w:w="2539" w:type="dxa"/>
            <w:shd w:val="clear" w:color="auto" w:fill="auto"/>
            <w:vAlign w:val="center"/>
          </w:tcPr>
          <w:p w14:paraId="114229CE">
            <w:pPr>
              <w:widowControl/>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该厂配电室布置在用电负荷区，留有足够的安全位置。</w:t>
            </w:r>
          </w:p>
        </w:tc>
        <w:tc>
          <w:tcPr>
            <w:tcW w:w="700" w:type="dxa"/>
            <w:shd w:val="clear" w:color="auto" w:fill="auto"/>
            <w:vAlign w:val="center"/>
          </w:tcPr>
          <w:p w14:paraId="28F819BF">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tr w14:paraId="593BF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30A85DBC">
            <w:pPr>
              <w:numPr>
                <w:ilvl w:val="0"/>
                <w:numId w:val="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75E4A134">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配电线路的敷设，应符合下列条件：1与场所环境的特征相适应；2与建筑物和构筑物的特征相适应；3能承受短路可能出现的机电应力；4能承受安装期间或运行中布线可能遭受的其他应力和导线的自重。</w:t>
            </w:r>
          </w:p>
        </w:tc>
        <w:tc>
          <w:tcPr>
            <w:tcW w:w="2126" w:type="dxa"/>
            <w:shd w:val="clear" w:color="auto" w:fill="auto"/>
            <w:vAlign w:val="center"/>
          </w:tcPr>
          <w:p w14:paraId="602EAFC4">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《低压配电设计规范》（GB50054-2011）第7.1.1条</w:t>
            </w:r>
          </w:p>
        </w:tc>
        <w:tc>
          <w:tcPr>
            <w:tcW w:w="2539" w:type="dxa"/>
            <w:shd w:val="clear" w:color="auto" w:fill="auto"/>
            <w:vAlign w:val="center"/>
          </w:tcPr>
          <w:p w14:paraId="4E63FBC8">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配电线路的敷设满足要求。</w:t>
            </w:r>
          </w:p>
        </w:tc>
        <w:tc>
          <w:tcPr>
            <w:tcW w:w="700" w:type="dxa"/>
            <w:shd w:val="clear" w:color="auto" w:fill="auto"/>
            <w:vAlign w:val="center"/>
          </w:tcPr>
          <w:p w14:paraId="1725CEA7">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tr w14:paraId="0E826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351EBB57">
            <w:pPr>
              <w:numPr>
                <w:ilvl w:val="0"/>
                <w:numId w:val="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192B005E">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电气线路应具有足够的绝缘强度、机械强度和导电能力，其安装应符合相应产品标准的规定。</w:t>
            </w:r>
          </w:p>
        </w:tc>
        <w:tc>
          <w:tcPr>
            <w:tcW w:w="2126" w:type="dxa"/>
            <w:shd w:val="clear" w:color="auto" w:fill="auto"/>
            <w:vAlign w:val="center"/>
          </w:tcPr>
          <w:p w14:paraId="05A85F3B">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00"/>
                <w:sz w:val="21"/>
                <w:szCs w:val="21"/>
                <w:lang w:bidi="ar"/>
              </w:rPr>
              <w:t>《用电安全导则》（GB/T13869-2017）</w:t>
            </w:r>
            <w:r>
              <w:rPr>
                <w:rFonts w:hint="eastAsia" w:ascii="宋体" w:hAnsi="宋体" w:eastAsia="宋体" w:cs="宋体"/>
                <w:color w:val="000000" w:themeColor="text1"/>
                <w:sz w:val="21"/>
                <w:szCs w:val="21"/>
                <w14:textFill>
                  <w14:solidFill>
                    <w14:schemeClr w14:val="tx1"/>
                  </w14:solidFill>
                </w14:textFill>
              </w:rPr>
              <w:t>第5.1.2条</w:t>
            </w:r>
          </w:p>
        </w:tc>
        <w:tc>
          <w:tcPr>
            <w:tcW w:w="2539" w:type="dxa"/>
            <w:shd w:val="clear" w:color="auto" w:fill="auto"/>
            <w:vAlign w:val="center"/>
          </w:tcPr>
          <w:p w14:paraId="175C2A98">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电气线路由专业电气操作人员安装、维护。</w:t>
            </w:r>
          </w:p>
        </w:tc>
        <w:tc>
          <w:tcPr>
            <w:tcW w:w="700" w:type="dxa"/>
            <w:shd w:val="clear" w:color="auto" w:fill="auto"/>
            <w:vAlign w:val="center"/>
          </w:tcPr>
          <w:p w14:paraId="28403DDA">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F348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54ABB6E4">
            <w:pPr>
              <w:numPr>
                <w:ilvl w:val="0"/>
                <w:numId w:val="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4CE438DB">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用电产品的安装应符合相应产品标准的规定。用电产品应按照制造商要求的使用环境条件进行安装，如果不能满足制造商的环境要求，应该采取附加的安装措施，例如，为用电产品提供防止外来电气、机械、化学和物理应力的防护。一般条件下，用电产品的周围应留有足够的安全通道和工作空间，且不应堆放易燃、易爆和腐蚀性物品。</w:t>
            </w:r>
          </w:p>
        </w:tc>
        <w:tc>
          <w:tcPr>
            <w:tcW w:w="2126" w:type="dxa"/>
            <w:shd w:val="clear" w:color="auto" w:fill="auto"/>
            <w:vAlign w:val="center"/>
          </w:tcPr>
          <w:p w14:paraId="35148A7B">
            <w:pPr>
              <w:widowControl/>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《用电安全导则》（GB/T13869-2017）第5.1.1条</w:t>
            </w:r>
          </w:p>
        </w:tc>
        <w:tc>
          <w:tcPr>
            <w:tcW w:w="2539" w:type="dxa"/>
            <w:shd w:val="clear" w:color="auto" w:fill="auto"/>
            <w:vAlign w:val="center"/>
          </w:tcPr>
          <w:p w14:paraId="08F82483">
            <w:pPr>
              <w:widowControl/>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该厂内的用电产品按照要求进行安装，用电产品周边留有足够的安全通道和工作空间。</w:t>
            </w:r>
          </w:p>
        </w:tc>
        <w:tc>
          <w:tcPr>
            <w:tcW w:w="700" w:type="dxa"/>
            <w:shd w:val="clear" w:color="auto" w:fill="auto"/>
            <w:vAlign w:val="center"/>
          </w:tcPr>
          <w:p w14:paraId="4EFFA7E8">
            <w:pPr>
              <w:widowControl/>
              <w:jc w:val="center"/>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符合</w:t>
            </w:r>
          </w:p>
        </w:tc>
      </w:tr>
      <w:tr w14:paraId="1F128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7DC519C7">
            <w:pPr>
              <w:numPr>
                <w:ilvl w:val="0"/>
                <w:numId w:val="8"/>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62385F3C">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任何用电产品在运行过程中，应有必要的监控或监视措施；用电产品不允许超负荷运行。</w:t>
            </w:r>
          </w:p>
        </w:tc>
        <w:tc>
          <w:tcPr>
            <w:tcW w:w="2126" w:type="dxa"/>
            <w:shd w:val="clear" w:color="auto" w:fill="auto"/>
            <w:vAlign w:val="center"/>
          </w:tcPr>
          <w:p w14:paraId="34E260F9">
            <w:pPr>
              <w:widowControl/>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《用电安全导则》（GB/T13869-2017）第5.2.1条</w:t>
            </w:r>
          </w:p>
        </w:tc>
        <w:tc>
          <w:tcPr>
            <w:tcW w:w="2539" w:type="dxa"/>
            <w:shd w:val="clear" w:color="auto" w:fill="auto"/>
            <w:vAlign w:val="center"/>
          </w:tcPr>
          <w:p w14:paraId="637F1B36">
            <w:pPr>
              <w:widowControl/>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该厂内的电气装置均在负荷范围内运行。</w:t>
            </w:r>
          </w:p>
        </w:tc>
        <w:tc>
          <w:tcPr>
            <w:tcW w:w="700" w:type="dxa"/>
            <w:shd w:val="clear" w:color="auto" w:fill="auto"/>
            <w:vAlign w:val="center"/>
          </w:tcPr>
          <w:p w14:paraId="6D261298">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tbl>
    <w:p w14:paraId="4B2A46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由上述安全检查表的结果可知，</w:t>
      </w:r>
      <w:bookmarkStart w:id="720" w:name="_Hlk51319922"/>
      <w:r>
        <w:rPr>
          <w:rFonts w:hint="eastAsia" w:ascii="宋体" w:hAnsi="宋体" w:eastAsia="宋体" w:cs="宋体"/>
          <w:color w:val="000000" w:themeColor="text1"/>
          <w:sz w:val="28"/>
          <w:szCs w:val="28"/>
          <w14:textFill>
            <w14:solidFill>
              <w14:schemeClr w14:val="tx1"/>
            </w14:solidFill>
          </w14:textFill>
        </w:rPr>
        <w:t>本项目的供配电系统</w:t>
      </w:r>
      <w:bookmarkEnd w:id="720"/>
      <w:r>
        <w:rPr>
          <w:rFonts w:hint="eastAsia" w:ascii="宋体" w:hAnsi="宋体" w:eastAsia="宋体" w:cs="宋体"/>
          <w:color w:val="000000" w:themeColor="text1"/>
          <w:sz w:val="28"/>
          <w:szCs w:val="28"/>
          <w14:textFill>
            <w14:solidFill>
              <w14:schemeClr w14:val="tx1"/>
            </w14:solidFill>
          </w14:textFill>
        </w:rPr>
        <w:t>符合《用电安全导则》（GB/T 13869-2017）、《低压配电设计规范》（GB 50054-2011）等标准规范的要求。</w:t>
      </w:r>
    </w:p>
    <w:p w14:paraId="2267E65C">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721" w:name="_Toc9617"/>
      <w:bookmarkStart w:id="722" w:name="_Toc5385"/>
      <w:bookmarkStart w:id="723" w:name="_Toc43300988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5.4.2 给排水系统安全检查表</w:t>
      </w:r>
      <w:bookmarkEnd w:id="721"/>
      <w:bookmarkEnd w:id="722"/>
    </w:p>
    <w:bookmarkEnd w:id="718"/>
    <w:bookmarkEnd w:id="719"/>
    <w:bookmarkEnd w:id="723"/>
    <w:p w14:paraId="48F6CC2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依据《工业企业总平面设计规范》（GB50187-2012）</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hAnsi="宋体" w:cs="宋体"/>
          <w:color w:val="000000"/>
          <w:sz w:val="28"/>
          <w:szCs w:val="28"/>
          <w:lang w:bidi="ar"/>
        </w:rPr>
        <w:t>《建筑给水排水设计标准》（GB50016-2019）</w:t>
      </w:r>
      <w:r>
        <w:rPr>
          <w:rFonts w:hint="eastAsia" w:ascii="宋体" w:hAnsi="宋体" w:eastAsia="宋体" w:cs="宋体"/>
          <w:color w:val="000000" w:themeColor="text1"/>
          <w:sz w:val="28"/>
          <w:szCs w:val="28"/>
          <w14:textFill>
            <w14:solidFill>
              <w14:schemeClr w14:val="tx1"/>
            </w14:solidFill>
          </w14:textFill>
        </w:rPr>
        <w:t>等标准规范的要求，对该厂的给排水进行安全检查。检查结果见下表5-</w:t>
      </w: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w:t>
      </w:r>
    </w:p>
    <w:p w14:paraId="6EC517FD">
      <w:pPr>
        <w:spacing w:line="500" w:lineRule="exact"/>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w:t>
      </w:r>
      <w:r>
        <w:rPr>
          <w:rFonts w:hint="eastAsia" w:ascii="宋体" w:hAnsi="宋体" w:eastAsia="宋体" w:cs="宋体"/>
          <w:b/>
          <w:bCs/>
          <w:color w:val="000000" w:themeColor="text1"/>
          <w:lang w:val="en-US" w:eastAsia="zh-CN"/>
          <w14:textFill>
            <w14:solidFill>
              <w14:schemeClr w14:val="tx1"/>
            </w14:solidFill>
          </w14:textFill>
        </w:rPr>
        <w:t>7</w:t>
      </w:r>
      <w:r>
        <w:rPr>
          <w:rFonts w:hint="eastAsia" w:ascii="宋体" w:hAnsi="宋体" w:eastAsia="宋体" w:cs="宋体"/>
          <w:b/>
          <w:bCs/>
          <w:color w:val="000000" w:themeColor="text1"/>
          <w14:textFill>
            <w14:solidFill>
              <w14:schemeClr w14:val="tx1"/>
            </w14:solidFill>
          </w14:textFill>
        </w:rPr>
        <w:t xml:space="preserve">  给排水安全检查表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3838"/>
        <w:gridCol w:w="2160"/>
        <w:gridCol w:w="1320"/>
        <w:gridCol w:w="676"/>
      </w:tblGrid>
      <w:tr w14:paraId="1E4F6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53813D65">
            <w:pPr>
              <w:tabs>
                <w:tab w:val="left" w:pos="810"/>
              </w:tabs>
              <w:jc w:val="left"/>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838" w:type="dxa"/>
            <w:vAlign w:val="center"/>
          </w:tcPr>
          <w:p w14:paraId="1CAAB471">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60" w:type="dxa"/>
            <w:vAlign w:val="center"/>
          </w:tcPr>
          <w:p w14:paraId="463FB8DD">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1320" w:type="dxa"/>
            <w:vAlign w:val="center"/>
          </w:tcPr>
          <w:p w14:paraId="10ECA172">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676" w:type="dxa"/>
            <w:vAlign w:val="center"/>
          </w:tcPr>
          <w:p w14:paraId="6FE4DFA6">
            <w:pPr>
              <w:snapToGrid w:val="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344FD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2D8B2299">
            <w:pPr>
              <w:snapToGrid w:val="0"/>
              <w:jc w:val="center"/>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1</w:t>
            </w:r>
          </w:p>
        </w:tc>
        <w:tc>
          <w:tcPr>
            <w:tcW w:w="3838" w:type="dxa"/>
            <w:vAlign w:val="center"/>
          </w:tcPr>
          <w:p w14:paraId="107748A1">
            <w:pPr>
              <w:keepNext w:val="0"/>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场地应有完整、有效的雨水排水系统。场地雨水的排除方式，应结合工业企业所在地区的雨水排除方式、建筑密度、环境卫生要求、地质和气候条件等因素，合理选择暗管、明沟或地面自然排渗等方式，并应符合下列要求：（1）厂区雨水排水管、沟应与厂外排雨水系统相衔接，场地雨水不得任意排至厂外；（2）有条件的工业企业应建立雨水收集系统，应对收集的雨水充分利用；（3）厂区雨水宜采用暗管排水。</w:t>
            </w:r>
          </w:p>
        </w:tc>
        <w:tc>
          <w:tcPr>
            <w:tcW w:w="2160" w:type="dxa"/>
            <w:vAlign w:val="center"/>
          </w:tcPr>
          <w:p w14:paraId="4D88CF8D">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3B09E706">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w:t>
            </w: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条</w:t>
            </w:r>
          </w:p>
        </w:tc>
        <w:tc>
          <w:tcPr>
            <w:tcW w:w="1320" w:type="dxa"/>
            <w:vAlign w:val="center"/>
          </w:tcPr>
          <w:p w14:paraId="6FDFC041">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本项目有较为完整、有效的排水系统。</w:t>
            </w:r>
          </w:p>
        </w:tc>
        <w:tc>
          <w:tcPr>
            <w:tcW w:w="676" w:type="dxa"/>
            <w:vAlign w:val="center"/>
          </w:tcPr>
          <w:p w14:paraId="375EFB5A">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75A5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7BAB8048">
            <w:pPr>
              <w:snapToGrid w:val="0"/>
              <w:jc w:val="center"/>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2</w:t>
            </w:r>
          </w:p>
        </w:tc>
        <w:tc>
          <w:tcPr>
            <w:tcW w:w="3838" w:type="dxa"/>
            <w:vAlign w:val="center"/>
          </w:tcPr>
          <w:p w14:paraId="2E7C8FB0">
            <w:pPr>
              <w:snapToGrid w:val="0"/>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场地雨水排水设计流量计算，应符合现行国家标准《室外排水设计</w:t>
            </w:r>
            <w:r>
              <w:rPr>
                <w:rFonts w:hint="eastAsia" w:ascii="宋体" w:hAnsi="宋体" w:eastAsia="宋体" w:cs="宋体"/>
                <w:color w:val="000000" w:themeColor="text1"/>
                <w:sz w:val="21"/>
                <w:szCs w:val="21"/>
                <w:lang w:eastAsia="zh-CN"/>
                <w14:textFill>
                  <w14:solidFill>
                    <w14:schemeClr w14:val="tx1"/>
                  </w14:solidFill>
                </w14:textFill>
              </w:rPr>
              <w:t>规范</w:t>
            </w:r>
            <w:r>
              <w:rPr>
                <w:rFonts w:hint="eastAsia" w:ascii="宋体" w:hAnsi="宋体" w:eastAsia="宋体" w:cs="宋体"/>
                <w:color w:val="000000" w:themeColor="text1"/>
                <w:sz w:val="21"/>
                <w:szCs w:val="21"/>
                <w14:textFill>
                  <w14:solidFill>
                    <w14:schemeClr w14:val="tx1"/>
                  </w14:solidFill>
                </w14:textFill>
              </w:rPr>
              <w:t>》GB 50014的有关规定。</w:t>
            </w:r>
          </w:p>
        </w:tc>
        <w:tc>
          <w:tcPr>
            <w:tcW w:w="2160" w:type="dxa"/>
            <w:vAlign w:val="center"/>
          </w:tcPr>
          <w:p w14:paraId="25FCBF3D">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61894041">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条</w:t>
            </w:r>
          </w:p>
        </w:tc>
        <w:tc>
          <w:tcPr>
            <w:tcW w:w="1320" w:type="dxa"/>
            <w:vAlign w:val="center"/>
          </w:tcPr>
          <w:p w14:paraId="22CBC0EC">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本项目场地雨水排量符合相关要求。</w:t>
            </w:r>
          </w:p>
        </w:tc>
        <w:tc>
          <w:tcPr>
            <w:tcW w:w="676" w:type="dxa"/>
            <w:vAlign w:val="center"/>
          </w:tcPr>
          <w:p w14:paraId="465B01F6">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072E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4AEB9D4E">
            <w:pPr>
              <w:snapToGrid w:val="0"/>
              <w:jc w:val="center"/>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3</w:t>
            </w:r>
          </w:p>
        </w:tc>
        <w:tc>
          <w:tcPr>
            <w:tcW w:w="3838" w:type="dxa"/>
            <w:vAlign w:val="center"/>
          </w:tcPr>
          <w:p w14:paraId="12829C54">
            <w:pPr>
              <w:snapToGrid w:val="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当采用明沟排水时，排水沟宜沿铁路、道路布置，并宜避免与其交叉。排出厂外的雨水，不得对其它工程设施或农田造成危害。</w:t>
            </w:r>
          </w:p>
        </w:tc>
        <w:tc>
          <w:tcPr>
            <w:tcW w:w="2160" w:type="dxa"/>
            <w:vAlign w:val="center"/>
          </w:tcPr>
          <w:p w14:paraId="4338C3AF">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0A456ADB">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w:t>
            </w:r>
            <w:r>
              <w:rPr>
                <w:rFonts w:hint="eastAsia" w:ascii="宋体" w:hAnsi="宋体" w:eastAsia="宋体" w:cs="宋体"/>
                <w:color w:val="000000" w:themeColor="text1"/>
                <w:sz w:val="21"/>
                <w:szCs w:val="21"/>
                <w:lang w:val="en-US" w:eastAsia="zh-CN"/>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条</w:t>
            </w:r>
          </w:p>
        </w:tc>
        <w:tc>
          <w:tcPr>
            <w:tcW w:w="1320" w:type="dxa"/>
            <w:vAlign w:val="center"/>
          </w:tcPr>
          <w:p w14:paraId="4890FDDE">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采用明沟排水，明沟沿道路设置，不会对其他设施造成危害。</w:t>
            </w:r>
          </w:p>
        </w:tc>
        <w:tc>
          <w:tcPr>
            <w:tcW w:w="676" w:type="dxa"/>
            <w:vAlign w:val="center"/>
          </w:tcPr>
          <w:p w14:paraId="7BBE3B5F">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7E32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7243E9FD">
            <w:pPr>
              <w:snapToGrid w:val="0"/>
              <w:jc w:val="center"/>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4</w:t>
            </w:r>
          </w:p>
        </w:tc>
        <w:tc>
          <w:tcPr>
            <w:tcW w:w="3838" w:type="dxa"/>
            <w:vAlign w:val="center"/>
          </w:tcPr>
          <w:p w14:paraId="35B8CAE1">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排水明沟的铺砌方式，应根据所处地段的土质和流速等情况确定，应符合下列规定：（1）厂区明沟宜加铺砌；（2）对厂容、卫生和安全要求较高的地段，尚应铺设盖板；（3）矿山及厂区的边缘地段，可采用土明沟。</w:t>
            </w:r>
          </w:p>
        </w:tc>
        <w:tc>
          <w:tcPr>
            <w:tcW w:w="2160" w:type="dxa"/>
            <w:vAlign w:val="center"/>
          </w:tcPr>
          <w:p w14:paraId="6F494BEC">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50187-</w:t>
            </w:r>
          </w:p>
          <w:p w14:paraId="45888448">
            <w:pPr>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2012）第7.4.5条</w:t>
            </w:r>
          </w:p>
        </w:tc>
        <w:tc>
          <w:tcPr>
            <w:tcW w:w="1320" w:type="dxa"/>
            <w:vAlign w:val="center"/>
          </w:tcPr>
          <w:p w14:paraId="64F7A395">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本项目的排水设施均按要求进行了布置。</w:t>
            </w:r>
          </w:p>
        </w:tc>
        <w:tc>
          <w:tcPr>
            <w:tcW w:w="676" w:type="dxa"/>
            <w:vAlign w:val="center"/>
          </w:tcPr>
          <w:p w14:paraId="403246D7">
            <w:pPr>
              <w:spacing w:line="34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17B3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0" w:type="auto"/>
            <w:vAlign w:val="center"/>
          </w:tcPr>
          <w:p w14:paraId="1DD2846C">
            <w:pPr>
              <w:snapToGrid w:val="0"/>
              <w:jc w:val="center"/>
              <w:rPr>
                <w:rFonts w:hint="default" w:ascii="宋体" w:hAnsi="宋体" w:eastAsia="宋体" w:cs="宋体"/>
                <w:b/>
                <w:color w:val="000000" w:themeColor="text1"/>
                <w:sz w:val="21"/>
                <w:szCs w:val="21"/>
                <w:lang w:val="en-US" w:eastAsia="zh-CN"/>
                <w14:textFill>
                  <w14:solidFill>
                    <w14:schemeClr w14:val="tx1"/>
                  </w14:solidFill>
                </w14:textFill>
              </w:rPr>
            </w:pPr>
            <w:bookmarkStart w:id="724" w:name="_Toc27509"/>
            <w:bookmarkStart w:id="725" w:name="_Toc7538"/>
            <w:bookmarkStart w:id="726" w:name="_Toc335926303"/>
            <w:bookmarkStart w:id="727" w:name="_Toc335838637"/>
            <w:bookmarkStart w:id="728" w:name="_Toc18522"/>
            <w:bookmarkStart w:id="729" w:name="_Toc267853224"/>
            <w:bookmarkStart w:id="730" w:name="_Toc278282328"/>
            <w:bookmarkStart w:id="731" w:name="_Toc313493995"/>
            <w:bookmarkStart w:id="732" w:name="_Toc278282330"/>
            <w:bookmarkStart w:id="733" w:name="_Toc433009883"/>
            <w:bookmarkStart w:id="734" w:name="_Toc211237914"/>
            <w:r>
              <w:rPr>
                <w:rFonts w:hint="eastAsia" w:ascii="宋体" w:hAnsi="宋体" w:eastAsia="宋体" w:cs="宋体"/>
                <w:b/>
                <w:color w:val="000000" w:themeColor="text1"/>
                <w:sz w:val="21"/>
                <w:szCs w:val="21"/>
                <w:lang w:val="en-US" w:eastAsia="zh-CN"/>
                <w14:textFill>
                  <w14:solidFill>
                    <w14:schemeClr w14:val="tx1"/>
                  </w14:solidFill>
                </w14:textFill>
              </w:rPr>
              <w:t>5</w:t>
            </w:r>
          </w:p>
        </w:tc>
        <w:tc>
          <w:tcPr>
            <w:tcW w:w="3838" w:type="dxa"/>
            <w:shd w:val="clear" w:color="auto" w:fill="auto"/>
            <w:vAlign w:val="center"/>
          </w:tcPr>
          <w:p w14:paraId="549452F8">
            <w:pPr>
              <w:widowControl/>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建筑给水系统的设计应满足生活用水对水质、水量、水压、安全供水，以及消防给水的要求。</w:t>
            </w:r>
          </w:p>
        </w:tc>
        <w:tc>
          <w:tcPr>
            <w:tcW w:w="2160" w:type="dxa"/>
            <w:shd w:val="clear" w:color="auto" w:fill="auto"/>
            <w:vAlign w:val="center"/>
          </w:tcPr>
          <w:p w14:paraId="07DFE3A3">
            <w:pPr>
              <w:widowControl/>
              <w:jc w:val="left"/>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《建筑给水排水设计标准》（GB50016-2019）第3.1.1条</w:t>
            </w:r>
          </w:p>
        </w:tc>
        <w:tc>
          <w:tcPr>
            <w:tcW w:w="1320" w:type="dxa"/>
            <w:shd w:val="clear" w:color="auto" w:fill="auto"/>
            <w:vAlign w:val="center"/>
          </w:tcPr>
          <w:p w14:paraId="634796EF">
            <w:pPr>
              <w:widowControl/>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本项目由市政管网供水，消防水由园区消防水管网供给，给水能满足生活用水对水质、水量、水压、安全供水，以及消防给水的要求。</w:t>
            </w:r>
          </w:p>
        </w:tc>
        <w:tc>
          <w:tcPr>
            <w:tcW w:w="676" w:type="dxa"/>
            <w:shd w:val="clear" w:color="auto" w:fill="auto"/>
            <w:vAlign w:val="center"/>
          </w:tcPr>
          <w:p w14:paraId="4FA7D3C8">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tbl>
    <w:p w14:paraId="33CC2DE1">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735" w:name="_Toc1759"/>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5.4.3 消防系统安全检查表</w:t>
      </w:r>
      <w:bookmarkEnd w:id="724"/>
      <w:bookmarkEnd w:id="735"/>
    </w:p>
    <w:bookmarkEnd w:id="725"/>
    <w:bookmarkEnd w:id="726"/>
    <w:bookmarkEnd w:id="727"/>
    <w:bookmarkEnd w:id="728"/>
    <w:bookmarkEnd w:id="729"/>
    <w:bookmarkEnd w:id="730"/>
    <w:p w14:paraId="786A8D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依据《中华人民共和国消防法》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《建筑灭火器配置设计规范》（GB50140-2005）、</w:t>
      </w:r>
      <w:r>
        <w:rPr>
          <w:rFonts w:hint="eastAsia" w:hAnsi="宋体" w:cs="宋体"/>
          <w:color w:val="000000"/>
          <w:sz w:val="28"/>
          <w:szCs w:val="28"/>
          <w:lang w:bidi="ar"/>
        </w:rPr>
        <w:t>《消防设施通用规范》（GB55036-2022）</w:t>
      </w:r>
      <w:r>
        <w:rPr>
          <w:rFonts w:hint="eastAsia" w:ascii="宋体" w:hAnsi="宋体" w:eastAsia="宋体" w:cs="宋体"/>
          <w:color w:val="000000" w:themeColor="text1"/>
          <w:sz w:val="28"/>
          <w:szCs w:val="28"/>
          <w14:textFill>
            <w14:solidFill>
              <w14:schemeClr w14:val="tx1"/>
            </w14:solidFill>
          </w14:textFill>
        </w:rPr>
        <w:t>等相关法律法规、标准规范的要求，对该厂的消防进行安全检查。检查结果见下表。</w:t>
      </w:r>
    </w:p>
    <w:p w14:paraId="38A1E4A4">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14:textFill>
            <w14:solidFill>
              <w14:schemeClr w14:val="tx1"/>
            </w14:solidFill>
          </w14:textFill>
        </w:rPr>
      </w:pPr>
    </w:p>
    <w:p w14:paraId="60A6EBEA">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w:t>
      </w:r>
      <w:r>
        <w:rPr>
          <w:rFonts w:hint="eastAsia" w:ascii="宋体" w:hAnsi="宋体" w:eastAsia="宋体" w:cs="宋体"/>
          <w:b/>
          <w:bCs/>
          <w:color w:val="000000" w:themeColor="text1"/>
          <w:lang w:val="en-US" w:eastAsia="zh-CN"/>
          <w14:textFill>
            <w14:solidFill>
              <w14:schemeClr w14:val="tx1"/>
            </w14:solidFill>
          </w14:textFill>
        </w:rPr>
        <w:t>8</w:t>
      </w:r>
      <w:r>
        <w:rPr>
          <w:rFonts w:hint="eastAsia" w:ascii="宋体" w:hAnsi="宋体" w:eastAsia="宋体" w:cs="宋体"/>
          <w:b/>
          <w:bCs/>
          <w:color w:val="000000" w:themeColor="text1"/>
          <w14:textFill>
            <w14:solidFill>
              <w14:schemeClr w14:val="tx1"/>
            </w14:solidFill>
          </w14:textFill>
        </w:rPr>
        <w:t xml:space="preserve">  消防系统安全检查表</w:t>
      </w:r>
    </w:p>
    <w:tbl>
      <w:tblPr>
        <w:tblStyle w:val="24"/>
        <w:tblW w:w="47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3510"/>
        <w:gridCol w:w="2475"/>
        <w:gridCol w:w="1779"/>
        <w:gridCol w:w="652"/>
      </w:tblGrid>
      <w:tr w14:paraId="77239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F9C7727">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1971" w:type="pct"/>
            <w:tcBorders>
              <w:top w:val="single" w:color="auto" w:sz="4" w:space="0"/>
              <w:left w:val="single" w:color="auto" w:sz="4" w:space="0"/>
              <w:bottom w:val="single" w:color="auto" w:sz="4" w:space="0"/>
              <w:right w:val="single" w:color="auto" w:sz="4" w:space="0"/>
            </w:tcBorders>
            <w:vAlign w:val="center"/>
          </w:tcPr>
          <w:p w14:paraId="283ECD30">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检查内容</w:t>
            </w:r>
          </w:p>
        </w:tc>
        <w:tc>
          <w:tcPr>
            <w:tcW w:w="1390" w:type="pct"/>
            <w:tcBorders>
              <w:top w:val="single" w:color="auto" w:sz="4" w:space="0"/>
              <w:left w:val="single" w:color="auto" w:sz="4" w:space="0"/>
              <w:bottom w:val="single" w:color="auto" w:sz="4" w:space="0"/>
              <w:right w:val="single" w:color="auto" w:sz="4" w:space="0"/>
            </w:tcBorders>
            <w:vAlign w:val="center"/>
          </w:tcPr>
          <w:p w14:paraId="2F8D7DC6">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依据标准</w:t>
            </w:r>
          </w:p>
        </w:tc>
        <w:tc>
          <w:tcPr>
            <w:tcW w:w="999" w:type="pct"/>
            <w:tcBorders>
              <w:top w:val="single" w:color="auto" w:sz="4" w:space="0"/>
              <w:left w:val="single" w:color="auto" w:sz="4" w:space="0"/>
              <w:bottom w:val="single" w:color="auto" w:sz="4" w:space="0"/>
              <w:right w:val="single" w:color="auto" w:sz="4" w:space="0"/>
            </w:tcBorders>
            <w:vAlign w:val="center"/>
          </w:tcPr>
          <w:p w14:paraId="2E9FB567">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检查情况</w:t>
            </w:r>
          </w:p>
        </w:tc>
        <w:tc>
          <w:tcPr>
            <w:tcW w:w="366" w:type="pct"/>
            <w:tcBorders>
              <w:top w:val="single" w:color="auto" w:sz="4" w:space="0"/>
              <w:left w:val="single" w:color="auto" w:sz="4" w:space="0"/>
              <w:bottom w:val="single" w:color="auto" w:sz="4" w:space="0"/>
              <w:right w:val="single" w:color="auto" w:sz="4" w:space="0"/>
            </w:tcBorders>
            <w:vAlign w:val="center"/>
          </w:tcPr>
          <w:p w14:paraId="6FB9C7E5">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结论</w:t>
            </w:r>
          </w:p>
        </w:tc>
      </w:tr>
      <w:tr w14:paraId="5BC9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74B293FE">
            <w:pPr>
              <w:numPr>
                <w:ilvl w:val="0"/>
                <w:numId w:val="9"/>
              </w:numPr>
              <w:adjustRightInd w:val="0"/>
              <w:snapToGrid w:val="0"/>
              <w:spacing w:line="300" w:lineRule="exact"/>
              <w:ind w:left="420" w:leftChars="0" w:hanging="420" w:firstLineChars="0"/>
              <w:jc w:val="center"/>
              <w:rPr>
                <w:rFonts w:hint="eastAsia" w:ascii="宋体" w:hAnsi="宋体" w:eastAsia="宋体" w:cs="宋体"/>
                <w:color w:val="000000" w:themeColor="text1"/>
                <w:sz w:val="21"/>
                <w:szCs w:val="21"/>
                <w14:textFill>
                  <w14:solidFill>
                    <w14:schemeClr w14:val="tx1"/>
                  </w14:solidFill>
                </w14:textFill>
              </w:rPr>
            </w:pPr>
          </w:p>
        </w:tc>
        <w:tc>
          <w:tcPr>
            <w:tcW w:w="1971" w:type="pct"/>
            <w:tcBorders>
              <w:top w:val="single" w:color="auto" w:sz="4" w:space="0"/>
              <w:left w:val="single" w:color="auto" w:sz="4" w:space="0"/>
              <w:bottom w:val="single" w:color="auto" w:sz="4" w:space="0"/>
              <w:right w:val="single" w:color="auto" w:sz="4" w:space="0"/>
            </w:tcBorders>
            <w:vAlign w:val="center"/>
          </w:tcPr>
          <w:p w14:paraId="7DE01626">
            <w:pPr>
              <w:pStyle w:val="50"/>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按照国家标准、行业标准配置消防设施、器材，设置消防安全标志，并定期组织检验、维修，确保完好有效。</w:t>
            </w:r>
          </w:p>
        </w:tc>
        <w:tc>
          <w:tcPr>
            <w:tcW w:w="1390" w:type="pct"/>
            <w:tcBorders>
              <w:top w:val="single" w:color="auto" w:sz="4" w:space="0"/>
              <w:left w:val="single" w:color="auto" w:sz="4" w:space="0"/>
              <w:bottom w:val="single" w:color="auto" w:sz="4" w:space="0"/>
              <w:right w:val="single" w:color="auto" w:sz="4" w:space="0"/>
            </w:tcBorders>
            <w:vAlign w:val="center"/>
          </w:tcPr>
          <w:p w14:paraId="6766315C">
            <w:pPr>
              <w:pStyle w:val="50"/>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《中华人民共和国消防法》第十六条</w:t>
            </w:r>
          </w:p>
        </w:tc>
        <w:tc>
          <w:tcPr>
            <w:tcW w:w="999" w:type="pct"/>
            <w:tcBorders>
              <w:top w:val="single" w:color="auto" w:sz="4" w:space="0"/>
              <w:left w:val="single" w:color="auto" w:sz="4" w:space="0"/>
              <w:bottom w:val="single" w:color="auto" w:sz="4" w:space="0"/>
              <w:right w:val="single" w:color="auto" w:sz="4" w:space="0"/>
            </w:tcBorders>
            <w:vAlign w:val="center"/>
          </w:tcPr>
          <w:p w14:paraId="6482F2E9">
            <w:pPr>
              <w:pStyle w:val="50"/>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该项目消防器材、设施等完好有效。</w:t>
            </w:r>
          </w:p>
        </w:tc>
        <w:tc>
          <w:tcPr>
            <w:tcW w:w="366" w:type="pct"/>
            <w:tcBorders>
              <w:top w:val="single" w:color="auto" w:sz="4" w:space="0"/>
              <w:left w:val="single" w:color="auto" w:sz="4" w:space="0"/>
              <w:bottom w:val="single" w:color="auto" w:sz="4" w:space="0"/>
              <w:right w:val="single" w:color="auto" w:sz="4" w:space="0"/>
            </w:tcBorders>
            <w:vAlign w:val="center"/>
          </w:tcPr>
          <w:p w14:paraId="5F76DB1C">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F2B4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062A2DCC">
            <w:pPr>
              <w:numPr>
                <w:ilvl w:val="0"/>
                <w:numId w:val="9"/>
              </w:numPr>
              <w:adjustRightInd w:val="0"/>
              <w:snapToGrid w:val="0"/>
              <w:spacing w:line="300" w:lineRule="exact"/>
              <w:ind w:left="420" w:leftChars="0" w:hanging="420" w:firstLineChars="0"/>
              <w:jc w:val="center"/>
              <w:rPr>
                <w:rFonts w:hint="eastAsia" w:ascii="宋体" w:hAnsi="宋体" w:eastAsia="宋体" w:cs="宋体"/>
                <w:color w:val="000000" w:themeColor="text1"/>
                <w:sz w:val="21"/>
                <w:szCs w:val="21"/>
                <w14:textFill>
                  <w14:solidFill>
                    <w14:schemeClr w14:val="tx1"/>
                  </w14:solidFill>
                </w14:textFill>
              </w:rPr>
            </w:pP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6B865882">
            <w:pPr>
              <w:widowControl/>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1F23C4B7">
            <w:pPr>
              <w:widowControl/>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《中华人民共和国消防法》第二十八条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5552CB08">
            <w:pPr>
              <w:widowControl/>
              <w:rPr>
                <w:rFonts w:hint="eastAsia" w:ascii="宋体" w:hAnsi="宋体" w:eastAsia="宋体" w:cs="宋体"/>
                <w:b/>
                <w:bCs/>
                <w:color w:val="000000"/>
                <w:sz w:val="21"/>
                <w:szCs w:val="21"/>
                <w:lang w:val="en-US" w:eastAsia="zh-CN" w:bidi="ar"/>
              </w:rPr>
            </w:pPr>
            <w:r>
              <w:rPr>
                <w:rFonts w:hint="eastAsia" w:hAnsi="宋体" w:cs="宋体"/>
                <w:sz w:val="21"/>
                <w:szCs w:val="21"/>
              </w:rPr>
              <w:t>安全出口正常。</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6D8D7883">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tr w14:paraId="2716D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6A3B2E0B">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1971" w:type="pct"/>
            <w:tcBorders>
              <w:top w:val="single" w:color="auto" w:sz="4" w:space="0"/>
              <w:left w:val="single" w:color="auto" w:sz="4" w:space="0"/>
              <w:bottom w:val="single" w:color="auto" w:sz="4" w:space="0"/>
              <w:right w:val="single" w:color="auto" w:sz="4" w:space="0"/>
            </w:tcBorders>
            <w:vAlign w:val="center"/>
          </w:tcPr>
          <w:p w14:paraId="3C22C5AA">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灭火器应设置在位置明显和便于取用的地点，且不得影响安全疏散。</w:t>
            </w:r>
          </w:p>
        </w:tc>
        <w:tc>
          <w:tcPr>
            <w:tcW w:w="1390" w:type="pct"/>
            <w:tcBorders>
              <w:top w:val="single" w:color="auto" w:sz="4" w:space="0"/>
              <w:left w:val="single" w:color="auto" w:sz="4" w:space="0"/>
              <w:bottom w:val="single" w:color="auto" w:sz="4" w:space="0"/>
              <w:right w:val="single" w:color="auto" w:sz="4" w:space="0"/>
            </w:tcBorders>
            <w:vAlign w:val="center"/>
          </w:tcPr>
          <w:p w14:paraId="05803A27">
            <w:pPr>
              <w:snapToGrid w:val="0"/>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50140-2005）</w:t>
            </w:r>
            <w:r>
              <w:rPr>
                <w:rFonts w:hint="eastAsia" w:ascii="宋体" w:hAnsi="宋体" w:eastAsia="宋体" w:cs="宋体"/>
                <w:color w:val="000000" w:themeColor="text1"/>
                <w:sz w:val="21"/>
                <w:szCs w:val="21"/>
                <w:lang w:eastAsia="zh-CN"/>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5.1.1</w:t>
            </w:r>
            <w:r>
              <w:rPr>
                <w:rFonts w:hint="eastAsia" w:ascii="宋体" w:hAnsi="宋体" w:eastAsia="宋体" w:cs="宋体"/>
                <w:color w:val="000000" w:themeColor="text1"/>
                <w:sz w:val="21"/>
                <w:szCs w:val="21"/>
                <w:lang w:eastAsia="zh-CN"/>
                <w14:textFill>
                  <w14:solidFill>
                    <w14:schemeClr w14:val="tx1"/>
                  </w14:solidFill>
                </w14:textFill>
              </w:rPr>
              <w:t>条</w:t>
            </w:r>
          </w:p>
        </w:tc>
        <w:tc>
          <w:tcPr>
            <w:tcW w:w="999" w:type="pct"/>
            <w:tcBorders>
              <w:top w:val="single" w:color="auto" w:sz="4" w:space="0"/>
              <w:left w:val="single" w:color="auto" w:sz="4" w:space="0"/>
              <w:bottom w:val="single" w:color="auto" w:sz="4" w:space="0"/>
              <w:right w:val="single" w:color="auto" w:sz="4" w:space="0"/>
            </w:tcBorders>
            <w:vAlign w:val="center"/>
          </w:tcPr>
          <w:p w14:paraId="776335F9">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该项目灭火器设置在明显和便于取用的地点，且不影响安全疏散。</w:t>
            </w:r>
          </w:p>
        </w:tc>
        <w:tc>
          <w:tcPr>
            <w:tcW w:w="366" w:type="pct"/>
            <w:tcBorders>
              <w:top w:val="single" w:color="auto" w:sz="4" w:space="0"/>
              <w:left w:val="single" w:color="auto" w:sz="4" w:space="0"/>
              <w:bottom w:val="single" w:color="auto" w:sz="4" w:space="0"/>
              <w:right w:val="single" w:color="auto" w:sz="4" w:space="0"/>
            </w:tcBorders>
            <w:vAlign w:val="center"/>
          </w:tcPr>
          <w:p w14:paraId="6F924C00">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0DC9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6745C2E4">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470EC15D">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灭火器的摆放应稳固，其铭牌应朝外。手提式灭火器宜设置在灭火器箱内或挂钩、托架上，其顶部离地面高度不应大于1.50m；底部离地面高度不宜小于0.08m。灭火器箱不得上锁。</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394DC3CF">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《建筑灭火器配置设计规范》（GB50140-2005）第5.1.3条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60A293AA">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本项目配备的干粉灭火器均采用灭火器箱装。</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7AD3330">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tr w14:paraId="273FB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43796D99">
            <w:pPr>
              <w:snapToGrid w:val="0"/>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 xml:space="preserve"> 5</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10CF616A">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灭火器不宜设置在潮湿或强腐蚀性的地点。当必须设置时，应有相应的保护措施。</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5CFF5D29">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6B4E768E">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第5.1.4条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1766A65F">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该项目灭火器基本未设置在潮湿或强腐蚀性的地点。</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680A020">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9F84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7D46C61A">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68DC4E6A">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灭火器不得设置在超出其使用温度范围的地点。</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3FCD34E8">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04F16ED9">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第5.1.5条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39A3ADD9">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该项目灭火器的使用温度均在允许范围内。</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272C9BB2">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1F99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28C3B2F7">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287B8B0E">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一个计算单元内配置的灭火器数量不得少于2具。</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5E3C04AB">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29CA51D0">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第6.1.1条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5F6311CF">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该项目建构筑物内灭火器的配置数量符合规范要求。</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8804763">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8905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1D1DA982">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4408A05F">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每个设置点的灭火器数量不宜多于5具。</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506D10F1">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《建筑灭火器配置设计规范》（GB50140-2005）第6.1.2条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2191BC3B">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企业一个配置点不少于2具灭火器，不多于5具。</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1377A9A">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tr w14:paraId="770F8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3AB4A6D5">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7F97E53A">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每个灭火器设置点实配灭火器的灭火级别和数量不得小于最小需配灭火级别和数量的计算值。</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65891626">
            <w:pPr>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《建筑灭火器配置设计规范》（GB50140-2005）</w:t>
            </w:r>
          </w:p>
          <w:p w14:paraId="6DE8EB9D">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第7.1.2条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1DA67C66">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该项目每个灭火器设置点实配灭火器的灭火级别和数量符合要求。</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82F2D16">
            <w:pPr>
              <w:snapToGrid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C990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7FA53A9F">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bookmarkStart w:id="736" w:name="_Toc22011"/>
            <w:bookmarkStart w:id="737" w:name="_Toc14804"/>
            <w:r>
              <w:rPr>
                <w:rFonts w:hint="eastAsia" w:ascii="宋体" w:hAnsi="宋体" w:eastAsia="宋体" w:cs="宋体"/>
                <w:color w:val="000000" w:themeColor="text1"/>
                <w:sz w:val="21"/>
                <w:szCs w:val="21"/>
                <w:lang w:val="en-US" w:eastAsia="zh-CN"/>
                <w14:textFill>
                  <w14:solidFill>
                    <w14:schemeClr w14:val="tx1"/>
                  </w14:solidFill>
                </w14:textFill>
              </w:rPr>
              <w:t>10</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0310F676">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消防设施投入使用后，应定期进行巡查、检查和维护，并应保证其处于正常运行或工作状态，不应擅自关停、拆改或移动。超过有效期的灭火介质、消防设施或经检验不符合继续使用要求的管道、组件和压力容器不应使用。</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692A6D7B">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《消防设施通用规范》（GB55036-2022）第2.0.9条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3ABF8F50">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本项目消防设施主要为灭火器，企业定期进行了检查、维护。</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ADFF3F7">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tr w14:paraId="3B080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321D7ACC">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11</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271CA826">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消防设施上或附近应设置区别于环境的明显标识，说明文字应准确、清楚且易于识别，颜色、符号或标志应规范。手动操作按钮等装置处应采取防止误操作或被损坏的防护措施。</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555D2E80">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《消防设施通用规范》（GB55036-2022）第2.0.10条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1A7BFFD2">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本项目生产车间内消防栓箱、灭火器材等处均涂刷或粘贴了红色醒目的消防标识。</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2EB20E98">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tr w14:paraId="429D8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6B83DF30">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12</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1C7540A5">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灭火器应设置在位置明显和便于取用的地点，且不应影响人员安全疏散。当确需设置在有视线障碍的设置点时，应设置指示灭火器位置的醒目标志。灭火器应设置在位置明显和便于取用的地点，且不应影响人员安全疏散。当确需设置在有视线障碍的设置点时，应设置指示灭火器位置的醒目标志。</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5B848A46">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《消防设施通用规范》（GB55036-2022）第10.0.4条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5B4087A1">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灭火器设置在明显和便于取用的地点，且未影响安全疏散。</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3F14D077">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tr w14:paraId="653A6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0843EAD8">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13</w:t>
            </w:r>
          </w:p>
        </w:tc>
        <w:tc>
          <w:tcPr>
            <w:tcW w:w="1971" w:type="pct"/>
            <w:tcBorders>
              <w:top w:val="single" w:color="auto" w:sz="4" w:space="0"/>
              <w:left w:val="single" w:color="auto" w:sz="4" w:space="0"/>
              <w:bottom w:val="single" w:color="auto" w:sz="4" w:space="0"/>
              <w:right w:val="single" w:color="auto" w:sz="4" w:space="0"/>
            </w:tcBorders>
            <w:shd w:val="clear" w:color="auto" w:fill="auto"/>
            <w:vAlign w:val="center"/>
          </w:tcPr>
          <w:p w14:paraId="66B64560">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灭火器不应设置在可能超出其使用温度范围的场所，并应采取与设置场所环境条件相适应的防护措施。</w:t>
            </w:r>
          </w:p>
        </w:tc>
        <w:tc>
          <w:tcPr>
            <w:tcW w:w="1390" w:type="pct"/>
            <w:tcBorders>
              <w:top w:val="single" w:color="auto" w:sz="4" w:space="0"/>
              <w:left w:val="single" w:color="auto" w:sz="4" w:space="0"/>
              <w:bottom w:val="single" w:color="auto" w:sz="4" w:space="0"/>
              <w:right w:val="single" w:color="auto" w:sz="4" w:space="0"/>
            </w:tcBorders>
            <w:shd w:val="clear" w:color="auto" w:fill="auto"/>
            <w:vAlign w:val="center"/>
          </w:tcPr>
          <w:p w14:paraId="79E52979">
            <w:pPr>
              <w:widowControl/>
              <w:jc w:val="left"/>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《消防设施通用规范》（GB55036-2022）第10.0.5条</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14:paraId="4BC3402C">
            <w:pPr>
              <w:widowControl/>
              <w:rPr>
                <w:rFonts w:hint="eastAsia" w:ascii="宋体" w:hAnsi="宋体" w:eastAsia="宋体" w:cs="宋体"/>
                <w:color w:val="000000"/>
                <w:sz w:val="21"/>
                <w:szCs w:val="21"/>
                <w:lang w:val="en-US" w:eastAsia="zh-CN" w:bidi="ar"/>
              </w:rPr>
            </w:pPr>
            <w:r>
              <w:rPr>
                <w:rFonts w:hint="eastAsia" w:hAnsi="宋体" w:cs="宋体"/>
                <w:color w:val="000000"/>
                <w:sz w:val="21"/>
                <w:szCs w:val="21"/>
                <w:lang w:bidi="ar"/>
              </w:rPr>
              <w:t>企业灭火器未设置在超出其使用温度范围的地点。</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10E938E">
            <w:pPr>
              <w:widowControl/>
              <w:jc w:val="center"/>
              <w:rPr>
                <w:rFonts w:hint="eastAsia" w:ascii="宋体" w:hAnsi="宋体" w:eastAsia="宋体" w:cs="宋体"/>
                <w:b/>
                <w:bCs/>
                <w:color w:val="000000"/>
                <w:sz w:val="21"/>
                <w:szCs w:val="21"/>
                <w:lang w:val="en-US" w:eastAsia="zh-CN" w:bidi="ar"/>
              </w:rPr>
            </w:pPr>
            <w:r>
              <w:rPr>
                <w:rFonts w:hint="eastAsia" w:hAnsi="宋体" w:cs="宋体"/>
                <w:color w:val="000000"/>
                <w:sz w:val="21"/>
                <w:szCs w:val="21"/>
                <w:lang w:bidi="ar"/>
              </w:rPr>
              <w:t>符合</w:t>
            </w:r>
          </w:p>
        </w:tc>
      </w:tr>
      <w:bookmarkEnd w:id="731"/>
    </w:tbl>
    <w:p w14:paraId="068B41EF">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738" w:name="_Toc24818"/>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5.4.4 单元小结</w:t>
      </w:r>
      <w:bookmarkEnd w:id="732"/>
      <w:bookmarkEnd w:id="733"/>
      <w:bookmarkEnd w:id="734"/>
      <w:bookmarkEnd w:id="736"/>
      <w:bookmarkEnd w:id="737"/>
      <w:bookmarkEnd w:id="738"/>
    </w:p>
    <w:p w14:paraId="0FAA7F2C">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供配电系统基本按照《低压配电设计规范》（GB50054-2011）及《用电安全导则》（GB/T13869-2017）等标准规范的规定等国家相关的标准规范要求；结合公司现场实际情况，该公司的电气设备具备安全生产的条件；</w:t>
      </w:r>
    </w:p>
    <w:p w14:paraId="1ADD7EDF">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安全检查表分析评价结果：该项目的给排水符合《工业企业总平面设计规范》（GB50187-2012）要求；</w:t>
      </w:r>
    </w:p>
    <w:p w14:paraId="63B515E4">
      <w:pPr>
        <w:adjustRightInd w:val="0"/>
        <w:snapToGrid w:val="0"/>
        <w:spacing w:line="500" w:lineRule="exact"/>
        <w:ind w:firstLine="560" w:firstLineChars="200"/>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安全检查表分析评价结果：该项目的消防设施建设基本符合《中华人民共和国消防法》、《建筑灭火器配置设计规范》（GB50140-2005）等相关法律法规、标准规范的要求</w:t>
      </w:r>
      <w:r>
        <w:rPr>
          <w:rFonts w:hint="eastAsia" w:ascii="宋体" w:hAnsi="宋体" w:eastAsia="宋体" w:cs="宋体"/>
          <w:color w:val="000000" w:themeColor="text1"/>
          <w:sz w:val="28"/>
          <w:szCs w:val="28"/>
          <w:lang w:eastAsia="zh-CN"/>
          <w14:textFill>
            <w14:solidFill>
              <w14:schemeClr w14:val="tx1"/>
            </w14:solidFill>
          </w14:textFill>
        </w:rPr>
        <w:t>。</w:t>
      </w:r>
    </w:p>
    <w:bookmarkEnd w:id="709"/>
    <w:bookmarkEnd w:id="710"/>
    <w:bookmarkEnd w:id="711"/>
    <w:bookmarkEnd w:id="712"/>
    <w:bookmarkEnd w:id="713"/>
    <w:p w14:paraId="45BF4E3B">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739" w:name="_Hlt145775763"/>
      <w:bookmarkEnd w:id="739"/>
      <w:bookmarkStart w:id="740" w:name="_Toc133428988"/>
      <w:bookmarkStart w:id="741" w:name="_Toc145775755"/>
      <w:bookmarkStart w:id="742" w:name="_Toc21301"/>
      <w:bookmarkStart w:id="743" w:name="_Toc19957"/>
      <w:bookmarkStart w:id="744" w:name="_Toc27135"/>
      <w:bookmarkStart w:id="745" w:name="_Toc313453623"/>
      <w:bookmarkStart w:id="746" w:name="_Toc335926312"/>
      <w:bookmarkStart w:id="747" w:name="_Toc25067"/>
      <w:bookmarkStart w:id="748" w:name="_Toc28491"/>
      <w:bookmarkStart w:id="749" w:name="_Toc11562"/>
      <w:r>
        <w:rPr>
          <w:rFonts w:hint="eastAsia" w:ascii="宋体" w:hAnsi="宋体" w:eastAsia="宋体" w:cs="宋体"/>
          <w:color w:val="000000" w:themeColor="text1"/>
          <w:kern w:val="0"/>
          <w14:textFill>
            <w14:solidFill>
              <w14:schemeClr w14:val="tx1"/>
            </w14:solidFill>
          </w14:textFill>
        </w:rPr>
        <w:t>5.5</w:t>
      </w:r>
      <w:r>
        <w:rPr>
          <w:rFonts w:hint="eastAsia" w:ascii="宋体" w:hAnsi="宋体" w:eastAsia="宋体" w:cs="宋体"/>
          <w:color w:val="000000" w:themeColor="text1"/>
          <w:kern w:val="0"/>
          <w:lang w:val="en-US" w:eastAsia="zh-CN"/>
          <w14:textFill>
            <w14:solidFill>
              <w14:schemeClr w14:val="tx1"/>
            </w14:solidFill>
          </w14:textFill>
        </w:rPr>
        <w:t xml:space="preserve"> </w:t>
      </w:r>
      <w:r>
        <w:rPr>
          <w:rFonts w:hint="eastAsia" w:ascii="宋体" w:hAnsi="宋体" w:eastAsia="宋体" w:cs="宋体"/>
          <w:color w:val="000000" w:themeColor="text1"/>
          <w:kern w:val="0"/>
          <w14:textFill>
            <w14:solidFill>
              <w14:schemeClr w14:val="tx1"/>
            </w14:solidFill>
          </w14:textFill>
        </w:rPr>
        <w:t>安全生产管理评价</w:t>
      </w:r>
      <w:bookmarkEnd w:id="740"/>
      <w:bookmarkEnd w:id="741"/>
      <w:r>
        <w:rPr>
          <w:rFonts w:hint="eastAsia" w:ascii="宋体" w:hAnsi="宋体" w:eastAsia="宋体" w:cs="宋体"/>
          <w:color w:val="000000" w:themeColor="text1"/>
          <w:kern w:val="0"/>
          <w14:textFill>
            <w14:solidFill>
              <w14:schemeClr w14:val="tx1"/>
            </w14:solidFill>
          </w14:textFill>
        </w:rPr>
        <w:t>单元</w:t>
      </w:r>
      <w:bookmarkEnd w:id="742"/>
      <w:bookmarkEnd w:id="743"/>
      <w:bookmarkEnd w:id="744"/>
      <w:bookmarkEnd w:id="745"/>
      <w:bookmarkEnd w:id="746"/>
      <w:bookmarkEnd w:id="747"/>
      <w:bookmarkEnd w:id="748"/>
      <w:bookmarkEnd w:id="749"/>
    </w:p>
    <w:p w14:paraId="4C7626D9">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750" w:name="_Toc403746183"/>
      <w:bookmarkStart w:id="751" w:name="_Toc365119548"/>
      <w:bookmarkStart w:id="752" w:name="_Toc30001458"/>
      <w:bookmarkStart w:id="753" w:name="_Toc20765"/>
      <w:bookmarkStart w:id="754" w:name="_Toc61474481"/>
      <w:bookmarkStart w:id="755" w:name="_Toc23196"/>
      <w:bookmarkStart w:id="756" w:name="_Toc5340"/>
      <w:bookmarkStart w:id="757" w:name="_Toc21137"/>
      <w:bookmarkStart w:id="758" w:name="_Toc8165"/>
      <w:bookmarkStart w:id="759" w:name="_Toc4740"/>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5.5.1安全管理</w:t>
      </w:r>
      <w:bookmarkEnd w:id="750"/>
      <w:bookmarkEnd w:id="75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检查表</w:t>
      </w:r>
      <w:bookmarkEnd w:id="752"/>
      <w:bookmarkEnd w:id="753"/>
      <w:bookmarkEnd w:id="754"/>
      <w:bookmarkEnd w:id="755"/>
      <w:bookmarkEnd w:id="756"/>
      <w:bookmarkEnd w:id="757"/>
      <w:bookmarkEnd w:id="758"/>
      <w:bookmarkEnd w:id="759"/>
    </w:p>
    <w:p w14:paraId="7C28EBF3">
      <w:pPr>
        <w:pStyle w:val="45"/>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napToGrid w:val="0"/>
          <w:color w:val="000000" w:themeColor="text1"/>
          <w14:textFill>
            <w14:solidFill>
              <w14:schemeClr w14:val="tx1"/>
            </w14:solidFill>
          </w14:textFill>
        </w:rPr>
      </w:pPr>
      <w:r>
        <w:rPr>
          <w:rFonts w:hint="eastAsia" w:ascii="宋体" w:hAnsi="宋体" w:eastAsia="宋体" w:cs="宋体"/>
          <w:snapToGrid w:val="0"/>
          <w:color w:val="000000" w:themeColor="text1"/>
          <w14:textFill>
            <w14:solidFill>
              <w14:schemeClr w14:val="tx1"/>
            </w14:solidFill>
          </w14:textFill>
        </w:rPr>
        <w:t>本节依据《中华人民共和国安全生产法》的相关要求，编制安全检查表对企业安全生产管理状况进行检查，检查结果见下表。</w:t>
      </w:r>
    </w:p>
    <w:p w14:paraId="2F63043D">
      <w:pPr>
        <w:pStyle w:val="45"/>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napToGrid w:val="0"/>
          <w:color w:val="000000" w:themeColor="text1"/>
          <w14:textFill>
            <w14:solidFill>
              <w14:schemeClr w14:val="tx1"/>
            </w14:solidFill>
          </w14:textFill>
        </w:rPr>
      </w:pPr>
    </w:p>
    <w:p w14:paraId="6F4B53D9">
      <w:pPr>
        <w:tabs>
          <w:tab w:val="left" w:pos="851"/>
        </w:tabs>
        <w:adjustRightInd w:val="0"/>
        <w:snapToGrid w:val="0"/>
        <w:spacing w:line="240" w:lineRule="exact"/>
        <w:jc w:val="center"/>
        <w:rPr>
          <w:rFonts w:hint="eastAsia" w:ascii="宋体" w:hAnsi="宋体" w:eastAsia="宋体" w:cs="宋体"/>
          <w:b/>
          <w:bCs/>
          <w:color w:val="000000" w:themeColor="text1"/>
          <w:szCs w:val="21"/>
          <w14:textFill>
            <w14:solidFill>
              <w14:schemeClr w14:val="tx1"/>
            </w14:solidFill>
          </w14:textFill>
        </w:rPr>
      </w:pPr>
    </w:p>
    <w:p w14:paraId="1E4112A2">
      <w:pPr>
        <w:tabs>
          <w:tab w:val="left" w:pos="851"/>
        </w:tabs>
        <w:adjustRightInd w:val="0"/>
        <w:snapToGrid w:val="0"/>
        <w:spacing w:line="240" w:lineRule="exact"/>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表5-</w:t>
      </w:r>
      <w:r>
        <w:rPr>
          <w:rFonts w:hint="eastAsia" w:ascii="宋体" w:hAnsi="宋体" w:eastAsia="宋体" w:cs="宋体"/>
          <w:b/>
          <w:bCs/>
          <w:color w:val="000000" w:themeColor="text1"/>
          <w:szCs w:val="21"/>
          <w:lang w:val="en-US" w:eastAsia="zh-CN"/>
          <w14:textFill>
            <w14:solidFill>
              <w14:schemeClr w14:val="tx1"/>
            </w14:solidFill>
          </w14:textFill>
        </w:rPr>
        <w:t>9</w:t>
      </w:r>
      <w:r>
        <w:rPr>
          <w:rFonts w:hint="eastAsia" w:ascii="宋体" w:hAnsi="宋体" w:eastAsia="宋体" w:cs="宋体"/>
          <w:b/>
          <w:bCs/>
          <w:color w:val="000000" w:themeColor="text1"/>
          <w:szCs w:val="21"/>
          <w14:textFill>
            <w14:solidFill>
              <w14:schemeClr w14:val="tx1"/>
            </w14:solidFill>
          </w14:textFill>
        </w:rPr>
        <w:t>安全生产管理检查表</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3522"/>
        <w:gridCol w:w="1812"/>
        <w:gridCol w:w="2406"/>
        <w:gridCol w:w="907"/>
      </w:tblGrid>
      <w:tr w14:paraId="68A60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1E568F8">
            <w:pPr>
              <w:widowControl/>
              <w:jc w:val="center"/>
              <w:rPr>
                <w:rFonts w:hint="eastAsia" w:hAnsi="宋体" w:cs="宋体"/>
                <w:b/>
                <w:bCs/>
                <w:color w:val="000000"/>
                <w:sz w:val="21"/>
                <w:szCs w:val="21"/>
                <w:lang w:bidi="ar"/>
              </w:rPr>
            </w:pPr>
            <w:r>
              <w:rPr>
                <w:rFonts w:hint="eastAsia" w:hAnsi="宋体" w:cs="宋体"/>
                <w:b/>
                <w:bCs/>
                <w:color w:val="000000"/>
                <w:sz w:val="21"/>
                <w:szCs w:val="21"/>
                <w:lang w:bidi="ar"/>
              </w:rPr>
              <w:t>序号</w:t>
            </w:r>
          </w:p>
        </w:tc>
        <w:tc>
          <w:tcPr>
            <w:tcW w:w="3522" w:type="dxa"/>
            <w:vAlign w:val="center"/>
          </w:tcPr>
          <w:p w14:paraId="6372A783">
            <w:pPr>
              <w:widowControl/>
              <w:jc w:val="center"/>
              <w:rPr>
                <w:rFonts w:hint="eastAsia" w:hAnsi="宋体" w:cs="宋体"/>
                <w:b/>
                <w:bCs/>
                <w:color w:val="000000"/>
                <w:sz w:val="21"/>
                <w:szCs w:val="21"/>
                <w:lang w:bidi="ar"/>
              </w:rPr>
            </w:pPr>
            <w:r>
              <w:rPr>
                <w:rFonts w:hint="eastAsia" w:hAnsi="宋体" w:cs="宋体"/>
                <w:b/>
                <w:bCs/>
                <w:color w:val="000000"/>
                <w:sz w:val="21"/>
                <w:szCs w:val="21"/>
                <w:lang w:bidi="ar"/>
              </w:rPr>
              <w:t>检查内容</w:t>
            </w:r>
          </w:p>
        </w:tc>
        <w:tc>
          <w:tcPr>
            <w:tcW w:w="1812" w:type="dxa"/>
            <w:vAlign w:val="center"/>
          </w:tcPr>
          <w:p w14:paraId="79ECB2A0">
            <w:pPr>
              <w:widowControl/>
              <w:jc w:val="center"/>
              <w:rPr>
                <w:rFonts w:hint="eastAsia" w:hAnsi="宋体" w:cs="宋体"/>
                <w:b/>
                <w:bCs/>
                <w:color w:val="000000"/>
                <w:sz w:val="21"/>
                <w:szCs w:val="21"/>
                <w:lang w:bidi="ar"/>
              </w:rPr>
            </w:pPr>
            <w:r>
              <w:rPr>
                <w:rFonts w:hint="eastAsia" w:hAnsi="宋体" w:cs="宋体"/>
                <w:b/>
                <w:bCs/>
                <w:color w:val="000000"/>
                <w:sz w:val="21"/>
                <w:szCs w:val="21"/>
                <w:lang w:bidi="ar"/>
              </w:rPr>
              <w:t>检查依据</w:t>
            </w:r>
          </w:p>
        </w:tc>
        <w:tc>
          <w:tcPr>
            <w:tcW w:w="2406" w:type="dxa"/>
            <w:vAlign w:val="center"/>
          </w:tcPr>
          <w:p w14:paraId="49D6FCE6">
            <w:pPr>
              <w:widowControl/>
              <w:jc w:val="center"/>
              <w:rPr>
                <w:rFonts w:hint="eastAsia" w:hAnsi="宋体" w:cs="宋体"/>
                <w:b/>
                <w:bCs/>
                <w:color w:val="000000"/>
                <w:sz w:val="21"/>
                <w:szCs w:val="21"/>
                <w:lang w:bidi="ar"/>
              </w:rPr>
            </w:pPr>
            <w:r>
              <w:rPr>
                <w:rFonts w:hint="eastAsia" w:hAnsi="宋体" w:cs="宋体"/>
                <w:b/>
                <w:bCs/>
                <w:color w:val="000000"/>
                <w:sz w:val="21"/>
                <w:szCs w:val="21"/>
                <w:lang w:bidi="ar"/>
              </w:rPr>
              <w:t>检查情况</w:t>
            </w:r>
          </w:p>
        </w:tc>
        <w:tc>
          <w:tcPr>
            <w:tcW w:w="907" w:type="dxa"/>
            <w:vAlign w:val="center"/>
          </w:tcPr>
          <w:p w14:paraId="0A6E0BD3">
            <w:pPr>
              <w:widowControl/>
              <w:jc w:val="center"/>
              <w:rPr>
                <w:rFonts w:hint="eastAsia" w:hAnsi="宋体" w:cs="宋体"/>
                <w:b/>
                <w:bCs/>
                <w:color w:val="000000"/>
                <w:sz w:val="21"/>
                <w:szCs w:val="21"/>
                <w:lang w:bidi="ar"/>
              </w:rPr>
            </w:pPr>
            <w:r>
              <w:rPr>
                <w:rFonts w:hint="eastAsia" w:hAnsi="宋体" w:cs="宋体"/>
                <w:b/>
                <w:bCs/>
                <w:color w:val="000000"/>
                <w:sz w:val="21"/>
                <w:szCs w:val="21"/>
                <w:lang w:bidi="ar"/>
              </w:rPr>
              <w:t>检查结果</w:t>
            </w:r>
          </w:p>
        </w:tc>
      </w:tr>
      <w:tr w14:paraId="0BCB2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0D1A3274">
            <w:pPr>
              <w:widowControl/>
              <w:jc w:val="center"/>
              <w:rPr>
                <w:rFonts w:hint="eastAsia" w:hAnsi="宋体" w:cs="宋体"/>
                <w:b/>
                <w:bCs/>
                <w:color w:val="000000"/>
                <w:sz w:val="21"/>
                <w:szCs w:val="21"/>
                <w:lang w:bidi="ar"/>
              </w:rPr>
            </w:pPr>
            <w:r>
              <w:rPr>
                <w:rFonts w:hint="eastAsia" w:hAnsi="宋体" w:cs="宋体"/>
                <w:b/>
                <w:bCs/>
                <w:color w:val="000000"/>
                <w:sz w:val="21"/>
                <w:szCs w:val="21"/>
                <w:lang w:bidi="ar"/>
              </w:rPr>
              <w:t>安全管理组织机构</w:t>
            </w:r>
          </w:p>
        </w:tc>
      </w:tr>
      <w:tr w14:paraId="2A421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0FC960A">
            <w:pPr>
              <w:widowControl/>
              <w:jc w:val="center"/>
              <w:rPr>
                <w:rFonts w:hint="eastAsia" w:hAnsi="宋体" w:cs="宋体"/>
                <w:color w:val="000000"/>
                <w:sz w:val="21"/>
                <w:szCs w:val="21"/>
                <w:lang w:bidi="ar"/>
              </w:rPr>
            </w:pPr>
            <w:r>
              <w:rPr>
                <w:rFonts w:hint="eastAsia" w:hAnsi="宋体" w:cs="宋体"/>
                <w:color w:val="000000"/>
                <w:sz w:val="21"/>
                <w:szCs w:val="21"/>
                <w:lang w:bidi="ar"/>
              </w:rPr>
              <w:t>1</w:t>
            </w:r>
          </w:p>
        </w:tc>
        <w:tc>
          <w:tcPr>
            <w:tcW w:w="3522" w:type="dxa"/>
            <w:vAlign w:val="center"/>
          </w:tcPr>
          <w:p w14:paraId="5677D01F">
            <w:pPr>
              <w:widowControl/>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矿山、金属冶炼、建筑施工、运输单位和危险物品的生产、经营、储存、装卸单位，应当设置安全生产管理机构或者配备专职安全生产管理人员。前款规定以外的其他生产经营单位，从业人员超过一百人的，应当设置安全生产管理机构或者配备专职安全生产管理人员；从业人员在一百人以下的，应当配备专职或者兼职的安全生产管理人员。</w:t>
            </w:r>
          </w:p>
        </w:tc>
        <w:tc>
          <w:tcPr>
            <w:tcW w:w="1812" w:type="dxa"/>
            <w:vAlign w:val="center"/>
          </w:tcPr>
          <w:p w14:paraId="09A76857">
            <w:pPr>
              <w:widowControl/>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《中华人民共和国安全生产法》（主席令第88号）第24条</w:t>
            </w:r>
          </w:p>
        </w:tc>
        <w:tc>
          <w:tcPr>
            <w:tcW w:w="2406" w:type="dxa"/>
            <w:vAlign w:val="center"/>
          </w:tcPr>
          <w:p w14:paraId="493AE6BF">
            <w:pPr>
              <w:widowControl/>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该企业成立有安全生产领导小组，并任命了兼职安全管理人员，已持证上岗。</w:t>
            </w:r>
          </w:p>
        </w:tc>
        <w:tc>
          <w:tcPr>
            <w:tcW w:w="907" w:type="dxa"/>
            <w:vAlign w:val="center"/>
          </w:tcPr>
          <w:p w14:paraId="13BCC2FB">
            <w:pPr>
              <w:widowControl/>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符合</w:t>
            </w:r>
          </w:p>
        </w:tc>
      </w:tr>
      <w:tr w14:paraId="0992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C5296CE">
            <w:pPr>
              <w:widowControl/>
              <w:jc w:val="center"/>
              <w:rPr>
                <w:rFonts w:hint="eastAsia" w:hAnsi="宋体" w:cs="宋体"/>
                <w:color w:val="000000"/>
                <w:sz w:val="21"/>
                <w:szCs w:val="21"/>
                <w:lang w:bidi="ar"/>
              </w:rPr>
            </w:pPr>
            <w:r>
              <w:rPr>
                <w:rFonts w:hint="eastAsia" w:hAnsi="宋体" w:cs="宋体"/>
                <w:color w:val="000000"/>
                <w:sz w:val="21"/>
                <w:szCs w:val="21"/>
                <w:lang w:bidi="ar"/>
              </w:rPr>
              <w:t>2</w:t>
            </w:r>
          </w:p>
        </w:tc>
        <w:tc>
          <w:tcPr>
            <w:tcW w:w="3522" w:type="dxa"/>
            <w:vAlign w:val="center"/>
          </w:tcPr>
          <w:p w14:paraId="211161EC">
            <w:pPr>
              <w:widowControl/>
              <w:rPr>
                <w:rFonts w:hint="eastAsia" w:hAnsi="宋体" w:cs="宋体"/>
                <w:color w:val="000000"/>
                <w:sz w:val="21"/>
                <w:szCs w:val="21"/>
                <w:lang w:bidi="ar"/>
              </w:rPr>
            </w:pPr>
            <w:r>
              <w:rPr>
                <w:rFonts w:hint="eastAsia" w:ascii="宋体" w:hAnsi="宋体" w:eastAsia="宋体" w:cs="宋体"/>
                <w:color w:val="000000"/>
                <w:sz w:val="21"/>
                <w:szCs w:val="21"/>
                <w:lang w:bidi="ar"/>
              </w:rPr>
              <w:t>矿山、金属冶炼、建筑施工、道路运输单位和危险物品的生产、经营、储存、废弃处置单位，应当设置专门的安全生产管理机构或者配备相应的专职安全生产管理人员。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生产经营单位的分支机构或者所属单位，应当按照本条规定设置、配备安全生产管理机构和人员。</w:t>
            </w:r>
          </w:p>
        </w:tc>
        <w:tc>
          <w:tcPr>
            <w:tcW w:w="1812" w:type="dxa"/>
            <w:vAlign w:val="center"/>
          </w:tcPr>
          <w:p w14:paraId="480B0891">
            <w:pPr>
              <w:widowControl/>
              <w:rPr>
                <w:rFonts w:hint="eastAsia" w:hAnsi="宋体" w:cs="宋体"/>
                <w:color w:val="000000"/>
                <w:sz w:val="21"/>
                <w:szCs w:val="21"/>
                <w:lang w:bidi="ar"/>
              </w:rPr>
            </w:pPr>
            <w:r>
              <w:rPr>
                <w:rFonts w:hint="eastAsia" w:hAnsi="宋体" w:cs="宋体"/>
                <w:color w:val="000000"/>
                <w:sz w:val="21"/>
                <w:szCs w:val="21"/>
                <w:lang w:bidi="ar"/>
              </w:rPr>
              <w:t>《云南省安全生产条例》（2017年11月30日云南省第十二届人民代表大会常务委员会第三十八次会议通过）第十五条</w:t>
            </w:r>
          </w:p>
        </w:tc>
        <w:tc>
          <w:tcPr>
            <w:tcW w:w="2406" w:type="dxa"/>
            <w:vAlign w:val="center"/>
          </w:tcPr>
          <w:p w14:paraId="5457ECAF">
            <w:pPr>
              <w:widowControl/>
              <w:rPr>
                <w:rFonts w:hint="eastAsia" w:hAnsi="宋体" w:cs="宋体"/>
                <w:color w:val="000000"/>
                <w:sz w:val="21"/>
                <w:szCs w:val="21"/>
                <w:lang w:bidi="ar"/>
              </w:rPr>
            </w:pPr>
            <w:r>
              <w:rPr>
                <w:rFonts w:hint="eastAsia" w:hAnsi="宋体" w:cs="宋体"/>
                <w:color w:val="000000"/>
                <w:sz w:val="21"/>
                <w:szCs w:val="21"/>
                <w:lang w:bidi="ar"/>
              </w:rPr>
              <w:t>该企业从业人员未超过100人，配备有兼职安全生产管理人员。</w:t>
            </w:r>
          </w:p>
        </w:tc>
        <w:tc>
          <w:tcPr>
            <w:tcW w:w="907" w:type="dxa"/>
            <w:vAlign w:val="center"/>
          </w:tcPr>
          <w:p w14:paraId="1F2D961F">
            <w:pPr>
              <w:widowControl/>
              <w:jc w:val="center"/>
              <w:rPr>
                <w:rFonts w:hint="eastAsia" w:hAnsi="宋体" w:cs="宋体"/>
                <w:color w:val="000000"/>
                <w:sz w:val="21"/>
                <w:szCs w:val="21"/>
                <w:lang w:bidi="ar"/>
              </w:rPr>
            </w:pPr>
            <w:r>
              <w:rPr>
                <w:rFonts w:hint="eastAsia" w:hAnsi="宋体" w:cs="宋体"/>
                <w:color w:val="000000"/>
                <w:sz w:val="21"/>
                <w:szCs w:val="21"/>
                <w:lang w:bidi="ar"/>
              </w:rPr>
              <w:t>符合</w:t>
            </w:r>
          </w:p>
        </w:tc>
      </w:tr>
      <w:tr w14:paraId="127B0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4558513F">
            <w:pPr>
              <w:widowControl/>
              <w:jc w:val="center"/>
              <w:rPr>
                <w:rFonts w:hint="eastAsia" w:hAnsi="宋体" w:cs="宋体"/>
                <w:color w:val="000000"/>
                <w:sz w:val="21"/>
                <w:szCs w:val="21"/>
                <w:lang w:bidi="ar"/>
              </w:rPr>
            </w:pPr>
            <w:r>
              <w:rPr>
                <w:rFonts w:hint="eastAsia" w:hAnsi="宋体" w:cs="宋体"/>
                <w:b/>
                <w:bCs/>
                <w:color w:val="000000"/>
                <w:sz w:val="21"/>
                <w:szCs w:val="21"/>
                <w:lang w:bidi="ar"/>
              </w:rPr>
              <w:t>安全管理规章制度</w:t>
            </w:r>
          </w:p>
        </w:tc>
      </w:tr>
      <w:tr w14:paraId="35CD1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AD60E73">
            <w:pPr>
              <w:widowControl/>
              <w:jc w:val="center"/>
              <w:rPr>
                <w:rFonts w:hint="eastAsia" w:hAnsi="宋体" w:cs="宋体"/>
                <w:color w:val="000000"/>
                <w:sz w:val="21"/>
                <w:szCs w:val="21"/>
                <w:lang w:bidi="ar"/>
              </w:rPr>
            </w:pPr>
            <w:r>
              <w:rPr>
                <w:rFonts w:hint="eastAsia" w:hAnsi="宋体" w:cs="宋体"/>
                <w:color w:val="000000"/>
                <w:sz w:val="21"/>
                <w:szCs w:val="21"/>
                <w:lang w:bidi="ar"/>
              </w:rPr>
              <w:t>3</w:t>
            </w:r>
          </w:p>
        </w:tc>
        <w:tc>
          <w:tcPr>
            <w:tcW w:w="3522" w:type="dxa"/>
            <w:vAlign w:val="center"/>
          </w:tcPr>
          <w:p w14:paraId="66CDAC23">
            <w:pPr>
              <w:widowControl/>
              <w:rPr>
                <w:rFonts w:hint="eastAsia" w:hAnsi="宋体" w:cs="宋体"/>
                <w:b/>
                <w:bCs/>
                <w:color w:val="000000"/>
                <w:sz w:val="21"/>
                <w:szCs w:val="21"/>
                <w:lang w:bidi="ar"/>
              </w:rPr>
            </w:pPr>
            <w:r>
              <w:rPr>
                <w:rFonts w:hint="eastAsia" w:hAnsi="宋体" w:cs="宋体"/>
                <w:sz w:val="21"/>
                <w:szCs w:val="21"/>
              </w:rPr>
              <w:t>生产经营单位的主要负责人应建立、健全本单位安全生产责任制；组织制定本单位安全生产规章制度和操作规程；组织制定并实施本单位安全生产教育和培训计划；保证本单位安全生产投入的有效实施；督促、检查本单位的安全生产工作，及时消除生产安全事故隐患；组织制定并实施本单位的生产安全施工应急救援预案；及时、如实报告生产安全事故。</w:t>
            </w:r>
          </w:p>
        </w:tc>
        <w:tc>
          <w:tcPr>
            <w:tcW w:w="1812" w:type="dxa"/>
            <w:vAlign w:val="center"/>
          </w:tcPr>
          <w:p w14:paraId="783F4FCA">
            <w:pPr>
              <w:snapToGrid w:val="0"/>
              <w:jc w:val="center"/>
              <w:rPr>
                <w:rFonts w:hint="eastAsia" w:hAnsi="宋体" w:cs="宋体"/>
                <w:sz w:val="21"/>
                <w:szCs w:val="21"/>
              </w:rPr>
            </w:pPr>
            <w:r>
              <w:rPr>
                <w:rFonts w:hint="eastAsia" w:hAnsi="宋体" w:cs="宋体"/>
                <w:sz w:val="21"/>
                <w:szCs w:val="21"/>
              </w:rPr>
              <w:t>《安全生产法》</w:t>
            </w:r>
          </w:p>
          <w:p w14:paraId="1E8F7656">
            <w:pPr>
              <w:snapToGrid w:val="0"/>
              <w:jc w:val="center"/>
              <w:rPr>
                <w:rFonts w:hint="eastAsia" w:hAnsi="宋体" w:cs="宋体"/>
                <w:b/>
                <w:bCs/>
                <w:color w:val="000000"/>
                <w:sz w:val="21"/>
                <w:szCs w:val="21"/>
                <w:lang w:bidi="ar"/>
              </w:rPr>
            </w:pPr>
            <w:r>
              <w:rPr>
                <w:rFonts w:hint="eastAsia" w:hAnsi="宋体" w:cs="宋体"/>
                <w:sz w:val="21"/>
                <w:szCs w:val="21"/>
              </w:rPr>
              <w:t>第十八条</w:t>
            </w:r>
          </w:p>
        </w:tc>
        <w:tc>
          <w:tcPr>
            <w:tcW w:w="2406" w:type="dxa"/>
            <w:vAlign w:val="center"/>
          </w:tcPr>
          <w:p w14:paraId="219C4F0C">
            <w:pPr>
              <w:widowControl/>
              <w:rPr>
                <w:rFonts w:hint="eastAsia" w:hAnsi="宋体" w:cs="宋体"/>
                <w:b/>
                <w:bCs/>
                <w:color w:val="000000"/>
                <w:sz w:val="21"/>
                <w:szCs w:val="21"/>
                <w:lang w:bidi="ar"/>
              </w:rPr>
            </w:pPr>
            <w:r>
              <w:rPr>
                <w:rFonts w:hint="eastAsia" w:hAnsi="宋体" w:cs="宋体"/>
                <w:sz w:val="21"/>
                <w:szCs w:val="21"/>
              </w:rPr>
              <w:t>制定了安全生产责任制，符合该企业的现状。</w:t>
            </w:r>
          </w:p>
        </w:tc>
        <w:tc>
          <w:tcPr>
            <w:tcW w:w="907" w:type="dxa"/>
            <w:vAlign w:val="center"/>
          </w:tcPr>
          <w:p w14:paraId="0E4E81D5">
            <w:pPr>
              <w:widowControl/>
              <w:jc w:val="center"/>
              <w:rPr>
                <w:rFonts w:hint="eastAsia" w:hAnsi="宋体" w:cs="宋体"/>
                <w:color w:val="000000"/>
                <w:sz w:val="21"/>
                <w:szCs w:val="21"/>
                <w:lang w:bidi="ar"/>
              </w:rPr>
            </w:pPr>
            <w:r>
              <w:rPr>
                <w:rFonts w:hint="eastAsia" w:hAnsi="宋体" w:cs="宋体"/>
                <w:color w:val="000000"/>
                <w:sz w:val="21"/>
                <w:szCs w:val="21"/>
                <w:lang w:bidi="ar"/>
              </w:rPr>
              <w:t>符合</w:t>
            </w:r>
          </w:p>
        </w:tc>
      </w:tr>
      <w:tr w14:paraId="3CC82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2AB00E1">
            <w:pPr>
              <w:widowControl/>
              <w:jc w:val="center"/>
              <w:rPr>
                <w:rFonts w:hint="eastAsia" w:hAnsi="宋体" w:cs="宋体"/>
                <w:color w:val="000000"/>
                <w:sz w:val="21"/>
                <w:szCs w:val="21"/>
                <w:lang w:bidi="ar"/>
              </w:rPr>
            </w:pPr>
            <w:r>
              <w:rPr>
                <w:rFonts w:hint="eastAsia" w:hAnsi="宋体" w:cs="宋体"/>
                <w:color w:val="000000"/>
                <w:sz w:val="21"/>
                <w:szCs w:val="21"/>
                <w:lang w:bidi="ar"/>
              </w:rPr>
              <w:t>4</w:t>
            </w:r>
          </w:p>
        </w:tc>
        <w:tc>
          <w:tcPr>
            <w:tcW w:w="3522" w:type="dxa"/>
            <w:vAlign w:val="center"/>
          </w:tcPr>
          <w:p w14:paraId="091F5176">
            <w:pPr>
              <w:widowControl/>
              <w:rPr>
                <w:rFonts w:hint="eastAsia" w:hAnsi="宋体" w:cs="宋体"/>
                <w:color w:val="000000"/>
                <w:sz w:val="21"/>
                <w:szCs w:val="21"/>
                <w:lang w:bidi="ar"/>
              </w:rPr>
            </w:pPr>
            <w:r>
              <w:rPr>
                <w:rFonts w:hint="eastAsia" w:hAnsi="宋体" w:cs="宋体"/>
                <w:sz w:val="21"/>
                <w:szCs w:val="21"/>
              </w:rPr>
              <w:t>生产经营单位应当教育和督促从业人员严格执行本单位的安全生产规章制度和安全操作规程；并向从业人员如实告知作业场所和工作岗位存在的危险因素、防范措施以及事故应急措施。</w:t>
            </w:r>
          </w:p>
        </w:tc>
        <w:tc>
          <w:tcPr>
            <w:tcW w:w="1812" w:type="dxa"/>
            <w:vAlign w:val="center"/>
          </w:tcPr>
          <w:p w14:paraId="79479818">
            <w:pPr>
              <w:snapToGrid w:val="0"/>
              <w:jc w:val="center"/>
              <w:rPr>
                <w:rFonts w:hint="eastAsia" w:hAnsi="宋体" w:cs="宋体"/>
                <w:sz w:val="21"/>
                <w:szCs w:val="21"/>
              </w:rPr>
            </w:pPr>
            <w:r>
              <w:rPr>
                <w:rFonts w:hint="eastAsia" w:hAnsi="宋体" w:cs="宋体"/>
                <w:sz w:val="21"/>
                <w:szCs w:val="21"/>
              </w:rPr>
              <w:t>《安全生产法》</w:t>
            </w:r>
          </w:p>
          <w:p w14:paraId="1FF34ECE">
            <w:pPr>
              <w:widowControl/>
              <w:jc w:val="center"/>
              <w:rPr>
                <w:rFonts w:hint="eastAsia" w:hAnsi="宋体" w:cs="宋体"/>
                <w:color w:val="000000"/>
                <w:sz w:val="21"/>
                <w:szCs w:val="21"/>
                <w:lang w:bidi="ar"/>
              </w:rPr>
            </w:pPr>
            <w:r>
              <w:rPr>
                <w:rFonts w:hint="eastAsia" w:hAnsi="宋体" w:cs="宋体"/>
                <w:sz w:val="21"/>
                <w:szCs w:val="21"/>
              </w:rPr>
              <w:t>第四十一条</w:t>
            </w:r>
          </w:p>
        </w:tc>
        <w:tc>
          <w:tcPr>
            <w:tcW w:w="2406" w:type="dxa"/>
            <w:shd w:val="clear" w:color="auto" w:fill="auto"/>
            <w:vAlign w:val="center"/>
          </w:tcPr>
          <w:p w14:paraId="0527158C">
            <w:pPr>
              <w:autoSpaceDE w:val="0"/>
              <w:autoSpaceDN w:val="0"/>
              <w:adjustRightInd w:val="0"/>
              <w:snapToGrid w:val="0"/>
              <w:rPr>
                <w:rFonts w:hint="eastAsia" w:hAnsi="宋体" w:cs="宋体"/>
                <w:sz w:val="21"/>
                <w:szCs w:val="21"/>
              </w:rPr>
            </w:pPr>
            <w:r>
              <w:rPr>
                <w:rFonts w:hint="eastAsia" w:hAnsi="宋体" w:cs="宋体"/>
                <w:sz w:val="21"/>
                <w:szCs w:val="21"/>
              </w:rPr>
              <w:t>向从业人员告知作业场所和工作岗位的危险因素、防范措施及应急措施。</w:t>
            </w:r>
          </w:p>
        </w:tc>
        <w:tc>
          <w:tcPr>
            <w:tcW w:w="907" w:type="dxa"/>
            <w:vAlign w:val="center"/>
          </w:tcPr>
          <w:p w14:paraId="6E1CF480">
            <w:pPr>
              <w:widowControl/>
              <w:jc w:val="center"/>
              <w:rPr>
                <w:rFonts w:hint="eastAsia" w:hAnsi="宋体" w:cs="宋体"/>
                <w:color w:val="000000"/>
                <w:sz w:val="21"/>
                <w:szCs w:val="21"/>
                <w:lang w:bidi="ar"/>
              </w:rPr>
            </w:pPr>
            <w:r>
              <w:rPr>
                <w:rFonts w:hint="eastAsia" w:hAnsi="宋体" w:cs="宋体"/>
                <w:color w:val="000000"/>
                <w:sz w:val="21"/>
                <w:szCs w:val="21"/>
                <w:lang w:bidi="ar"/>
              </w:rPr>
              <w:t>符合</w:t>
            </w:r>
          </w:p>
        </w:tc>
      </w:tr>
      <w:tr w14:paraId="11542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2380290">
            <w:pPr>
              <w:widowControl/>
              <w:jc w:val="center"/>
              <w:rPr>
                <w:rFonts w:hint="eastAsia" w:hAnsi="宋体" w:cs="宋体"/>
                <w:color w:val="000000"/>
                <w:sz w:val="21"/>
                <w:szCs w:val="21"/>
                <w:lang w:bidi="ar"/>
              </w:rPr>
            </w:pPr>
            <w:r>
              <w:rPr>
                <w:rFonts w:hint="eastAsia" w:hAnsi="宋体" w:cs="宋体"/>
                <w:color w:val="000000"/>
                <w:sz w:val="21"/>
                <w:szCs w:val="21"/>
                <w:lang w:bidi="ar"/>
              </w:rPr>
              <w:t>5</w:t>
            </w:r>
          </w:p>
        </w:tc>
        <w:tc>
          <w:tcPr>
            <w:tcW w:w="3522" w:type="dxa"/>
            <w:vAlign w:val="center"/>
          </w:tcPr>
          <w:p w14:paraId="3AD408D1">
            <w:pPr>
              <w:autoSpaceDE w:val="0"/>
              <w:autoSpaceDN w:val="0"/>
              <w:adjustRightInd w:val="0"/>
              <w:snapToGrid w:val="0"/>
              <w:jc w:val="left"/>
              <w:rPr>
                <w:rFonts w:hint="eastAsia" w:hAnsi="宋体" w:cs="宋体"/>
                <w:sz w:val="21"/>
                <w:szCs w:val="21"/>
              </w:rPr>
            </w:pPr>
            <w:r>
              <w:rPr>
                <w:rFonts w:hint="eastAsia" w:hAnsi="宋体" w:cs="宋体"/>
                <w:sz w:val="21"/>
                <w:szCs w:val="21"/>
              </w:rPr>
              <w:t>产经营单位应当建立健全下列制度：</w:t>
            </w:r>
          </w:p>
          <w:p w14:paraId="38BBFCF4">
            <w:pPr>
              <w:autoSpaceDE w:val="0"/>
              <w:autoSpaceDN w:val="0"/>
              <w:adjustRightInd w:val="0"/>
              <w:snapToGrid w:val="0"/>
              <w:jc w:val="left"/>
              <w:rPr>
                <w:rFonts w:hint="eastAsia" w:hAnsi="宋体" w:cs="宋体"/>
                <w:sz w:val="21"/>
                <w:szCs w:val="21"/>
              </w:rPr>
            </w:pPr>
            <w:r>
              <w:rPr>
                <w:rFonts w:hint="eastAsia" w:hAnsi="宋体" w:cs="宋体"/>
                <w:sz w:val="21"/>
                <w:szCs w:val="21"/>
              </w:rPr>
              <w:t>（一）安全生产责任制度；</w:t>
            </w:r>
          </w:p>
          <w:p w14:paraId="27E9778C">
            <w:pPr>
              <w:autoSpaceDE w:val="0"/>
              <w:autoSpaceDN w:val="0"/>
              <w:adjustRightInd w:val="0"/>
              <w:snapToGrid w:val="0"/>
              <w:jc w:val="left"/>
              <w:rPr>
                <w:rFonts w:hint="eastAsia" w:hAnsi="宋体" w:cs="宋体"/>
                <w:sz w:val="21"/>
                <w:szCs w:val="21"/>
              </w:rPr>
            </w:pPr>
            <w:r>
              <w:rPr>
                <w:rFonts w:hint="eastAsia" w:hAnsi="宋体" w:cs="宋体"/>
                <w:sz w:val="21"/>
                <w:szCs w:val="21"/>
              </w:rPr>
              <w:t>（二）安全生产例会制度；</w:t>
            </w:r>
          </w:p>
          <w:p w14:paraId="4DD696AC">
            <w:pPr>
              <w:autoSpaceDE w:val="0"/>
              <w:autoSpaceDN w:val="0"/>
              <w:adjustRightInd w:val="0"/>
              <w:snapToGrid w:val="0"/>
              <w:jc w:val="left"/>
              <w:rPr>
                <w:rFonts w:hint="eastAsia" w:hAnsi="宋体" w:cs="宋体"/>
                <w:sz w:val="21"/>
                <w:szCs w:val="21"/>
              </w:rPr>
            </w:pPr>
            <w:r>
              <w:rPr>
                <w:rFonts w:hint="eastAsia" w:hAnsi="宋体" w:cs="宋体"/>
                <w:sz w:val="21"/>
                <w:szCs w:val="21"/>
              </w:rPr>
              <w:t>（三）安全生产奖惩制度；</w:t>
            </w:r>
          </w:p>
          <w:p w14:paraId="6F2A4924">
            <w:pPr>
              <w:autoSpaceDE w:val="0"/>
              <w:autoSpaceDN w:val="0"/>
              <w:adjustRightInd w:val="0"/>
              <w:snapToGrid w:val="0"/>
              <w:jc w:val="left"/>
              <w:rPr>
                <w:rFonts w:hint="eastAsia" w:hAnsi="宋体" w:cs="宋体"/>
                <w:sz w:val="21"/>
                <w:szCs w:val="21"/>
              </w:rPr>
            </w:pPr>
            <w:r>
              <w:rPr>
                <w:rFonts w:hint="eastAsia" w:hAnsi="宋体" w:cs="宋体"/>
                <w:sz w:val="21"/>
                <w:szCs w:val="21"/>
              </w:rPr>
              <w:t>（四）安全生产教育培训制度；</w:t>
            </w:r>
          </w:p>
          <w:p w14:paraId="05DA8242">
            <w:pPr>
              <w:autoSpaceDE w:val="0"/>
              <w:autoSpaceDN w:val="0"/>
              <w:adjustRightInd w:val="0"/>
              <w:snapToGrid w:val="0"/>
              <w:jc w:val="left"/>
              <w:rPr>
                <w:rFonts w:hint="eastAsia" w:hAnsi="宋体" w:cs="宋体"/>
                <w:sz w:val="21"/>
                <w:szCs w:val="21"/>
              </w:rPr>
            </w:pPr>
            <w:r>
              <w:rPr>
                <w:rFonts w:hint="eastAsia" w:hAnsi="宋体" w:cs="宋体"/>
                <w:sz w:val="21"/>
                <w:szCs w:val="21"/>
              </w:rPr>
              <w:t>（五）安全生产检查制度；</w:t>
            </w:r>
          </w:p>
          <w:p w14:paraId="30609297">
            <w:pPr>
              <w:autoSpaceDE w:val="0"/>
              <w:autoSpaceDN w:val="0"/>
              <w:adjustRightInd w:val="0"/>
              <w:snapToGrid w:val="0"/>
              <w:jc w:val="left"/>
              <w:rPr>
                <w:rFonts w:hint="eastAsia" w:hAnsi="宋体" w:cs="宋体"/>
                <w:sz w:val="21"/>
                <w:szCs w:val="21"/>
              </w:rPr>
            </w:pPr>
            <w:r>
              <w:rPr>
                <w:rFonts w:hint="eastAsia" w:hAnsi="宋体" w:cs="宋体"/>
                <w:sz w:val="21"/>
                <w:szCs w:val="21"/>
              </w:rPr>
              <w:t>（六）生产经营场所、设备、设施安全管理制度；</w:t>
            </w:r>
          </w:p>
          <w:p w14:paraId="5518ED0E">
            <w:pPr>
              <w:autoSpaceDE w:val="0"/>
              <w:autoSpaceDN w:val="0"/>
              <w:adjustRightInd w:val="0"/>
              <w:snapToGrid w:val="0"/>
              <w:jc w:val="left"/>
              <w:rPr>
                <w:rFonts w:hint="eastAsia" w:hAnsi="宋体" w:cs="宋体"/>
                <w:sz w:val="21"/>
                <w:szCs w:val="21"/>
              </w:rPr>
            </w:pPr>
            <w:r>
              <w:rPr>
                <w:rFonts w:hint="eastAsia" w:hAnsi="宋体" w:cs="宋体"/>
                <w:sz w:val="21"/>
                <w:szCs w:val="21"/>
              </w:rPr>
              <w:t>（七）安全生产风险分级管理控制制度；</w:t>
            </w:r>
          </w:p>
          <w:p w14:paraId="2E9C6323">
            <w:pPr>
              <w:autoSpaceDE w:val="0"/>
              <w:autoSpaceDN w:val="0"/>
              <w:adjustRightInd w:val="0"/>
              <w:snapToGrid w:val="0"/>
              <w:jc w:val="left"/>
              <w:rPr>
                <w:rFonts w:hint="eastAsia" w:hAnsi="宋体" w:cs="宋体"/>
                <w:sz w:val="21"/>
                <w:szCs w:val="21"/>
              </w:rPr>
            </w:pPr>
            <w:r>
              <w:rPr>
                <w:rFonts w:hint="eastAsia" w:hAnsi="宋体" w:cs="宋体"/>
                <w:sz w:val="21"/>
                <w:szCs w:val="21"/>
              </w:rPr>
              <w:t>（八）危险源管理制度；</w:t>
            </w:r>
          </w:p>
          <w:p w14:paraId="51CA48B5">
            <w:pPr>
              <w:autoSpaceDE w:val="0"/>
              <w:autoSpaceDN w:val="0"/>
              <w:adjustRightInd w:val="0"/>
              <w:snapToGrid w:val="0"/>
              <w:jc w:val="left"/>
              <w:rPr>
                <w:rFonts w:hint="eastAsia" w:hAnsi="宋体" w:cs="宋体"/>
                <w:sz w:val="21"/>
                <w:szCs w:val="21"/>
              </w:rPr>
            </w:pPr>
            <w:r>
              <w:rPr>
                <w:rFonts w:hint="eastAsia" w:hAnsi="宋体" w:cs="宋体"/>
                <w:sz w:val="21"/>
                <w:szCs w:val="21"/>
              </w:rPr>
              <w:t>（九）安全生产应急管理和事故报告处理制度； </w:t>
            </w:r>
          </w:p>
          <w:p w14:paraId="150B4C6E">
            <w:pPr>
              <w:autoSpaceDE w:val="0"/>
              <w:autoSpaceDN w:val="0"/>
              <w:adjustRightInd w:val="0"/>
              <w:snapToGrid w:val="0"/>
              <w:jc w:val="left"/>
              <w:rPr>
                <w:rFonts w:hint="eastAsia" w:hAnsi="宋体" w:cs="宋体"/>
                <w:sz w:val="21"/>
                <w:szCs w:val="21"/>
              </w:rPr>
            </w:pPr>
            <w:r>
              <w:rPr>
                <w:rFonts w:hint="eastAsia" w:hAnsi="宋体" w:cs="宋体"/>
                <w:sz w:val="21"/>
                <w:szCs w:val="21"/>
              </w:rPr>
              <w:t>（十）危险作业、特种作业人员、劳动防护用品管理制度；</w:t>
            </w:r>
          </w:p>
          <w:p w14:paraId="26F69B99">
            <w:pPr>
              <w:widowControl/>
              <w:rPr>
                <w:rFonts w:hint="eastAsia" w:hAnsi="宋体" w:cs="宋体"/>
                <w:color w:val="000000"/>
                <w:sz w:val="21"/>
                <w:szCs w:val="21"/>
                <w:lang w:bidi="ar"/>
              </w:rPr>
            </w:pPr>
            <w:r>
              <w:rPr>
                <w:rFonts w:hint="eastAsia" w:hAnsi="宋体" w:cs="宋体"/>
                <w:sz w:val="21"/>
                <w:szCs w:val="21"/>
              </w:rPr>
              <w:t>（十一）法律法规规定的其他安全生产制度。</w:t>
            </w:r>
          </w:p>
        </w:tc>
        <w:tc>
          <w:tcPr>
            <w:tcW w:w="1812" w:type="dxa"/>
            <w:vAlign w:val="center"/>
          </w:tcPr>
          <w:p w14:paraId="128C3533">
            <w:pPr>
              <w:autoSpaceDE w:val="0"/>
              <w:autoSpaceDN w:val="0"/>
              <w:adjustRightInd w:val="0"/>
              <w:snapToGrid w:val="0"/>
              <w:jc w:val="center"/>
              <w:rPr>
                <w:rFonts w:hint="eastAsia" w:hAnsi="宋体" w:cs="宋体"/>
                <w:sz w:val="21"/>
                <w:szCs w:val="21"/>
              </w:rPr>
            </w:pPr>
            <w:r>
              <w:rPr>
                <w:rFonts w:hint="eastAsia" w:hAnsi="宋体" w:cs="宋体"/>
                <w:sz w:val="21"/>
                <w:szCs w:val="21"/>
              </w:rPr>
              <w:t>《云南省安全生产条例》</w:t>
            </w:r>
          </w:p>
          <w:p w14:paraId="31A8A791">
            <w:pPr>
              <w:widowControl/>
              <w:jc w:val="center"/>
              <w:rPr>
                <w:rFonts w:hint="eastAsia" w:hAnsi="宋体" w:cs="宋体"/>
                <w:color w:val="000000"/>
                <w:sz w:val="21"/>
                <w:szCs w:val="21"/>
                <w:lang w:bidi="ar"/>
              </w:rPr>
            </w:pPr>
            <w:r>
              <w:rPr>
                <w:rFonts w:hint="eastAsia" w:hAnsi="宋体" w:cs="宋体"/>
                <w:sz w:val="21"/>
                <w:szCs w:val="21"/>
              </w:rPr>
              <w:t>第十八条</w:t>
            </w:r>
          </w:p>
        </w:tc>
        <w:tc>
          <w:tcPr>
            <w:tcW w:w="2406" w:type="dxa"/>
            <w:vAlign w:val="center"/>
          </w:tcPr>
          <w:p w14:paraId="664E2A5C">
            <w:pPr>
              <w:widowControl/>
              <w:rPr>
                <w:rFonts w:hint="eastAsia" w:hAnsi="宋体" w:cs="宋体"/>
                <w:color w:val="000000"/>
                <w:sz w:val="21"/>
                <w:szCs w:val="21"/>
                <w:lang w:bidi="ar"/>
              </w:rPr>
            </w:pPr>
            <w:r>
              <w:rPr>
                <w:rFonts w:hint="eastAsia" w:hAnsi="宋体" w:cs="宋体"/>
                <w:sz w:val="21"/>
                <w:szCs w:val="21"/>
              </w:rPr>
              <w:t>制定了适用于该企业的安全生产管理制度。</w:t>
            </w:r>
          </w:p>
        </w:tc>
        <w:tc>
          <w:tcPr>
            <w:tcW w:w="907" w:type="dxa"/>
            <w:vAlign w:val="center"/>
          </w:tcPr>
          <w:p w14:paraId="05FEEFA8">
            <w:pPr>
              <w:widowControl/>
              <w:jc w:val="center"/>
              <w:rPr>
                <w:rFonts w:hint="eastAsia" w:hAnsi="宋体" w:cs="宋体"/>
                <w:color w:val="000000"/>
                <w:sz w:val="21"/>
                <w:szCs w:val="21"/>
                <w:lang w:bidi="ar"/>
              </w:rPr>
            </w:pPr>
            <w:r>
              <w:rPr>
                <w:rFonts w:hint="eastAsia" w:hAnsi="宋体" w:cs="宋体"/>
                <w:color w:val="000000"/>
                <w:sz w:val="21"/>
                <w:szCs w:val="21"/>
                <w:lang w:bidi="ar"/>
              </w:rPr>
              <w:t>符合</w:t>
            </w:r>
          </w:p>
        </w:tc>
      </w:tr>
      <w:tr w14:paraId="04CD3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C401D35">
            <w:pPr>
              <w:widowControl/>
              <w:jc w:val="center"/>
              <w:rPr>
                <w:rFonts w:hint="eastAsia" w:hAnsi="宋体" w:cs="宋体"/>
                <w:color w:val="000000"/>
                <w:sz w:val="21"/>
                <w:szCs w:val="21"/>
                <w:lang w:bidi="ar"/>
              </w:rPr>
            </w:pPr>
            <w:r>
              <w:rPr>
                <w:rFonts w:hint="eastAsia" w:hAnsi="宋体" w:cs="宋体"/>
                <w:color w:val="000000"/>
                <w:sz w:val="21"/>
                <w:szCs w:val="21"/>
                <w:lang w:bidi="ar"/>
              </w:rPr>
              <w:t>6</w:t>
            </w:r>
          </w:p>
        </w:tc>
        <w:tc>
          <w:tcPr>
            <w:tcW w:w="3522" w:type="dxa"/>
            <w:vAlign w:val="center"/>
          </w:tcPr>
          <w:p w14:paraId="45D9BC48">
            <w:pPr>
              <w:widowControl/>
              <w:rPr>
                <w:rFonts w:hint="eastAsia" w:hAnsi="宋体" w:cs="宋体"/>
                <w:sz w:val="21"/>
                <w:szCs w:val="21"/>
              </w:rPr>
            </w:pPr>
            <w:r>
              <w:rPr>
                <w:rFonts w:hint="eastAsia" w:hAnsi="宋体" w:cs="宋体"/>
                <w:sz w:val="21"/>
                <w:szCs w:val="21"/>
              </w:rPr>
              <w:t>生产经营单位进行高处作业、有限空间作业、危险物品充装和接卸作业、危险场所动火作业等危险作业，应当严格执行操作规程，落实安全措施，加强现场安全管理。</w:t>
            </w:r>
          </w:p>
        </w:tc>
        <w:tc>
          <w:tcPr>
            <w:tcW w:w="1812" w:type="dxa"/>
            <w:shd w:val="clear" w:color="auto" w:fill="auto"/>
            <w:vAlign w:val="center"/>
          </w:tcPr>
          <w:p w14:paraId="2661B2D9">
            <w:pPr>
              <w:autoSpaceDE w:val="0"/>
              <w:autoSpaceDN w:val="0"/>
              <w:adjustRightInd w:val="0"/>
              <w:snapToGrid w:val="0"/>
              <w:jc w:val="center"/>
              <w:rPr>
                <w:rFonts w:hint="eastAsia" w:hAnsi="宋体" w:cs="宋体"/>
                <w:sz w:val="21"/>
                <w:szCs w:val="21"/>
              </w:rPr>
            </w:pPr>
            <w:r>
              <w:rPr>
                <w:rFonts w:hint="eastAsia" w:hAnsi="宋体" w:cs="宋体"/>
                <w:sz w:val="21"/>
                <w:szCs w:val="21"/>
              </w:rPr>
              <w:t>《云南省安全生产条例》</w:t>
            </w:r>
          </w:p>
          <w:p w14:paraId="6F9974A3">
            <w:pPr>
              <w:autoSpaceDE w:val="0"/>
              <w:autoSpaceDN w:val="0"/>
              <w:adjustRightInd w:val="0"/>
              <w:snapToGrid w:val="0"/>
              <w:jc w:val="center"/>
              <w:rPr>
                <w:rFonts w:hint="eastAsia" w:hAnsi="宋体" w:cs="宋体"/>
                <w:sz w:val="21"/>
                <w:szCs w:val="21"/>
              </w:rPr>
            </w:pPr>
            <w:r>
              <w:rPr>
                <w:rFonts w:hint="eastAsia" w:hAnsi="宋体" w:cs="宋体"/>
                <w:sz w:val="21"/>
                <w:szCs w:val="21"/>
              </w:rPr>
              <w:t>第二十一条</w:t>
            </w:r>
          </w:p>
        </w:tc>
        <w:tc>
          <w:tcPr>
            <w:tcW w:w="2406" w:type="dxa"/>
            <w:shd w:val="clear" w:color="auto" w:fill="auto"/>
            <w:vAlign w:val="center"/>
          </w:tcPr>
          <w:p w14:paraId="0C4062FA">
            <w:pPr>
              <w:autoSpaceDE w:val="0"/>
              <w:autoSpaceDN w:val="0"/>
              <w:adjustRightInd w:val="0"/>
              <w:snapToGrid w:val="0"/>
              <w:rPr>
                <w:rFonts w:hint="eastAsia" w:hAnsi="宋体" w:cs="宋体"/>
                <w:sz w:val="21"/>
                <w:szCs w:val="21"/>
              </w:rPr>
            </w:pPr>
            <w:r>
              <w:rPr>
                <w:rFonts w:hint="eastAsia" w:hAnsi="宋体" w:cs="宋体"/>
                <w:sz w:val="21"/>
                <w:szCs w:val="21"/>
              </w:rPr>
              <w:t>严格执行危险作业的操作规程，有相关记录。</w:t>
            </w:r>
          </w:p>
        </w:tc>
        <w:tc>
          <w:tcPr>
            <w:tcW w:w="907" w:type="dxa"/>
            <w:vAlign w:val="center"/>
          </w:tcPr>
          <w:p w14:paraId="26CD8CA1">
            <w:pPr>
              <w:widowControl/>
              <w:jc w:val="center"/>
              <w:rPr>
                <w:rFonts w:hint="eastAsia" w:hAnsi="宋体" w:cs="宋体"/>
                <w:color w:val="000000"/>
                <w:sz w:val="21"/>
                <w:szCs w:val="21"/>
                <w:lang w:bidi="ar"/>
              </w:rPr>
            </w:pPr>
            <w:r>
              <w:rPr>
                <w:rFonts w:hint="eastAsia" w:hAnsi="宋体" w:cs="宋体"/>
                <w:color w:val="000000"/>
                <w:sz w:val="21"/>
                <w:szCs w:val="21"/>
                <w:lang w:bidi="ar"/>
              </w:rPr>
              <w:t>符合</w:t>
            </w:r>
          </w:p>
        </w:tc>
      </w:tr>
      <w:tr w14:paraId="16D6F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3F48A5E">
            <w:pPr>
              <w:widowControl/>
              <w:jc w:val="center"/>
              <w:rPr>
                <w:rFonts w:hint="eastAsia" w:hAnsi="宋体" w:cs="宋体"/>
                <w:color w:val="000000"/>
                <w:sz w:val="21"/>
                <w:szCs w:val="21"/>
                <w:lang w:bidi="ar"/>
              </w:rPr>
            </w:pPr>
            <w:r>
              <w:rPr>
                <w:rFonts w:hint="eastAsia" w:hAnsi="宋体" w:cs="宋体"/>
                <w:color w:val="000000"/>
                <w:sz w:val="21"/>
                <w:szCs w:val="21"/>
                <w:lang w:bidi="ar"/>
              </w:rPr>
              <w:t>7</w:t>
            </w:r>
          </w:p>
        </w:tc>
        <w:tc>
          <w:tcPr>
            <w:tcW w:w="3522" w:type="dxa"/>
            <w:vAlign w:val="center"/>
          </w:tcPr>
          <w:p w14:paraId="6410705D">
            <w:pPr>
              <w:widowControl/>
              <w:rPr>
                <w:rFonts w:hint="eastAsia" w:hAnsi="宋体" w:cs="宋体"/>
                <w:sz w:val="21"/>
                <w:szCs w:val="21"/>
              </w:rPr>
            </w:pPr>
            <w:r>
              <w:rPr>
                <w:rFonts w:hint="eastAsia" w:hAnsi="宋体" w:cs="宋体"/>
                <w:color w:val="000000"/>
                <w:sz w:val="21"/>
                <w:szCs w:val="21"/>
                <w:lang w:bidi="ar"/>
              </w:rPr>
              <w:t>生产经营单位应当按照安全生产法和有关法律、行政法规和本规定，建立健全安全培训工作制度。</w:t>
            </w:r>
          </w:p>
        </w:tc>
        <w:tc>
          <w:tcPr>
            <w:tcW w:w="1812" w:type="dxa"/>
            <w:shd w:val="clear" w:color="auto" w:fill="auto"/>
            <w:vAlign w:val="center"/>
          </w:tcPr>
          <w:p w14:paraId="356D7714">
            <w:pPr>
              <w:widowControl/>
              <w:rPr>
                <w:rFonts w:hint="eastAsia" w:hAnsi="宋体" w:cs="宋体"/>
                <w:sz w:val="21"/>
                <w:szCs w:val="21"/>
              </w:rPr>
            </w:pPr>
            <w:r>
              <w:rPr>
                <w:rFonts w:hint="eastAsia" w:hAnsi="宋体" w:cs="宋体"/>
                <w:color w:val="000000"/>
                <w:sz w:val="21"/>
                <w:szCs w:val="21"/>
                <w:lang w:bidi="ar"/>
              </w:rPr>
              <w:t>《生产经营单位安全培训规定》（国家安监总局令第3号）第三条及《国家安全监管总局关于修改〈生产经营单位安全培训规定〉等11件规章的决定》（国家安全生产监督管理总局令第63号）</w:t>
            </w:r>
          </w:p>
        </w:tc>
        <w:tc>
          <w:tcPr>
            <w:tcW w:w="2406" w:type="dxa"/>
            <w:shd w:val="clear" w:color="auto" w:fill="auto"/>
            <w:vAlign w:val="center"/>
          </w:tcPr>
          <w:p w14:paraId="3F6B9B08">
            <w:pPr>
              <w:widowControl/>
              <w:rPr>
                <w:rFonts w:hint="eastAsia" w:hAnsi="宋体" w:cs="宋体"/>
                <w:sz w:val="21"/>
                <w:szCs w:val="21"/>
              </w:rPr>
            </w:pPr>
            <w:r>
              <w:rPr>
                <w:rFonts w:hint="eastAsia" w:hAnsi="宋体" w:cs="宋体"/>
                <w:color w:val="000000"/>
                <w:sz w:val="21"/>
                <w:szCs w:val="21"/>
                <w:lang w:bidi="ar"/>
              </w:rPr>
              <w:t>已建立了安全教育培训制度，并对管理人员、操作人员进行了相应的安全教育培训。</w:t>
            </w:r>
          </w:p>
        </w:tc>
        <w:tc>
          <w:tcPr>
            <w:tcW w:w="907" w:type="dxa"/>
            <w:vAlign w:val="center"/>
          </w:tcPr>
          <w:p w14:paraId="2D241443">
            <w:pPr>
              <w:widowControl/>
              <w:jc w:val="center"/>
              <w:rPr>
                <w:rFonts w:hint="eastAsia" w:hAnsi="宋体" w:cs="宋体"/>
                <w:color w:val="000000"/>
                <w:sz w:val="21"/>
                <w:szCs w:val="21"/>
                <w:lang w:bidi="ar"/>
              </w:rPr>
            </w:pPr>
            <w:r>
              <w:rPr>
                <w:rFonts w:hint="eastAsia" w:hAnsi="宋体" w:cs="宋体"/>
                <w:color w:val="000000"/>
                <w:sz w:val="21"/>
                <w:szCs w:val="21"/>
                <w:lang w:bidi="ar"/>
              </w:rPr>
              <w:t>符合</w:t>
            </w:r>
          </w:p>
        </w:tc>
      </w:tr>
      <w:tr w14:paraId="6C5EC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9864E07">
            <w:pPr>
              <w:widowControl/>
              <w:jc w:val="center"/>
              <w:rPr>
                <w:rFonts w:hint="eastAsia" w:hAnsi="宋体" w:cs="宋体"/>
                <w:color w:val="000000"/>
                <w:sz w:val="21"/>
                <w:szCs w:val="21"/>
                <w:lang w:bidi="ar"/>
              </w:rPr>
            </w:pPr>
            <w:r>
              <w:rPr>
                <w:rFonts w:hint="eastAsia" w:hAnsi="宋体" w:cs="宋体"/>
                <w:color w:val="000000"/>
                <w:sz w:val="21"/>
                <w:szCs w:val="21"/>
                <w:lang w:bidi="ar"/>
              </w:rPr>
              <w:t>8</w:t>
            </w:r>
          </w:p>
        </w:tc>
        <w:tc>
          <w:tcPr>
            <w:tcW w:w="3522" w:type="dxa"/>
            <w:vAlign w:val="center"/>
          </w:tcPr>
          <w:p w14:paraId="4CA2558D">
            <w:pPr>
              <w:widowControl/>
              <w:rPr>
                <w:rFonts w:hint="eastAsia" w:hAnsi="宋体" w:cs="宋体"/>
                <w:color w:val="000000"/>
                <w:sz w:val="21"/>
                <w:szCs w:val="21"/>
                <w:lang w:bidi="ar"/>
              </w:rPr>
            </w:pPr>
            <w:r>
              <w:rPr>
                <w:rFonts w:hint="eastAsia" w:hAnsi="宋体" w:cs="宋体"/>
                <w:color w:val="000000"/>
                <w:sz w:val="21"/>
                <w:szCs w:val="21"/>
                <w:lang w:bidi="ar"/>
              </w:rPr>
              <w:t>落实企业安全生产主体责任是做好安全生产工作的前提，是安全监管工作的靶向目标。各级应急管理部门和有关工贸企业要高度重视《清单》中5个层面29项法定重点事项，结合本地区、本企业实际，认真学习领会每项重点事项的重要内容，并采取行之有效的方式落实到具体工作中，为切实做好企业安全生产工作奠定坚实基础。</w:t>
            </w:r>
          </w:p>
        </w:tc>
        <w:tc>
          <w:tcPr>
            <w:tcW w:w="1812" w:type="dxa"/>
            <w:shd w:val="clear" w:color="auto" w:fill="auto"/>
            <w:vAlign w:val="center"/>
          </w:tcPr>
          <w:p w14:paraId="4F3927AB">
            <w:pPr>
              <w:widowControl/>
              <w:jc w:val="left"/>
              <w:rPr>
                <w:rFonts w:hint="eastAsia" w:hAnsi="宋体" w:cs="宋体"/>
                <w:color w:val="000000"/>
                <w:sz w:val="21"/>
                <w:szCs w:val="21"/>
                <w:lang w:bidi="ar"/>
              </w:rPr>
            </w:pPr>
            <w:r>
              <w:rPr>
                <w:rFonts w:hint="eastAsia" w:hAnsi="宋体" w:cs="宋体"/>
                <w:color w:val="000000"/>
                <w:sz w:val="21"/>
                <w:szCs w:val="21"/>
                <w:lang w:bidi="ar"/>
              </w:rPr>
              <w:t>云南省应急管理厅关于印发《云南省工贸企业安全生产主体责任重点事项清单（暂行）》的通知（云应急〔2022〕9号）</w:t>
            </w:r>
          </w:p>
        </w:tc>
        <w:tc>
          <w:tcPr>
            <w:tcW w:w="2406" w:type="dxa"/>
            <w:shd w:val="clear" w:color="auto" w:fill="auto"/>
            <w:vAlign w:val="center"/>
          </w:tcPr>
          <w:p w14:paraId="2D6838CE">
            <w:pPr>
              <w:widowControl/>
              <w:rPr>
                <w:rFonts w:hint="eastAsia" w:hAnsi="宋体" w:cs="宋体"/>
                <w:color w:val="000000"/>
                <w:sz w:val="21"/>
                <w:szCs w:val="21"/>
                <w:lang w:bidi="ar"/>
              </w:rPr>
            </w:pPr>
            <w:r>
              <w:rPr>
                <w:rFonts w:hint="eastAsia" w:hAnsi="宋体" w:cs="宋体"/>
                <w:color w:val="000000"/>
                <w:sz w:val="21"/>
                <w:szCs w:val="21"/>
                <w:lang w:bidi="ar"/>
              </w:rPr>
              <w:t>企业已组织学习和贯彻，基本能落实相关要求。</w:t>
            </w:r>
          </w:p>
        </w:tc>
        <w:tc>
          <w:tcPr>
            <w:tcW w:w="907" w:type="dxa"/>
            <w:vAlign w:val="center"/>
          </w:tcPr>
          <w:p w14:paraId="0D0CBBE5">
            <w:pPr>
              <w:widowControl/>
              <w:jc w:val="center"/>
              <w:rPr>
                <w:rFonts w:hint="eastAsia" w:hAnsi="宋体" w:cs="宋体"/>
                <w:color w:val="000000"/>
                <w:sz w:val="21"/>
                <w:szCs w:val="21"/>
                <w:lang w:bidi="ar"/>
              </w:rPr>
            </w:pPr>
            <w:r>
              <w:rPr>
                <w:rFonts w:hint="eastAsia" w:hAnsi="宋体" w:cs="宋体"/>
                <w:color w:val="000000"/>
                <w:sz w:val="21"/>
                <w:szCs w:val="21"/>
                <w:lang w:bidi="ar"/>
              </w:rPr>
              <w:t>符合</w:t>
            </w:r>
          </w:p>
        </w:tc>
      </w:tr>
      <w:tr w14:paraId="68EB1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10FAB90F">
            <w:pPr>
              <w:widowControl/>
              <w:jc w:val="center"/>
              <w:rPr>
                <w:rFonts w:hint="eastAsia" w:hAnsi="宋体" w:cs="宋体"/>
                <w:b/>
                <w:bCs/>
                <w:color w:val="000000"/>
                <w:sz w:val="21"/>
                <w:szCs w:val="21"/>
                <w:lang w:bidi="ar"/>
              </w:rPr>
            </w:pPr>
            <w:r>
              <w:rPr>
                <w:rFonts w:hint="eastAsia" w:hAnsi="宋体" w:cs="宋体"/>
                <w:b/>
                <w:bCs/>
                <w:color w:val="000000"/>
                <w:sz w:val="21"/>
                <w:szCs w:val="21"/>
                <w:lang w:bidi="ar"/>
              </w:rPr>
              <w:t>安全教育培训及人员持证</w:t>
            </w:r>
          </w:p>
        </w:tc>
      </w:tr>
      <w:tr w14:paraId="7C2B5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62D2372">
            <w:pPr>
              <w:widowControl/>
              <w:jc w:val="center"/>
              <w:rPr>
                <w:rFonts w:hint="eastAsia" w:hAnsi="宋体" w:cs="宋体"/>
                <w:color w:val="000000"/>
                <w:sz w:val="21"/>
                <w:szCs w:val="21"/>
                <w:lang w:bidi="ar"/>
              </w:rPr>
            </w:pPr>
            <w:r>
              <w:rPr>
                <w:rFonts w:hint="eastAsia" w:hAnsi="宋体" w:cs="宋体"/>
                <w:color w:val="000000"/>
                <w:sz w:val="21"/>
                <w:szCs w:val="21"/>
                <w:lang w:bidi="ar"/>
              </w:rPr>
              <w:t>9</w:t>
            </w:r>
          </w:p>
        </w:tc>
        <w:tc>
          <w:tcPr>
            <w:tcW w:w="3522" w:type="dxa"/>
            <w:vAlign w:val="center"/>
          </w:tcPr>
          <w:p w14:paraId="60896E73">
            <w:pPr>
              <w:widowControl/>
              <w:rPr>
                <w:rFonts w:hint="eastAsia" w:hAnsi="宋体" w:cs="宋体"/>
                <w:b/>
                <w:bCs/>
                <w:color w:val="000000"/>
                <w:sz w:val="21"/>
                <w:szCs w:val="21"/>
                <w:lang w:bidi="ar"/>
              </w:rPr>
            </w:pPr>
            <w:r>
              <w:rPr>
                <w:rFonts w:hint="eastAsia" w:hAnsi="宋体" w:cs="宋体"/>
                <w:color w:val="000000"/>
                <w:sz w:val="21"/>
                <w:szCs w:val="21"/>
                <w:lang w:bidi="ar"/>
              </w:rPr>
              <w:t>单位应当通过多种形式开展经常性的消防安全宣传教育。消防安全重点单位对每名员工应当至少每年进行一次消防安全培训。</w:t>
            </w:r>
          </w:p>
        </w:tc>
        <w:tc>
          <w:tcPr>
            <w:tcW w:w="1812" w:type="dxa"/>
            <w:vAlign w:val="center"/>
          </w:tcPr>
          <w:p w14:paraId="2F600D53">
            <w:pPr>
              <w:widowControl/>
              <w:rPr>
                <w:rFonts w:hint="eastAsia" w:hAnsi="宋体" w:cs="宋体"/>
                <w:b/>
                <w:bCs/>
                <w:color w:val="000000"/>
                <w:sz w:val="21"/>
                <w:szCs w:val="21"/>
                <w:lang w:bidi="ar"/>
              </w:rPr>
            </w:pPr>
            <w:r>
              <w:rPr>
                <w:rFonts w:hint="eastAsia" w:hAnsi="宋体" w:cs="宋体"/>
                <w:color w:val="000000"/>
                <w:sz w:val="21"/>
                <w:szCs w:val="21"/>
                <w:lang w:bidi="ar"/>
              </w:rPr>
              <w:t>《机关、团体、企业、事业单位消防安全管理规定》（公安部令第61号）第三十六条</w:t>
            </w:r>
          </w:p>
        </w:tc>
        <w:tc>
          <w:tcPr>
            <w:tcW w:w="2406" w:type="dxa"/>
            <w:vAlign w:val="center"/>
          </w:tcPr>
          <w:p w14:paraId="648964FB">
            <w:pPr>
              <w:widowControl/>
              <w:rPr>
                <w:rFonts w:hint="eastAsia" w:hAnsi="宋体" w:cs="宋体"/>
                <w:b/>
                <w:bCs/>
                <w:color w:val="000000"/>
                <w:sz w:val="21"/>
                <w:szCs w:val="21"/>
                <w:lang w:bidi="ar"/>
              </w:rPr>
            </w:pPr>
            <w:r>
              <w:rPr>
                <w:rFonts w:hint="eastAsia" w:hAnsi="宋体" w:cs="宋体"/>
                <w:color w:val="000000"/>
                <w:sz w:val="21"/>
                <w:szCs w:val="21"/>
                <w:lang w:bidi="ar"/>
              </w:rPr>
              <w:t>采用消防应急演练进行宣传消防安全知识。</w:t>
            </w:r>
          </w:p>
        </w:tc>
        <w:tc>
          <w:tcPr>
            <w:tcW w:w="907" w:type="dxa"/>
            <w:vAlign w:val="center"/>
          </w:tcPr>
          <w:p w14:paraId="5429EB41">
            <w:pPr>
              <w:widowControl/>
              <w:jc w:val="center"/>
              <w:rPr>
                <w:rFonts w:hint="eastAsia" w:hAnsi="宋体" w:cs="宋体"/>
                <w:color w:val="000000"/>
                <w:sz w:val="21"/>
                <w:szCs w:val="21"/>
                <w:lang w:bidi="ar"/>
              </w:rPr>
            </w:pPr>
            <w:r>
              <w:rPr>
                <w:rFonts w:hint="eastAsia" w:hAnsi="宋体" w:cs="宋体"/>
                <w:color w:val="000000"/>
                <w:sz w:val="21"/>
                <w:szCs w:val="21"/>
                <w:lang w:bidi="ar"/>
              </w:rPr>
              <w:t>符合</w:t>
            </w:r>
          </w:p>
        </w:tc>
      </w:tr>
      <w:tr w14:paraId="1D968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EA99389">
            <w:pPr>
              <w:widowControl/>
              <w:jc w:val="center"/>
              <w:rPr>
                <w:rFonts w:hint="eastAsia" w:hAnsi="宋体" w:cs="宋体"/>
                <w:color w:val="000000"/>
                <w:sz w:val="21"/>
                <w:szCs w:val="21"/>
                <w:lang w:bidi="ar"/>
              </w:rPr>
            </w:pPr>
            <w:r>
              <w:rPr>
                <w:rFonts w:hint="eastAsia" w:hAnsi="宋体" w:cs="宋体"/>
                <w:color w:val="000000"/>
                <w:sz w:val="21"/>
                <w:szCs w:val="21"/>
                <w:lang w:bidi="ar"/>
              </w:rPr>
              <w:t>10</w:t>
            </w:r>
          </w:p>
        </w:tc>
        <w:tc>
          <w:tcPr>
            <w:tcW w:w="3522" w:type="dxa"/>
            <w:vAlign w:val="center"/>
          </w:tcPr>
          <w:p w14:paraId="69ED4B6E">
            <w:pPr>
              <w:widowControl/>
              <w:rPr>
                <w:rFonts w:hint="eastAsia" w:hAnsi="宋体" w:cs="宋体"/>
                <w:color w:val="000000"/>
                <w:sz w:val="21"/>
                <w:szCs w:val="21"/>
                <w:lang w:bidi="ar"/>
              </w:rPr>
            </w:pPr>
            <w:r>
              <w:rPr>
                <w:rFonts w:hint="eastAsia" w:hAnsi="宋体" w:cs="宋体"/>
                <w:color w:val="000000"/>
                <w:sz w:val="21"/>
                <w:szCs w:val="21"/>
                <w:lang w:bidi="ar"/>
              </w:rPr>
              <w:t>煤矿、非煤矿山、危险化学品、烟花爆竹等生产经营单位主要负责人和安全生产管理人员，必须接受专门的安全培训，经安全生产监管监察部门对其安全生产知识和管理能力考核合格，取得安全资格证书后，方可任职。</w:t>
            </w:r>
          </w:p>
        </w:tc>
        <w:tc>
          <w:tcPr>
            <w:tcW w:w="1812" w:type="dxa"/>
            <w:vAlign w:val="center"/>
          </w:tcPr>
          <w:p w14:paraId="0ECBA6C3">
            <w:pPr>
              <w:widowControl/>
              <w:rPr>
                <w:rFonts w:hint="eastAsia" w:hAnsi="宋体" w:cs="宋体"/>
                <w:color w:val="000000"/>
                <w:sz w:val="21"/>
                <w:szCs w:val="21"/>
                <w:lang w:bidi="ar"/>
              </w:rPr>
            </w:pPr>
            <w:r>
              <w:rPr>
                <w:rFonts w:hint="eastAsia" w:hAnsi="宋体" w:cs="宋体"/>
                <w:color w:val="000000"/>
                <w:sz w:val="21"/>
                <w:szCs w:val="21"/>
                <w:lang w:bidi="ar"/>
              </w:rPr>
              <w:t>《生产经营单位安全培训规定》（国家安监总局令第3号）第六条及《国家安全监管总局关于修改〈生产经营单位安全培训规定〉等11件规章的决定》（国家安全生产监督管理总局令第63号）</w:t>
            </w:r>
          </w:p>
        </w:tc>
        <w:tc>
          <w:tcPr>
            <w:tcW w:w="2406" w:type="dxa"/>
            <w:vAlign w:val="center"/>
          </w:tcPr>
          <w:p w14:paraId="63062CF2">
            <w:pPr>
              <w:widowControl/>
              <w:rPr>
                <w:rFonts w:hint="eastAsia" w:hAnsi="宋体" w:cs="宋体"/>
                <w:color w:val="000000"/>
                <w:sz w:val="21"/>
                <w:szCs w:val="21"/>
                <w:lang w:bidi="ar"/>
              </w:rPr>
            </w:pPr>
            <w:r>
              <w:rPr>
                <w:rFonts w:hint="eastAsia" w:hAnsi="宋体" w:cs="宋体"/>
                <w:color w:val="000000"/>
                <w:sz w:val="21"/>
                <w:szCs w:val="21"/>
                <w:lang w:bidi="ar"/>
              </w:rPr>
              <w:t>主要负责人、安全员已取得安全管理资格证。</w:t>
            </w:r>
          </w:p>
        </w:tc>
        <w:tc>
          <w:tcPr>
            <w:tcW w:w="907" w:type="dxa"/>
            <w:vAlign w:val="center"/>
          </w:tcPr>
          <w:p w14:paraId="1E75FE39">
            <w:pPr>
              <w:widowControl/>
              <w:jc w:val="center"/>
              <w:rPr>
                <w:rFonts w:hint="eastAsia" w:hAnsi="宋体" w:cs="宋体"/>
                <w:color w:val="000000"/>
                <w:sz w:val="21"/>
                <w:szCs w:val="21"/>
                <w:lang w:bidi="ar"/>
              </w:rPr>
            </w:pPr>
            <w:r>
              <w:rPr>
                <w:rFonts w:hint="eastAsia" w:hAnsi="宋体" w:cs="宋体"/>
                <w:color w:val="000000"/>
                <w:sz w:val="21"/>
                <w:szCs w:val="21"/>
                <w:lang w:bidi="ar"/>
              </w:rPr>
              <w:t>符合</w:t>
            </w:r>
          </w:p>
        </w:tc>
      </w:tr>
      <w:tr w14:paraId="3DC98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735A0A7">
            <w:pPr>
              <w:widowControl/>
              <w:jc w:val="center"/>
              <w:rPr>
                <w:rFonts w:hint="eastAsia" w:hAnsi="宋体" w:cs="宋体"/>
                <w:color w:val="000000"/>
                <w:sz w:val="21"/>
                <w:szCs w:val="21"/>
                <w:lang w:bidi="ar"/>
              </w:rPr>
            </w:pPr>
            <w:r>
              <w:rPr>
                <w:rFonts w:hint="eastAsia" w:hAnsi="宋体" w:cs="宋体"/>
                <w:color w:val="000000"/>
                <w:sz w:val="21"/>
                <w:szCs w:val="21"/>
                <w:lang w:bidi="ar"/>
              </w:rPr>
              <w:t>11</w:t>
            </w:r>
          </w:p>
        </w:tc>
        <w:tc>
          <w:tcPr>
            <w:tcW w:w="3522" w:type="dxa"/>
            <w:vAlign w:val="center"/>
          </w:tcPr>
          <w:p w14:paraId="44318C22">
            <w:pPr>
              <w:widowControl/>
              <w:rPr>
                <w:rFonts w:hint="eastAsia" w:hAnsi="宋体" w:cs="宋体"/>
                <w:color w:val="000000"/>
                <w:sz w:val="21"/>
                <w:szCs w:val="21"/>
                <w:lang w:bidi="ar"/>
              </w:rPr>
            </w:pPr>
            <w:r>
              <w:rPr>
                <w:rFonts w:hint="eastAsia" w:hAnsi="宋体" w:cs="宋体"/>
                <w:color w:val="000000"/>
                <w:sz w:val="21"/>
                <w:szCs w:val="21"/>
                <w:lang w:bidi="ar"/>
              </w:rPr>
              <w:t>生产经营单位的特种作业人员，必须按照国家有关法律、法规的规定接受专门的安全培训，经考核合格，取得特种作业操作资格证书后，方可上岗作业。</w:t>
            </w:r>
          </w:p>
        </w:tc>
        <w:tc>
          <w:tcPr>
            <w:tcW w:w="1812" w:type="dxa"/>
            <w:vAlign w:val="center"/>
          </w:tcPr>
          <w:p w14:paraId="49DA3572">
            <w:pPr>
              <w:widowControl/>
              <w:rPr>
                <w:rFonts w:hint="eastAsia" w:hAnsi="宋体" w:cs="宋体"/>
                <w:color w:val="000000"/>
                <w:sz w:val="21"/>
                <w:szCs w:val="21"/>
                <w:lang w:bidi="ar"/>
              </w:rPr>
            </w:pPr>
            <w:r>
              <w:rPr>
                <w:rFonts w:hint="eastAsia" w:hAnsi="宋体" w:cs="宋体"/>
                <w:color w:val="000000"/>
                <w:sz w:val="21"/>
                <w:szCs w:val="21"/>
                <w:lang w:bidi="ar"/>
              </w:rPr>
              <w:t>《生产经营单位安全培训规定》（国家安监总局令第3号）第二十条及《国家安全监管总局关于修改〈生产经营单位安全培训规定〉等11件规章的决定》（国家安全生产监督管理总局令第63号）</w:t>
            </w:r>
          </w:p>
        </w:tc>
        <w:tc>
          <w:tcPr>
            <w:tcW w:w="2406" w:type="dxa"/>
            <w:vAlign w:val="center"/>
          </w:tcPr>
          <w:p w14:paraId="383BE325">
            <w:pPr>
              <w:widowControl/>
              <w:rPr>
                <w:rFonts w:hint="eastAsia" w:hAnsi="宋体" w:cs="宋体"/>
                <w:color w:val="000000"/>
                <w:sz w:val="21"/>
                <w:szCs w:val="21"/>
                <w:lang w:bidi="ar"/>
              </w:rPr>
            </w:pPr>
            <w:r>
              <w:rPr>
                <w:rFonts w:hint="eastAsia" w:hAnsi="宋体" w:cs="宋体"/>
                <w:color w:val="000000"/>
                <w:sz w:val="21"/>
                <w:szCs w:val="21"/>
                <w:lang w:bidi="ar"/>
              </w:rPr>
              <w:t>本项目涉及的特种作业人员已取得了特种作业操作资格证书，且在有效期内。</w:t>
            </w:r>
          </w:p>
        </w:tc>
        <w:tc>
          <w:tcPr>
            <w:tcW w:w="907" w:type="dxa"/>
            <w:vAlign w:val="center"/>
          </w:tcPr>
          <w:p w14:paraId="21F4429D">
            <w:pPr>
              <w:widowControl/>
              <w:jc w:val="center"/>
              <w:rPr>
                <w:rFonts w:hint="eastAsia" w:hAnsi="宋体" w:cs="宋体"/>
                <w:color w:val="000000"/>
                <w:sz w:val="21"/>
                <w:szCs w:val="21"/>
                <w:lang w:bidi="ar"/>
              </w:rPr>
            </w:pPr>
            <w:r>
              <w:rPr>
                <w:rFonts w:hint="eastAsia" w:hAnsi="宋体" w:cs="宋体"/>
                <w:color w:val="000000"/>
                <w:sz w:val="21"/>
                <w:szCs w:val="21"/>
                <w:lang w:bidi="ar"/>
              </w:rPr>
              <w:t>符合</w:t>
            </w:r>
          </w:p>
        </w:tc>
      </w:tr>
      <w:tr w14:paraId="31284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08AD7377">
            <w:pPr>
              <w:widowControl/>
              <w:jc w:val="center"/>
              <w:rPr>
                <w:rFonts w:hint="eastAsia" w:hAnsi="宋体" w:cs="宋体"/>
                <w:color w:val="000000"/>
                <w:sz w:val="21"/>
                <w:szCs w:val="21"/>
                <w:lang w:bidi="ar"/>
              </w:rPr>
            </w:pPr>
            <w:r>
              <w:rPr>
                <w:rFonts w:hint="eastAsia" w:hAnsi="宋体" w:cs="宋体"/>
                <w:b/>
                <w:bCs/>
                <w:color w:val="000000"/>
                <w:sz w:val="21"/>
                <w:szCs w:val="21"/>
                <w:lang w:bidi="ar"/>
              </w:rPr>
              <w:t>安全投入</w:t>
            </w:r>
          </w:p>
        </w:tc>
      </w:tr>
      <w:tr w14:paraId="0FB53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2D6B3D4">
            <w:pPr>
              <w:widowControl/>
              <w:jc w:val="center"/>
              <w:rPr>
                <w:rFonts w:hint="eastAsia" w:hAnsi="宋体" w:cs="宋体"/>
                <w:color w:val="000000"/>
                <w:sz w:val="21"/>
                <w:szCs w:val="21"/>
                <w:lang w:bidi="ar"/>
              </w:rPr>
            </w:pPr>
            <w:r>
              <w:rPr>
                <w:rFonts w:hint="eastAsia" w:hAnsi="宋体" w:cs="宋体"/>
                <w:color w:val="000000"/>
                <w:sz w:val="21"/>
                <w:szCs w:val="21"/>
                <w:lang w:bidi="ar"/>
              </w:rPr>
              <w:t>12</w:t>
            </w:r>
          </w:p>
        </w:tc>
        <w:tc>
          <w:tcPr>
            <w:tcW w:w="3522" w:type="dxa"/>
            <w:shd w:val="clear" w:color="auto" w:fill="auto"/>
            <w:vAlign w:val="center"/>
          </w:tcPr>
          <w:p w14:paraId="6369E33A">
            <w:pPr>
              <w:autoSpaceDE w:val="0"/>
              <w:autoSpaceDN w:val="0"/>
              <w:adjustRightInd w:val="0"/>
              <w:snapToGrid w:val="0"/>
              <w:rPr>
                <w:rFonts w:hint="eastAsia" w:hAnsi="宋体" w:cs="宋体"/>
                <w:sz w:val="21"/>
                <w:szCs w:val="21"/>
              </w:rPr>
            </w:pPr>
            <w:r>
              <w:rPr>
                <w:rFonts w:hint="eastAsia" w:hAnsi="宋体" w:cs="宋体"/>
                <w:sz w:val="21"/>
                <w:szCs w:val="21"/>
              </w:rPr>
              <w:t>生产经营单位必须为从业人员提供符合国家标准或者行业标准的劳动防护用品，并监督、教育从业人员按照使用规则佩戴、使用。</w:t>
            </w:r>
          </w:p>
        </w:tc>
        <w:tc>
          <w:tcPr>
            <w:tcW w:w="1812" w:type="dxa"/>
            <w:shd w:val="clear" w:color="auto" w:fill="auto"/>
            <w:vAlign w:val="center"/>
          </w:tcPr>
          <w:p w14:paraId="5507DC58">
            <w:pPr>
              <w:snapToGrid w:val="0"/>
              <w:jc w:val="center"/>
              <w:rPr>
                <w:rFonts w:hint="eastAsia" w:hAnsi="宋体" w:cs="宋体"/>
                <w:sz w:val="21"/>
                <w:szCs w:val="21"/>
              </w:rPr>
            </w:pPr>
            <w:r>
              <w:rPr>
                <w:rFonts w:hint="eastAsia" w:hAnsi="宋体" w:cs="宋体"/>
                <w:sz w:val="21"/>
                <w:szCs w:val="21"/>
              </w:rPr>
              <w:t>《安全生产法》</w:t>
            </w:r>
          </w:p>
          <w:p w14:paraId="344C3B39">
            <w:pPr>
              <w:snapToGrid w:val="0"/>
              <w:jc w:val="center"/>
              <w:rPr>
                <w:rFonts w:hint="eastAsia" w:hAnsi="宋体" w:cs="宋体"/>
                <w:sz w:val="21"/>
                <w:szCs w:val="21"/>
              </w:rPr>
            </w:pPr>
            <w:r>
              <w:rPr>
                <w:rFonts w:hint="eastAsia" w:hAnsi="宋体" w:cs="宋体"/>
                <w:sz w:val="21"/>
                <w:szCs w:val="21"/>
              </w:rPr>
              <w:t>第四十二条</w:t>
            </w:r>
          </w:p>
        </w:tc>
        <w:tc>
          <w:tcPr>
            <w:tcW w:w="2406" w:type="dxa"/>
            <w:shd w:val="clear" w:color="auto" w:fill="auto"/>
            <w:vAlign w:val="center"/>
          </w:tcPr>
          <w:p w14:paraId="4F4EBE91">
            <w:pPr>
              <w:adjustRightInd w:val="0"/>
              <w:snapToGrid w:val="0"/>
              <w:rPr>
                <w:rFonts w:hint="eastAsia" w:hAnsi="宋体" w:cs="宋体"/>
                <w:sz w:val="21"/>
                <w:szCs w:val="21"/>
              </w:rPr>
            </w:pPr>
            <w:r>
              <w:rPr>
                <w:rFonts w:hint="eastAsia" w:hAnsi="宋体" w:cs="宋体"/>
                <w:sz w:val="21"/>
                <w:szCs w:val="21"/>
              </w:rPr>
              <w:t>提供防尘口罩、安全帽等劳动防护用品。</w:t>
            </w:r>
          </w:p>
        </w:tc>
        <w:tc>
          <w:tcPr>
            <w:tcW w:w="907" w:type="dxa"/>
            <w:shd w:val="clear" w:color="auto" w:fill="auto"/>
            <w:vAlign w:val="center"/>
          </w:tcPr>
          <w:p w14:paraId="68D936B9">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0CFA0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FA03EB8">
            <w:pPr>
              <w:widowControl/>
              <w:jc w:val="center"/>
              <w:rPr>
                <w:rFonts w:hint="eastAsia" w:hAnsi="宋体" w:cs="宋体"/>
                <w:color w:val="000000"/>
                <w:sz w:val="21"/>
                <w:szCs w:val="21"/>
                <w:lang w:bidi="ar"/>
              </w:rPr>
            </w:pPr>
            <w:r>
              <w:rPr>
                <w:rFonts w:hint="eastAsia" w:hAnsi="宋体" w:cs="宋体"/>
                <w:color w:val="000000"/>
                <w:sz w:val="21"/>
                <w:szCs w:val="21"/>
                <w:lang w:bidi="ar"/>
              </w:rPr>
              <w:t>13</w:t>
            </w:r>
          </w:p>
        </w:tc>
        <w:tc>
          <w:tcPr>
            <w:tcW w:w="3522" w:type="dxa"/>
            <w:shd w:val="clear" w:color="auto" w:fill="auto"/>
            <w:vAlign w:val="center"/>
          </w:tcPr>
          <w:p w14:paraId="44555A91">
            <w:pPr>
              <w:autoSpaceDE w:val="0"/>
              <w:autoSpaceDN w:val="0"/>
              <w:adjustRightInd w:val="0"/>
              <w:snapToGrid w:val="0"/>
              <w:rPr>
                <w:rFonts w:hint="eastAsia" w:hAnsi="宋体" w:cs="宋体"/>
                <w:sz w:val="21"/>
                <w:szCs w:val="21"/>
              </w:rPr>
            </w:pPr>
            <w:r>
              <w:rPr>
                <w:rFonts w:hint="eastAsia" w:hAnsi="宋体" w:cs="宋体"/>
                <w:sz w:val="21"/>
                <w:szCs w:val="21"/>
              </w:rPr>
              <w:t>生产经营单位必须依法参加工伤保险，为从业人员缴纳保险费。</w:t>
            </w:r>
          </w:p>
        </w:tc>
        <w:tc>
          <w:tcPr>
            <w:tcW w:w="1812" w:type="dxa"/>
            <w:shd w:val="clear" w:color="auto" w:fill="auto"/>
            <w:vAlign w:val="center"/>
          </w:tcPr>
          <w:p w14:paraId="2AF26F85">
            <w:pPr>
              <w:snapToGrid w:val="0"/>
              <w:jc w:val="center"/>
              <w:rPr>
                <w:rFonts w:hint="eastAsia" w:hAnsi="宋体" w:cs="宋体"/>
                <w:sz w:val="21"/>
                <w:szCs w:val="21"/>
              </w:rPr>
            </w:pPr>
            <w:r>
              <w:rPr>
                <w:rFonts w:hint="eastAsia" w:hAnsi="宋体" w:cs="宋体"/>
                <w:sz w:val="21"/>
                <w:szCs w:val="21"/>
              </w:rPr>
              <w:t>《安全生产法》</w:t>
            </w:r>
          </w:p>
          <w:p w14:paraId="27FC21B1">
            <w:pPr>
              <w:snapToGrid w:val="0"/>
              <w:jc w:val="center"/>
              <w:rPr>
                <w:rFonts w:hint="eastAsia" w:hAnsi="宋体" w:cs="宋体"/>
                <w:sz w:val="21"/>
                <w:szCs w:val="21"/>
              </w:rPr>
            </w:pPr>
            <w:r>
              <w:rPr>
                <w:rFonts w:hint="eastAsia" w:hAnsi="宋体" w:cs="宋体"/>
                <w:sz w:val="21"/>
                <w:szCs w:val="21"/>
              </w:rPr>
              <w:t>第四十八条</w:t>
            </w:r>
          </w:p>
        </w:tc>
        <w:tc>
          <w:tcPr>
            <w:tcW w:w="2406" w:type="dxa"/>
            <w:shd w:val="clear" w:color="auto" w:fill="auto"/>
            <w:vAlign w:val="center"/>
          </w:tcPr>
          <w:p w14:paraId="13410C5F">
            <w:pPr>
              <w:adjustRightInd w:val="0"/>
              <w:snapToGrid w:val="0"/>
              <w:rPr>
                <w:rFonts w:hint="eastAsia" w:hAnsi="宋体" w:cs="宋体"/>
                <w:sz w:val="21"/>
                <w:szCs w:val="21"/>
              </w:rPr>
            </w:pPr>
            <w:r>
              <w:rPr>
                <w:rFonts w:hint="eastAsia" w:hAnsi="宋体" w:cs="宋体"/>
                <w:sz w:val="21"/>
                <w:szCs w:val="21"/>
              </w:rPr>
              <w:t>缴纳了工伤保险。</w:t>
            </w:r>
          </w:p>
        </w:tc>
        <w:tc>
          <w:tcPr>
            <w:tcW w:w="907" w:type="dxa"/>
            <w:shd w:val="clear" w:color="auto" w:fill="auto"/>
            <w:vAlign w:val="center"/>
          </w:tcPr>
          <w:p w14:paraId="7E2255E7">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13ACA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53C2C11F">
            <w:pPr>
              <w:widowControl/>
              <w:jc w:val="center"/>
              <w:rPr>
                <w:rFonts w:hint="eastAsia" w:hAnsi="宋体" w:cs="宋体"/>
                <w:sz w:val="21"/>
                <w:szCs w:val="21"/>
              </w:rPr>
            </w:pPr>
            <w:r>
              <w:rPr>
                <w:rFonts w:hint="eastAsia" w:hAnsi="宋体" w:cs="宋体"/>
                <w:b/>
                <w:bCs/>
                <w:color w:val="000000"/>
                <w:sz w:val="21"/>
                <w:szCs w:val="21"/>
                <w:lang w:bidi="ar"/>
              </w:rPr>
              <w:t>特种设备安全管理</w:t>
            </w:r>
          </w:p>
        </w:tc>
      </w:tr>
      <w:tr w14:paraId="455C4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072C3AE">
            <w:pPr>
              <w:widowControl/>
              <w:jc w:val="center"/>
              <w:rPr>
                <w:rFonts w:hint="eastAsia" w:hAnsi="宋体" w:cs="宋体"/>
                <w:color w:val="000000"/>
                <w:sz w:val="21"/>
                <w:szCs w:val="21"/>
                <w:lang w:bidi="ar"/>
              </w:rPr>
            </w:pPr>
            <w:r>
              <w:rPr>
                <w:rFonts w:hint="eastAsia" w:hAnsi="宋体" w:cs="宋体"/>
                <w:color w:val="000000"/>
                <w:sz w:val="21"/>
                <w:szCs w:val="21"/>
                <w:lang w:bidi="ar"/>
              </w:rPr>
              <w:t>14</w:t>
            </w:r>
          </w:p>
        </w:tc>
        <w:tc>
          <w:tcPr>
            <w:tcW w:w="3522" w:type="dxa"/>
            <w:shd w:val="clear" w:color="auto" w:fill="auto"/>
            <w:vAlign w:val="center"/>
          </w:tcPr>
          <w:p w14:paraId="61402172">
            <w:pPr>
              <w:widowControl/>
              <w:jc w:val="left"/>
              <w:rPr>
                <w:rFonts w:hint="eastAsia" w:hAnsi="宋体" w:cs="宋体"/>
                <w:sz w:val="21"/>
                <w:szCs w:val="21"/>
              </w:rPr>
            </w:pPr>
            <w:r>
              <w:rPr>
                <w:rFonts w:hint="eastAsia" w:hAnsi="宋体" w:cs="宋体"/>
                <w:color w:val="000000"/>
                <w:sz w:val="21"/>
                <w:szCs w:val="21"/>
                <w:lang w:bidi="ar"/>
              </w:rPr>
              <w:t>生产经营单位使用的危险物品的容器、运输工具，以及涉及人身安全、</w:t>
            </w:r>
          </w:p>
          <w:p w14:paraId="725D4117">
            <w:pPr>
              <w:widowControl/>
              <w:jc w:val="left"/>
              <w:rPr>
                <w:rFonts w:hint="eastAsia" w:hAnsi="宋体" w:cs="宋体"/>
                <w:sz w:val="21"/>
                <w:szCs w:val="21"/>
              </w:rPr>
            </w:pPr>
            <w:r>
              <w:rPr>
                <w:rFonts w:hint="eastAsia" w:hAnsi="宋体" w:cs="宋体"/>
                <w:color w:val="000000"/>
                <w:sz w:val="21"/>
                <w:szCs w:val="21"/>
                <w:lang w:bidi="ar"/>
              </w:rPr>
              <w:t>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tc>
        <w:tc>
          <w:tcPr>
            <w:tcW w:w="1812" w:type="dxa"/>
            <w:shd w:val="clear" w:color="auto" w:fill="auto"/>
            <w:vAlign w:val="center"/>
          </w:tcPr>
          <w:p w14:paraId="0510DA61">
            <w:pPr>
              <w:widowControl/>
              <w:jc w:val="left"/>
              <w:rPr>
                <w:rFonts w:hint="eastAsia" w:hAnsi="宋体" w:cs="宋体"/>
                <w:sz w:val="21"/>
                <w:szCs w:val="21"/>
              </w:rPr>
            </w:pPr>
            <w:r>
              <w:rPr>
                <w:rFonts w:hint="eastAsia" w:hAnsi="宋体" w:cs="宋体"/>
                <w:color w:val="000000"/>
                <w:sz w:val="21"/>
                <w:szCs w:val="21"/>
                <w:lang w:bidi="ar"/>
              </w:rPr>
              <w:t>《中华人民共和国安全生产法》</w:t>
            </w:r>
          </w:p>
          <w:p w14:paraId="7C45AF0B">
            <w:pPr>
              <w:widowControl/>
              <w:jc w:val="left"/>
              <w:rPr>
                <w:rFonts w:hint="eastAsia" w:hAnsi="宋体" w:cs="宋体"/>
                <w:sz w:val="21"/>
                <w:szCs w:val="21"/>
              </w:rPr>
            </w:pPr>
            <w:r>
              <w:rPr>
                <w:rFonts w:hint="eastAsia" w:hAnsi="宋体" w:cs="宋体"/>
                <w:color w:val="000000"/>
                <w:sz w:val="21"/>
                <w:szCs w:val="21"/>
                <w:lang w:bidi="ar"/>
              </w:rPr>
              <w:t>第37条</w:t>
            </w:r>
          </w:p>
          <w:p w14:paraId="1D524A7E">
            <w:pPr>
              <w:snapToGrid w:val="0"/>
              <w:jc w:val="center"/>
              <w:rPr>
                <w:rFonts w:hint="eastAsia" w:hAnsi="宋体" w:cs="宋体"/>
                <w:sz w:val="21"/>
                <w:szCs w:val="21"/>
              </w:rPr>
            </w:pPr>
          </w:p>
        </w:tc>
        <w:tc>
          <w:tcPr>
            <w:tcW w:w="2406" w:type="dxa"/>
            <w:shd w:val="clear" w:color="auto" w:fill="auto"/>
            <w:vAlign w:val="center"/>
          </w:tcPr>
          <w:p w14:paraId="1BB9F274">
            <w:pPr>
              <w:widowControl/>
              <w:jc w:val="left"/>
              <w:rPr>
                <w:rFonts w:hint="eastAsia" w:hAnsi="宋体" w:cs="宋体"/>
                <w:sz w:val="21"/>
                <w:szCs w:val="21"/>
              </w:rPr>
            </w:pPr>
            <w:r>
              <w:rPr>
                <w:rFonts w:hint="eastAsia" w:hAnsi="宋体" w:cs="宋体"/>
                <w:color w:val="000000"/>
                <w:sz w:val="21"/>
                <w:szCs w:val="21"/>
                <w:lang w:bidi="ar"/>
              </w:rPr>
              <w:t>本项目投入使用的特种该设备（起重设备）经过玉溪市质量技术监督综合检测中心检测、检验合格后投入使用。</w:t>
            </w:r>
          </w:p>
        </w:tc>
        <w:tc>
          <w:tcPr>
            <w:tcW w:w="907" w:type="dxa"/>
            <w:shd w:val="clear" w:color="auto" w:fill="auto"/>
            <w:vAlign w:val="center"/>
          </w:tcPr>
          <w:p w14:paraId="356EACD0">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19FC5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63D24DB">
            <w:pPr>
              <w:widowControl/>
              <w:jc w:val="center"/>
              <w:rPr>
                <w:rFonts w:hint="eastAsia" w:hAnsi="宋体" w:cs="宋体"/>
                <w:color w:val="000000"/>
                <w:sz w:val="21"/>
                <w:szCs w:val="21"/>
                <w:lang w:bidi="ar"/>
              </w:rPr>
            </w:pPr>
            <w:r>
              <w:rPr>
                <w:rFonts w:hint="eastAsia" w:hAnsi="宋体" w:cs="宋体"/>
                <w:color w:val="000000"/>
                <w:sz w:val="21"/>
                <w:szCs w:val="21"/>
                <w:lang w:bidi="ar"/>
              </w:rPr>
              <w:t>15</w:t>
            </w:r>
          </w:p>
        </w:tc>
        <w:tc>
          <w:tcPr>
            <w:tcW w:w="3522" w:type="dxa"/>
            <w:shd w:val="clear" w:color="auto" w:fill="auto"/>
            <w:vAlign w:val="center"/>
          </w:tcPr>
          <w:p w14:paraId="7A914E88">
            <w:pPr>
              <w:widowControl/>
              <w:jc w:val="left"/>
              <w:rPr>
                <w:rFonts w:hint="eastAsia" w:hAnsi="宋体" w:cs="宋体"/>
                <w:color w:val="000000"/>
                <w:sz w:val="21"/>
                <w:szCs w:val="21"/>
                <w:lang w:bidi="ar"/>
              </w:rPr>
            </w:pPr>
            <w:r>
              <w:rPr>
                <w:rFonts w:hint="eastAsia" w:hAnsi="宋体" w:cs="宋体"/>
                <w:color w:val="000000"/>
                <w:sz w:val="21"/>
                <w:szCs w:val="21"/>
                <w:lang w:bidi="ar"/>
              </w:rPr>
              <w:t>特种设备使用单位应当使用取得许可生产并经检验合格的特种设备。禁止使用国家明令淘汰和已经报废的特种设备。</w:t>
            </w:r>
          </w:p>
        </w:tc>
        <w:tc>
          <w:tcPr>
            <w:tcW w:w="1812" w:type="dxa"/>
            <w:shd w:val="clear" w:color="auto" w:fill="auto"/>
            <w:vAlign w:val="center"/>
          </w:tcPr>
          <w:p w14:paraId="34C51584">
            <w:pPr>
              <w:widowControl/>
              <w:jc w:val="left"/>
              <w:rPr>
                <w:rFonts w:hint="eastAsia" w:hAnsi="宋体" w:cs="宋体"/>
                <w:sz w:val="21"/>
                <w:szCs w:val="21"/>
              </w:rPr>
            </w:pPr>
            <w:r>
              <w:rPr>
                <w:rFonts w:hint="eastAsia" w:hAnsi="宋体" w:cs="宋体"/>
                <w:color w:val="000000"/>
                <w:sz w:val="21"/>
                <w:szCs w:val="21"/>
                <w:lang w:bidi="ar"/>
              </w:rPr>
              <w:t>《中华人民共和国特种设备安全法》</w:t>
            </w:r>
          </w:p>
          <w:p w14:paraId="7B51906C">
            <w:pPr>
              <w:widowControl/>
              <w:jc w:val="left"/>
              <w:rPr>
                <w:rFonts w:hint="eastAsia" w:hAnsi="宋体" w:cs="宋体"/>
                <w:sz w:val="21"/>
                <w:szCs w:val="21"/>
              </w:rPr>
            </w:pPr>
            <w:r>
              <w:rPr>
                <w:rFonts w:hint="eastAsia" w:hAnsi="宋体" w:cs="宋体"/>
                <w:color w:val="000000"/>
                <w:sz w:val="21"/>
                <w:szCs w:val="21"/>
                <w:lang w:bidi="ar"/>
              </w:rPr>
              <w:t>第32条</w:t>
            </w:r>
          </w:p>
        </w:tc>
        <w:tc>
          <w:tcPr>
            <w:tcW w:w="2406" w:type="dxa"/>
            <w:shd w:val="clear" w:color="auto" w:fill="auto"/>
            <w:vAlign w:val="center"/>
          </w:tcPr>
          <w:p w14:paraId="2DC8FE07">
            <w:pPr>
              <w:widowControl/>
              <w:jc w:val="left"/>
              <w:rPr>
                <w:rFonts w:hint="eastAsia" w:hAnsi="宋体" w:cs="宋体"/>
                <w:color w:val="000000"/>
                <w:sz w:val="21"/>
                <w:szCs w:val="21"/>
                <w:lang w:bidi="ar"/>
              </w:rPr>
            </w:pPr>
            <w:r>
              <w:rPr>
                <w:rFonts w:hint="eastAsia" w:hAnsi="宋体" w:cs="宋体"/>
                <w:color w:val="000000"/>
                <w:sz w:val="21"/>
                <w:szCs w:val="21"/>
                <w:lang w:bidi="ar"/>
              </w:rPr>
              <w:t>未使用国家明令淘汰和已经报废的特种设备。</w:t>
            </w:r>
          </w:p>
        </w:tc>
        <w:tc>
          <w:tcPr>
            <w:tcW w:w="907" w:type="dxa"/>
            <w:shd w:val="clear" w:color="auto" w:fill="auto"/>
            <w:vAlign w:val="center"/>
          </w:tcPr>
          <w:p w14:paraId="7AF4F575">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0AF40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03C73FC">
            <w:pPr>
              <w:widowControl/>
              <w:jc w:val="center"/>
              <w:rPr>
                <w:rFonts w:hint="eastAsia" w:hAnsi="宋体" w:cs="宋体"/>
                <w:color w:val="000000"/>
                <w:sz w:val="21"/>
                <w:szCs w:val="21"/>
                <w:lang w:bidi="ar"/>
              </w:rPr>
            </w:pPr>
            <w:r>
              <w:rPr>
                <w:rFonts w:hint="eastAsia" w:hAnsi="宋体" w:cs="宋体"/>
                <w:color w:val="000000"/>
                <w:sz w:val="21"/>
                <w:szCs w:val="21"/>
                <w:lang w:bidi="ar"/>
              </w:rPr>
              <w:t>16</w:t>
            </w:r>
          </w:p>
        </w:tc>
        <w:tc>
          <w:tcPr>
            <w:tcW w:w="3522" w:type="dxa"/>
            <w:shd w:val="clear" w:color="auto" w:fill="auto"/>
            <w:vAlign w:val="center"/>
          </w:tcPr>
          <w:p w14:paraId="5F799A11">
            <w:pPr>
              <w:widowControl/>
              <w:jc w:val="left"/>
              <w:rPr>
                <w:rFonts w:hint="eastAsia" w:hAnsi="宋体" w:cs="宋体"/>
                <w:color w:val="000000"/>
                <w:sz w:val="21"/>
                <w:szCs w:val="21"/>
                <w:lang w:bidi="ar"/>
              </w:rPr>
            </w:pPr>
            <w:r>
              <w:rPr>
                <w:rFonts w:hint="eastAsia" w:hAnsi="宋体" w:cs="宋体"/>
                <w:color w:val="000000"/>
                <w:sz w:val="21"/>
                <w:szCs w:val="21"/>
                <w:lang w:bidi="ar"/>
              </w:rPr>
              <w:t>特种设备使用单位应当在特种设备投入使用前或者投入使用后三十日内，向负责特种设备安全监督管理的部门办理使用登记，取得使用登记证书。登记标志应当置于该特种设备的显着位置。</w:t>
            </w:r>
          </w:p>
        </w:tc>
        <w:tc>
          <w:tcPr>
            <w:tcW w:w="1812" w:type="dxa"/>
            <w:shd w:val="clear" w:color="auto" w:fill="auto"/>
            <w:vAlign w:val="center"/>
          </w:tcPr>
          <w:p w14:paraId="4D80EFE1">
            <w:pPr>
              <w:widowControl/>
              <w:jc w:val="left"/>
              <w:rPr>
                <w:rFonts w:hint="eastAsia" w:hAnsi="宋体" w:cs="宋体"/>
                <w:sz w:val="21"/>
                <w:szCs w:val="21"/>
              </w:rPr>
            </w:pPr>
            <w:r>
              <w:rPr>
                <w:rFonts w:hint="eastAsia" w:hAnsi="宋体" w:cs="宋体"/>
                <w:color w:val="000000"/>
                <w:sz w:val="21"/>
                <w:szCs w:val="21"/>
                <w:lang w:bidi="ar"/>
              </w:rPr>
              <w:t>《中华人民共和国特种设备安全法》</w:t>
            </w:r>
          </w:p>
          <w:p w14:paraId="674C8DCD">
            <w:pPr>
              <w:widowControl/>
              <w:jc w:val="left"/>
              <w:rPr>
                <w:rFonts w:hint="eastAsia" w:hAnsi="宋体" w:cs="宋体"/>
                <w:color w:val="000000"/>
                <w:sz w:val="21"/>
                <w:szCs w:val="21"/>
                <w:lang w:bidi="ar"/>
              </w:rPr>
            </w:pPr>
            <w:r>
              <w:rPr>
                <w:rFonts w:hint="eastAsia" w:hAnsi="宋体" w:cs="宋体"/>
                <w:color w:val="000000"/>
                <w:sz w:val="21"/>
                <w:szCs w:val="21"/>
                <w:lang w:bidi="ar"/>
              </w:rPr>
              <w:t>第33条</w:t>
            </w:r>
          </w:p>
        </w:tc>
        <w:tc>
          <w:tcPr>
            <w:tcW w:w="2406" w:type="dxa"/>
            <w:shd w:val="clear" w:color="auto" w:fill="auto"/>
            <w:vAlign w:val="center"/>
          </w:tcPr>
          <w:p w14:paraId="57286A80">
            <w:pPr>
              <w:widowControl/>
              <w:jc w:val="left"/>
              <w:rPr>
                <w:rFonts w:hint="eastAsia" w:hAnsi="宋体" w:cs="宋体"/>
                <w:color w:val="000000"/>
                <w:sz w:val="21"/>
                <w:szCs w:val="21"/>
                <w:lang w:bidi="ar"/>
              </w:rPr>
            </w:pPr>
            <w:r>
              <w:rPr>
                <w:rFonts w:hint="eastAsia" w:hAnsi="宋体" w:cs="宋体"/>
                <w:color w:val="000000"/>
                <w:sz w:val="21"/>
                <w:szCs w:val="21"/>
                <w:lang w:bidi="ar"/>
              </w:rPr>
              <w:t>企业使用的特种设备已向当地主管部门办理了使用登记手续，取得了使用登记证。</w:t>
            </w:r>
          </w:p>
        </w:tc>
        <w:tc>
          <w:tcPr>
            <w:tcW w:w="907" w:type="dxa"/>
            <w:shd w:val="clear" w:color="auto" w:fill="auto"/>
            <w:vAlign w:val="center"/>
          </w:tcPr>
          <w:p w14:paraId="69F548B2">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0EE4A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9AAA555">
            <w:pPr>
              <w:widowControl/>
              <w:jc w:val="center"/>
              <w:rPr>
                <w:rFonts w:hint="eastAsia" w:hAnsi="宋体" w:cs="宋体"/>
                <w:color w:val="000000"/>
                <w:sz w:val="21"/>
                <w:szCs w:val="21"/>
                <w:lang w:bidi="ar"/>
              </w:rPr>
            </w:pPr>
            <w:r>
              <w:rPr>
                <w:rFonts w:hint="eastAsia" w:hAnsi="宋体" w:cs="宋体"/>
                <w:color w:val="000000"/>
                <w:sz w:val="21"/>
                <w:szCs w:val="21"/>
                <w:lang w:bidi="ar"/>
              </w:rPr>
              <w:t>17</w:t>
            </w:r>
          </w:p>
        </w:tc>
        <w:tc>
          <w:tcPr>
            <w:tcW w:w="3522" w:type="dxa"/>
            <w:shd w:val="clear" w:color="auto" w:fill="auto"/>
            <w:vAlign w:val="center"/>
          </w:tcPr>
          <w:p w14:paraId="6F3455FE">
            <w:pPr>
              <w:widowControl/>
              <w:jc w:val="left"/>
              <w:rPr>
                <w:rFonts w:hint="eastAsia" w:hAnsi="宋体" w:cs="宋体"/>
                <w:color w:val="000000"/>
                <w:sz w:val="21"/>
                <w:szCs w:val="21"/>
                <w:lang w:bidi="ar"/>
              </w:rPr>
            </w:pPr>
            <w:r>
              <w:rPr>
                <w:rFonts w:hint="eastAsia" w:hAnsi="宋体" w:cs="宋体"/>
                <w:color w:val="000000"/>
                <w:sz w:val="21"/>
                <w:szCs w:val="21"/>
                <w:lang w:bidi="ar"/>
              </w:rPr>
              <w:t>特种设备使用单位应当对其使用的特种设备进行经常性维护保养和定期自行检查，并作出记录。特种设备使用单位应当对其使用的特种设备的安全附件、安全保护装置进行定期校验、检修，并作出记录。</w:t>
            </w:r>
          </w:p>
        </w:tc>
        <w:tc>
          <w:tcPr>
            <w:tcW w:w="1812" w:type="dxa"/>
            <w:shd w:val="clear" w:color="auto" w:fill="auto"/>
            <w:vAlign w:val="center"/>
          </w:tcPr>
          <w:p w14:paraId="6F799142">
            <w:pPr>
              <w:widowControl/>
              <w:jc w:val="left"/>
              <w:rPr>
                <w:rFonts w:hint="eastAsia" w:hAnsi="宋体" w:cs="宋体"/>
                <w:sz w:val="21"/>
                <w:szCs w:val="21"/>
              </w:rPr>
            </w:pPr>
            <w:r>
              <w:rPr>
                <w:rFonts w:hint="eastAsia" w:hAnsi="宋体" w:cs="宋体"/>
                <w:color w:val="000000"/>
                <w:sz w:val="21"/>
                <w:szCs w:val="21"/>
                <w:lang w:bidi="ar"/>
              </w:rPr>
              <w:t>《中华人民共和国特种设备安全法》</w:t>
            </w:r>
          </w:p>
          <w:p w14:paraId="4E294531">
            <w:pPr>
              <w:widowControl/>
              <w:jc w:val="left"/>
              <w:rPr>
                <w:rFonts w:hint="eastAsia" w:hAnsi="宋体" w:cs="宋体"/>
                <w:color w:val="000000"/>
                <w:sz w:val="21"/>
                <w:szCs w:val="21"/>
                <w:lang w:bidi="ar"/>
              </w:rPr>
            </w:pPr>
            <w:r>
              <w:rPr>
                <w:rFonts w:hint="eastAsia" w:hAnsi="宋体" w:cs="宋体"/>
                <w:color w:val="000000"/>
                <w:sz w:val="21"/>
                <w:szCs w:val="21"/>
                <w:lang w:bidi="ar"/>
              </w:rPr>
              <w:t>第39条</w:t>
            </w:r>
          </w:p>
        </w:tc>
        <w:tc>
          <w:tcPr>
            <w:tcW w:w="2406" w:type="dxa"/>
            <w:shd w:val="clear" w:color="auto" w:fill="auto"/>
            <w:vAlign w:val="center"/>
          </w:tcPr>
          <w:p w14:paraId="4BAB4D65">
            <w:pPr>
              <w:widowControl/>
              <w:jc w:val="left"/>
              <w:rPr>
                <w:rFonts w:hint="eastAsia" w:hAnsi="宋体" w:cs="宋体"/>
                <w:color w:val="000000"/>
                <w:sz w:val="21"/>
                <w:szCs w:val="21"/>
                <w:lang w:bidi="ar"/>
              </w:rPr>
            </w:pPr>
            <w:r>
              <w:rPr>
                <w:rFonts w:hint="eastAsia" w:hAnsi="宋体" w:cs="宋体"/>
                <w:color w:val="000000"/>
                <w:sz w:val="21"/>
                <w:szCs w:val="21"/>
                <w:lang w:bidi="ar"/>
              </w:rPr>
              <w:t>该项目使用的特种设备进行经常性维护保养和定期自行检查，并作出记录。</w:t>
            </w:r>
          </w:p>
        </w:tc>
        <w:tc>
          <w:tcPr>
            <w:tcW w:w="907" w:type="dxa"/>
            <w:shd w:val="clear" w:color="auto" w:fill="auto"/>
            <w:vAlign w:val="center"/>
          </w:tcPr>
          <w:p w14:paraId="2508F103">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3FB4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7D62A47">
            <w:pPr>
              <w:widowControl/>
              <w:jc w:val="center"/>
              <w:rPr>
                <w:rFonts w:hint="eastAsia" w:hAnsi="宋体" w:cs="宋体"/>
                <w:color w:val="000000"/>
                <w:sz w:val="21"/>
                <w:szCs w:val="21"/>
                <w:lang w:bidi="ar"/>
              </w:rPr>
            </w:pPr>
            <w:r>
              <w:rPr>
                <w:rFonts w:hint="eastAsia" w:hAnsi="宋体" w:cs="宋体"/>
                <w:color w:val="000000"/>
                <w:sz w:val="21"/>
                <w:szCs w:val="21"/>
                <w:lang w:bidi="ar"/>
              </w:rPr>
              <w:t>18</w:t>
            </w:r>
          </w:p>
        </w:tc>
        <w:tc>
          <w:tcPr>
            <w:tcW w:w="3522" w:type="dxa"/>
            <w:shd w:val="clear" w:color="auto" w:fill="auto"/>
            <w:vAlign w:val="center"/>
          </w:tcPr>
          <w:p w14:paraId="06161243">
            <w:pPr>
              <w:widowControl/>
              <w:jc w:val="left"/>
              <w:rPr>
                <w:rFonts w:hint="eastAsia" w:hAnsi="宋体" w:cs="宋体"/>
                <w:sz w:val="21"/>
                <w:szCs w:val="21"/>
              </w:rPr>
            </w:pPr>
            <w:r>
              <w:rPr>
                <w:rFonts w:hint="eastAsia" w:hAnsi="宋体" w:cs="宋体"/>
                <w:color w:val="000000"/>
                <w:sz w:val="21"/>
                <w:szCs w:val="21"/>
                <w:lang w:bidi="ar"/>
              </w:rPr>
              <w:t>特种设备使用单位应当建立特种设备安全技术档案。安全技术档案应当包括以下内容：</w:t>
            </w:r>
          </w:p>
          <w:p w14:paraId="127908D7">
            <w:pPr>
              <w:widowControl/>
              <w:jc w:val="left"/>
              <w:rPr>
                <w:rFonts w:hint="eastAsia" w:hAnsi="宋体" w:cs="宋体"/>
                <w:sz w:val="21"/>
                <w:szCs w:val="21"/>
              </w:rPr>
            </w:pPr>
            <w:r>
              <w:rPr>
                <w:rFonts w:hint="eastAsia" w:hAnsi="宋体" w:cs="宋体"/>
                <w:color w:val="000000"/>
                <w:sz w:val="21"/>
                <w:szCs w:val="21"/>
                <w:lang w:bidi="ar"/>
              </w:rPr>
              <w:t>（一）特种设备的设计文件、制造单位、产品质量合格证明、使用维护说</w:t>
            </w:r>
          </w:p>
          <w:p w14:paraId="263AFDE2">
            <w:pPr>
              <w:widowControl/>
              <w:jc w:val="left"/>
              <w:rPr>
                <w:rFonts w:hint="eastAsia" w:hAnsi="宋体" w:cs="宋体"/>
                <w:sz w:val="21"/>
                <w:szCs w:val="21"/>
              </w:rPr>
            </w:pPr>
            <w:r>
              <w:rPr>
                <w:rFonts w:hint="eastAsia" w:hAnsi="宋体" w:cs="宋体"/>
                <w:color w:val="000000"/>
                <w:sz w:val="21"/>
                <w:szCs w:val="21"/>
                <w:lang w:bidi="ar"/>
              </w:rPr>
              <w:t>明等文件以及安装技术文件和资料；</w:t>
            </w:r>
          </w:p>
          <w:p w14:paraId="7A3DCDE0">
            <w:pPr>
              <w:widowControl/>
              <w:jc w:val="left"/>
              <w:rPr>
                <w:rFonts w:hint="eastAsia" w:hAnsi="宋体" w:cs="宋体"/>
                <w:sz w:val="21"/>
                <w:szCs w:val="21"/>
              </w:rPr>
            </w:pPr>
            <w:r>
              <w:rPr>
                <w:rFonts w:hint="eastAsia" w:hAnsi="宋体" w:cs="宋体"/>
                <w:color w:val="000000"/>
                <w:sz w:val="21"/>
                <w:szCs w:val="21"/>
                <w:lang w:bidi="ar"/>
              </w:rPr>
              <w:t>（二）特种设备的定期检验和定期自行检查的记录；</w:t>
            </w:r>
          </w:p>
          <w:p w14:paraId="3979DE9B">
            <w:pPr>
              <w:widowControl/>
              <w:jc w:val="left"/>
              <w:rPr>
                <w:rFonts w:hint="eastAsia" w:hAnsi="宋体" w:cs="宋体"/>
                <w:sz w:val="21"/>
                <w:szCs w:val="21"/>
              </w:rPr>
            </w:pPr>
            <w:r>
              <w:rPr>
                <w:rFonts w:hint="eastAsia" w:hAnsi="宋体" w:cs="宋体"/>
                <w:color w:val="000000"/>
                <w:sz w:val="21"/>
                <w:szCs w:val="21"/>
                <w:lang w:bidi="ar"/>
              </w:rPr>
              <w:t>（三）特种设备的日常使用状况记录；</w:t>
            </w:r>
          </w:p>
          <w:p w14:paraId="7FF659DE">
            <w:pPr>
              <w:widowControl/>
              <w:jc w:val="left"/>
              <w:rPr>
                <w:rFonts w:hint="eastAsia" w:hAnsi="宋体" w:cs="宋体"/>
                <w:sz w:val="21"/>
                <w:szCs w:val="21"/>
              </w:rPr>
            </w:pPr>
            <w:r>
              <w:rPr>
                <w:rFonts w:hint="eastAsia" w:hAnsi="宋体" w:cs="宋体"/>
                <w:color w:val="000000"/>
                <w:sz w:val="21"/>
                <w:szCs w:val="21"/>
                <w:lang w:bidi="ar"/>
              </w:rPr>
              <w:t>（四）特种设备及其安全附件、安全保护装置、测量调控装置及有关附属</w:t>
            </w:r>
          </w:p>
          <w:p w14:paraId="6C8FCA01">
            <w:pPr>
              <w:widowControl/>
              <w:jc w:val="left"/>
              <w:rPr>
                <w:rFonts w:hint="eastAsia" w:hAnsi="宋体" w:cs="宋体"/>
                <w:sz w:val="21"/>
                <w:szCs w:val="21"/>
              </w:rPr>
            </w:pPr>
            <w:r>
              <w:rPr>
                <w:rFonts w:hint="eastAsia" w:hAnsi="宋体" w:cs="宋体"/>
                <w:color w:val="000000"/>
                <w:sz w:val="21"/>
                <w:szCs w:val="21"/>
                <w:lang w:bidi="ar"/>
              </w:rPr>
              <w:t>仪器仪表的日常维护保养记录；</w:t>
            </w:r>
          </w:p>
          <w:p w14:paraId="2D93568A">
            <w:pPr>
              <w:widowControl/>
              <w:jc w:val="left"/>
              <w:rPr>
                <w:rFonts w:hint="eastAsia" w:hAnsi="宋体" w:cs="宋体"/>
                <w:sz w:val="21"/>
                <w:szCs w:val="21"/>
              </w:rPr>
            </w:pPr>
            <w:r>
              <w:rPr>
                <w:rFonts w:hint="eastAsia" w:hAnsi="宋体" w:cs="宋体"/>
                <w:color w:val="000000"/>
                <w:sz w:val="21"/>
                <w:szCs w:val="21"/>
                <w:lang w:bidi="ar"/>
              </w:rPr>
              <w:t>（五）特种设备运行故障和事故记录；</w:t>
            </w:r>
          </w:p>
          <w:p w14:paraId="1C2F6606">
            <w:pPr>
              <w:widowControl/>
              <w:jc w:val="left"/>
              <w:rPr>
                <w:rFonts w:hint="eastAsia" w:hAnsi="宋体" w:cs="宋体"/>
                <w:sz w:val="21"/>
                <w:szCs w:val="21"/>
              </w:rPr>
            </w:pPr>
            <w:r>
              <w:rPr>
                <w:rFonts w:hint="eastAsia" w:hAnsi="宋体" w:cs="宋体"/>
                <w:color w:val="000000"/>
                <w:sz w:val="21"/>
                <w:szCs w:val="21"/>
                <w:lang w:bidi="ar"/>
              </w:rPr>
              <w:t>（六）高耗能特种设备的能效测试报告、能耗状况记录以及节能改造技术</w:t>
            </w:r>
          </w:p>
          <w:p w14:paraId="07199F50">
            <w:pPr>
              <w:widowControl/>
              <w:jc w:val="left"/>
              <w:rPr>
                <w:rFonts w:hint="eastAsia" w:hAnsi="宋体" w:cs="宋体"/>
                <w:color w:val="000000"/>
                <w:sz w:val="21"/>
                <w:szCs w:val="21"/>
                <w:lang w:bidi="ar"/>
              </w:rPr>
            </w:pPr>
            <w:r>
              <w:rPr>
                <w:rFonts w:hint="eastAsia" w:hAnsi="宋体" w:cs="宋体"/>
                <w:color w:val="000000"/>
                <w:sz w:val="21"/>
                <w:szCs w:val="21"/>
                <w:lang w:bidi="ar"/>
              </w:rPr>
              <w:t>资料。</w:t>
            </w:r>
          </w:p>
        </w:tc>
        <w:tc>
          <w:tcPr>
            <w:tcW w:w="1812" w:type="dxa"/>
            <w:shd w:val="clear" w:color="auto" w:fill="auto"/>
            <w:vAlign w:val="center"/>
          </w:tcPr>
          <w:p w14:paraId="311F6562">
            <w:pPr>
              <w:widowControl/>
              <w:jc w:val="left"/>
              <w:rPr>
                <w:rFonts w:hint="eastAsia" w:hAnsi="宋体" w:cs="宋体"/>
                <w:sz w:val="21"/>
                <w:szCs w:val="21"/>
              </w:rPr>
            </w:pPr>
            <w:r>
              <w:rPr>
                <w:rFonts w:hint="eastAsia" w:hAnsi="宋体" w:cs="宋体"/>
                <w:color w:val="000000"/>
                <w:sz w:val="21"/>
                <w:szCs w:val="21"/>
                <w:lang w:bidi="ar"/>
              </w:rPr>
              <w:t>《特种设备安全监察条例》</w:t>
            </w:r>
          </w:p>
          <w:p w14:paraId="5EFBCE63">
            <w:pPr>
              <w:widowControl/>
              <w:jc w:val="left"/>
              <w:rPr>
                <w:rFonts w:hint="eastAsia" w:hAnsi="宋体" w:cs="宋体"/>
                <w:sz w:val="21"/>
                <w:szCs w:val="21"/>
              </w:rPr>
            </w:pPr>
            <w:r>
              <w:rPr>
                <w:rFonts w:hint="eastAsia" w:hAnsi="宋体" w:cs="宋体"/>
                <w:color w:val="000000"/>
                <w:sz w:val="21"/>
                <w:szCs w:val="21"/>
                <w:lang w:bidi="ar"/>
              </w:rPr>
              <w:t>第26条</w:t>
            </w:r>
          </w:p>
          <w:p w14:paraId="01784E64">
            <w:pPr>
              <w:widowControl/>
              <w:jc w:val="left"/>
              <w:rPr>
                <w:rFonts w:hint="eastAsia" w:hAnsi="宋体" w:cs="宋体"/>
                <w:color w:val="000000"/>
                <w:sz w:val="21"/>
                <w:szCs w:val="21"/>
                <w:lang w:bidi="ar"/>
              </w:rPr>
            </w:pPr>
          </w:p>
        </w:tc>
        <w:tc>
          <w:tcPr>
            <w:tcW w:w="2406" w:type="dxa"/>
            <w:shd w:val="clear" w:color="auto" w:fill="auto"/>
            <w:vAlign w:val="center"/>
          </w:tcPr>
          <w:p w14:paraId="5E5B6FA8">
            <w:pPr>
              <w:widowControl/>
              <w:jc w:val="left"/>
              <w:rPr>
                <w:rFonts w:hint="eastAsia" w:hAnsi="宋体" w:cs="宋体"/>
                <w:color w:val="000000"/>
                <w:sz w:val="21"/>
                <w:szCs w:val="21"/>
                <w:lang w:bidi="ar"/>
              </w:rPr>
            </w:pPr>
            <w:r>
              <w:rPr>
                <w:rFonts w:hint="eastAsia" w:hAnsi="宋体" w:cs="宋体"/>
                <w:color w:val="000000"/>
                <w:sz w:val="21"/>
                <w:szCs w:val="21"/>
                <w:lang w:bidi="ar"/>
              </w:rPr>
              <w:t>建立了特种设备安全技术相关档案。</w:t>
            </w:r>
          </w:p>
        </w:tc>
        <w:tc>
          <w:tcPr>
            <w:tcW w:w="907" w:type="dxa"/>
            <w:shd w:val="clear" w:color="auto" w:fill="auto"/>
            <w:vAlign w:val="center"/>
          </w:tcPr>
          <w:p w14:paraId="448F7D53">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54421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B621D30">
            <w:pPr>
              <w:widowControl/>
              <w:jc w:val="center"/>
              <w:rPr>
                <w:rFonts w:hint="eastAsia" w:hAnsi="宋体" w:cs="宋体"/>
                <w:color w:val="000000"/>
                <w:sz w:val="21"/>
                <w:szCs w:val="21"/>
                <w:lang w:bidi="ar"/>
              </w:rPr>
            </w:pPr>
            <w:r>
              <w:rPr>
                <w:rFonts w:hint="eastAsia" w:hAnsi="宋体" w:cs="宋体"/>
                <w:color w:val="000000"/>
                <w:sz w:val="21"/>
                <w:szCs w:val="21"/>
                <w:lang w:bidi="ar"/>
              </w:rPr>
              <w:t>19</w:t>
            </w:r>
          </w:p>
        </w:tc>
        <w:tc>
          <w:tcPr>
            <w:tcW w:w="3522" w:type="dxa"/>
            <w:shd w:val="clear" w:color="auto" w:fill="auto"/>
            <w:vAlign w:val="center"/>
          </w:tcPr>
          <w:p w14:paraId="52845803">
            <w:pPr>
              <w:widowControl/>
              <w:jc w:val="left"/>
              <w:rPr>
                <w:rFonts w:hint="eastAsia" w:hAnsi="宋体" w:cs="宋体"/>
                <w:sz w:val="21"/>
                <w:szCs w:val="21"/>
              </w:rPr>
            </w:pPr>
            <w:r>
              <w:rPr>
                <w:rFonts w:hint="eastAsia" w:hAnsi="宋体" w:cs="宋体"/>
                <w:color w:val="000000"/>
                <w:sz w:val="21"/>
                <w:szCs w:val="21"/>
                <w:lang w:bidi="ar"/>
              </w:rPr>
              <w:t>特种设备使用单位应当按照安全技术规范的定期检验要求，在安全检验合格有效期届满前1个月向特种设备检验检测机构提出定期检验要求。</w:t>
            </w:r>
          </w:p>
          <w:p w14:paraId="5032FE2E">
            <w:pPr>
              <w:widowControl/>
              <w:jc w:val="left"/>
              <w:rPr>
                <w:rFonts w:hint="eastAsia" w:hAnsi="宋体" w:cs="宋体"/>
                <w:color w:val="000000"/>
                <w:sz w:val="21"/>
                <w:szCs w:val="21"/>
                <w:lang w:bidi="ar"/>
              </w:rPr>
            </w:pPr>
            <w:r>
              <w:rPr>
                <w:rFonts w:hint="eastAsia" w:hAnsi="宋体" w:cs="宋体"/>
                <w:color w:val="000000"/>
                <w:sz w:val="21"/>
                <w:szCs w:val="21"/>
                <w:lang w:bidi="ar"/>
              </w:rPr>
              <w:t>检验检测机构接到定期检验要求后，应当按照安全技术规范的要求及时进行检验。未经定期检验或者检验不合格的特种设备，不得继续使用。</w:t>
            </w:r>
          </w:p>
        </w:tc>
        <w:tc>
          <w:tcPr>
            <w:tcW w:w="1812" w:type="dxa"/>
            <w:shd w:val="clear" w:color="auto" w:fill="auto"/>
            <w:vAlign w:val="center"/>
          </w:tcPr>
          <w:p w14:paraId="732BFB59">
            <w:pPr>
              <w:widowControl/>
              <w:jc w:val="left"/>
              <w:rPr>
                <w:rFonts w:hint="eastAsia" w:hAnsi="宋体" w:cs="宋体"/>
                <w:sz w:val="21"/>
                <w:szCs w:val="21"/>
              </w:rPr>
            </w:pPr>
            <w:r>
              <w:rPr>
                <w:rFonts w:hint="eastAsia" w:hAnsi="宋体" w:cs="宋体"/>
                <w:color w:val="000000"/>
                <w:sz w:val="21"/>
                <w:szCs w:val="21"/>
                <w:lang w:bidi="ar"/>
              </w:rPr>
              <w:t>《特种设备安全监察条例》</w:t>
            </w:r>
          </w:p>
          <w:p w14:paraId="6FA0A966">
            <w:pPr>
              <w:widowControl/>
              <w:jc w:val="left"/>
              <w:rPr>
                <w:rFonts w:hint="eastAsia" w:hAnsi="宋体" w:cs="宋体"/>
                <w:color w:val="000000"/>
                <w:sz w:val="21"/>
                <w:szCs w:val="21"/>
                <w:lang w:bidi="ar"/>
              </w:rPr>
            </w:pPr>
            <w:r>
              <w:rPr>
                <w:rFonts w:hint="eastAsia" w:hAnsi="宋体" w:cs="宋体"/>
                <w:color w:val="000000"/>
                <w:sz w:val="21"/>
                <w:szCs w:val="21"/>
                <w:lang w:bidi="ar"/>
              </w:rPr>
              <w:t>第28条</w:t>
            </w:r>
          </w:p>
        </w:tc>
        <w:tc>
          <w:tcPr>
            <w:tcW w:w="2406" w:type="dxa"/>
            <w:shd w:val="clear" w:color="auto" w:fill="auto"/>
            <w:vAlign w:val="center"/>
          </w:tcPr>
          <w:p w14:paraId="669DA3C5">
            <w:pPr>
              <w:widowControl/>
              <w:jc w:val="left"/>
              <w:rPr>
                <w:rFonts w:hint="eastAsia" w:hAnsi="宋体" w:cs="宋体"/>
                <w:sz w:val="21"/>
                <w:szCs w:val="21"/>
              </w:rPr>
            </w:pPr>
            <w:r>
              <w:rPr>
                <w:rFonts w:hint="eastAsia" w:hAnsi="宋体" w:cs="宋体"/>
                <w:color w:val="000000"/>
                <w:sz w:val="21"/>
                <w:szCs w:val="21"/>
                <w:lang w:bidi="ar"/>
              </w:rPr>
              <w:t>该项目所用特种设备均在检测合格有效期限内，对即将到期的特种设备及时向特种设备检验检测机构提出定期检验要求，现场未使用未经定期检验或者检验不合格的特种</w:t>
            </w:r>
          </w:p>
          <w:p w14:paraId="5EB8208E">
            <w:pPr>
              <w:widowControl/>
              <w:jc w:val="left"/>
              <w:rPr>
                <w:rFonts w:hint="eastAsia" w:hAnsi="宋体" w:cs="宋体"/>
                <w:color w:val="000000"/>
                <w:sz w:val="21"/>
                <w:szCs w:val="21"/>
                <w:lang w:bidi="ar"/>
              </w:rPr>
            </w:pPr>
            <w:r>
              <w:rPr>
                <w:rFonts w:hint="eastAsia" w:hAnsi="宋体" w:cs="宋体"/>
                <w:color w:val="000000"/>
                <w:sz w:val="21"/>
                <w:szCs w:val="21"/>
                <w:lang w:bidi="ar"/>
              </w:rPr>
              <w:t>设备。</w:t>
            </w:r>
          </w:p>
        </w:tc>
        <w:tc>
          <w:tcPr>
            <w:tcW w:w="907" w:type="dxa"/>
            <w:shd w:val="clear" w:color="auto" w:fill="auto"/>
            <w:vAlign w:val="center"/>
          </w:tcPr>
          <w:p w14:paraId="1D9C9477">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7C378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857B66B">
            <w:pPr>
              <w:widowControl/>
              <w:jc w:val="center"/>
              <w:rPr>
                <w:rFonts w:hint="eastAsia" w:hAnsi="宋体" w:cs="宋体"/>
                <w:color w:val="000000"/>
                <w:sz w:val="21"/>
                <w:szCs w:val="21"/>
                <w:lang w:bidi="ar"/>
              </w:rPr>
            </w:pPr>
            <w:r>
              <w:rPr>
                <w:rFonts w:hint="eastAsia" w:hAnsi="宋体" w:cs="宋体"/>
                <w:color w:val="000000"/>
                <w:sz w:val="21"/>
                <w:szCs w:val="21"/>
                <w:lang w:bidi="ar"/>
              </w:rPr>
              <w:t>20</w:t>
            </w:r>
          </w:p>
        </w:tc>
        <w:tc>
          <w:tcPr>
            <w:tcW w:w="3522" w:type="dxa"/>
            <w:shd w:val="clear" w:color="auto" w:fill="auto"/>
            <w:vAlign w:val="center"/>
          </w:tcPr>
          <w:p w14:paraId="35773AE2">
            <w:pPr>
              <w:widowControl/>
              <w:jc w:val="left"/>
              <w:rPr>
                <w:rFonts w:hint="eastAsia" w:hAnsi="宋体" w:cs="宋体"/>
                <w:color w:val="000000"/>
                <w:sz w:val="21"/>
                <w:szCs w:val="21"/>
                <w:lang w:bidi="ar"/>
              </w:rPr>
            </w:pPr>
            <w:r>
              <w:rPr>
                <w:rFonts w:hint="eastAsia" w:hAnsi="宋体" w:cs="宋体"/>
                <w:color w:val="000000"/>
                <w:sz w:val="21"/>
                <w:szCs w:val="21"/>
                <w:lang w:bidi="ar"/>
              </w:rPr>
              <w:t>锅炉、压力容器、电梯、起重机械、客运索道、大型游乐设施、场（厂）内专用机动车辆的作业人员及其相关管理人员（以下统称特种设备作业人员），应当按照国家有关规定经特种设备安全监督管理部门考核合格，取得国家统一格式的特种作业人员证书，方可从事相应的作业或者管理工作。</w:t>
            </w:r>
          </w:p>
        </w:tc>
        <w:tc>
          <w:tcPr>
            <w:tcW w:w="1812" w:type="dxa"/>
            <w:shd w:val="clear" w:color="auto" w:fill="auto"/>
            <w:vAlign w:val="center"/>
          </w:tcPr>
          <w:p w14:paraId="0CB451C4">
            <w:pPr>
              <w:widowControl/>
              <w:jc w:val="left"/>
              <w:rPr>
                <w:rFonts w:hint="eastAsia" w:hAnsi="宋体" w:cs="宋体"/>
                <w:sz w:val="21"/>
                <w:szCs w:val="21"/>
              </w:rPr>
            </w:pPr>
            <w:r>
              <w:rPr>
                <w:rFonts w:hint="eastAsia" w:hAnsi="宋体" w:cs="宋体"/>
                <w:color w:val="000000"/>
                <w:sz w:val="21"/>
                <w:szCs w:val="21"/>
                <w:lang w:bidi="ar"/>
              </w:rPr>
              <w:t>《特种设备安全监察条例》</w:t>
            </w:r>
          </w:p>
          <w:p w14:paraId="45B0FA75">
            <w:pPr>
              <w:widowControl/>
              <w:jc w:val="left"/>
              <w:rPr>
                <w:rFonts w:hint="eastAsia" w:hAnsi="宋体" w:cs="宋体"/>
                <w:color w:val="000000"/>
                <w:sz w:val="21"/>
                <w:szCs w:val="21"/>
                <w:lang w:bidi="ar"/>
              </w:rPr>
            </w:pPr>
            <w:r>
              <w:rPr>
                <w:rFonts w:hint="eastAsia" w:hAnsi="宋体" w:cs="宋体"/>
                <w:color w:val="000000"/>
                <w:sz w:val="21"/>
                <w:szCs w:val="21"/>
                <w:lang w:bidi="ar"/>
              </w:rPr>
              <w:t>第38条</w:t>
            </w:r>
          </w:p>
        </w:tc>
        <w:tc>
          <w:tcPr>
            <w:tcW w:w="2406" w:type="dxa"/>
            <w:shd w:val="clear" w:color="auto" w:fill="auto"/>
            <w:vAlign w:val="center"/>
          </w:tcPr>
          <w:p w14:paraId="4AF8B018">
            <w:pPr>
              <w:widowControl/>
              <w:jc w:val="left"/>
              <w:rPr>
                <w:rFonts w:hint="eastAsia" w:hAnsi="宋体" w:cs="宋体"/>
                <w:color w:val="000000"/>
                <w:sz w:val="21"/>
                <w:szCs w:val="21"/>
                <w:lang w:bidi="ar"/>
              </w:rPr>
            </w:pPr>
            <w:r>
              <w:rPr>
                <w:rFonts w:hint="eastAsia" w:hAnsi="宋体" w:cs="宋体"/>
                <w:color w:val="000000"/>
                <w:sz w:val="21"/>
                <w:szCs w:val="21"/>
                <w:lang w:bidi="ar"/>
              </w:rPr>
              <w:t>该企业特种设备作业人员均持证上岗，证书在有效期内。</w:t>
            </w:r>
          </w:p>
        </w:tc>
        <w:tc>
          <w:tcPr>
            <w:tcW w:w="907" w:type="dxa"/>
            <w:shd w:val="clear" w:color="auto" w:fill="auto"/>
            <w:vAlign w:val="center"/>
          </w:tcPr>
          <w:p w14:paraId="0B441193">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6DAA9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4102CE49">
            <w:pPr>
              <w:widowControl/>
              <w:jc w:val="center"/>
              <w:rPr>
                <w:rFonts w:hint="eastAsia" w:hAnsi="宋体" w:cs="宋体"/>
                <w:b/>
                <w:bCs/>
                <w:sz w:val="21"/>
                <w:szCs w:val="21"/>
              </w:rPr>
            </w:pPr>
            <w:r>
              <w:rPr>
                <w:rFonts w:hint="eastAsia" w:hAnsi="宋体" w:cs="宋体"/>
                <w:b/>
                <w:bCs/>
                <w:color w:val="000000"/>
                <w:sz w:val="21"/>
                <w:szCs w:val="21"/>
                <w:lang w:bidi="ar"/>
              </w:rPr>
              <w:t>其他方面安全管理</w:t>
            </w:r>
          </w:p>
        </w:tc>
      </w:tr>
      <w:tr w14:paraId="3A41E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8D0F9FA">
            <w:pPr>
              <w:widowControl/>
              <w:jc w:val="center"/>
              <w:rPr>
                <w:rFonts w:hint="eastAsia" w:hAnsi="宋体" w:cs="宋体"/>
                <w:color w:val="000000"/>
                <w:sz w:val="21"/>
                <w:szCs w:val="21"/>
                <w:lang w:bidi="ar"/>
              </w:rPr>
            </w:pPr>
            <w:r>
              <w:rPr>
                <w:rFonts w:hint="eastAsia" w:hAnsi="宋体" w:cs="宋体"/>
                <w:color w:val="000000"/>
                <w:sz w:val="21"/>
                <w:szCs w:val="21"/>
                <w:lang w:bidi="ar"/>
              </w:rPr>
              <w:t>21</w:t>
            </w:r>
          </w:p>
        </w:tc>
        <w:tc>
          <w:tcPr>
            <w:tcW w:w="3522" w:type="dxa"/>
            <w:shd w:val="clear" w:color="auto" w:fill="auto"/>
            <w:vAlign w:val="center"/>
          </w:tcPr>
          <w:p w14:paraId="0B5CFA2C">
            <w:pPr>
              <w:widowControl/>
              <w:jc w:val="left"/>
              <w:rPr>
                <w:rFonts w:hint="eastAsia" w:hAnsi="宋体" w:cs="宋体"/>
                <w:color w:val="000000"/>
                <w:sz w:val="21"/>
                <w:szCs w:val="21"/>
                <w:lang w:bidi="ar"/>
              </w:rPr>
            </w:pPr>
            <w:r>
              <w:rPr>
                <w:rFonts w:hint="eastAsia" w:hAnsi="宋体" w:cs="宋体"/>
                <w:color w:val="000000"/>
                <w:sz w:val="21"/>
                <w:szCs w:val="21"/>
                <w:lang w:bidi="ar"/>
              </w:rPr>
              <w:t>生产经营单位应当安排用于配备劳动防护用品、进行安全生产培训的经费。</w:t>
            </w:r>
          </w:p>
        </w:tc>
        <w:tc>
          <w:tcPr>
            <w:tcW w:w="1812" w:type="dxa"/>
            <w:shd w:val="clear" w:color="auto" w:fill="auto"/>
            <w:vAlign w:val="center"/>
          </w:tcPr>
          <w:p w14:paraId="34E92A5A">
            <w:pPr>
              <w:widowControl/>
              <w:jc w:val="left"/>
              <w:rPr>
                <w:rFonts w:hint="eastAsia" w:hAnsi="宋体" w:cs="宋体"/>
                <w:color w:val="000000"/>
                <w:sz w:val="21"/>
                <w:szCs w:val="21"/>
                <w:lang w:bidi="ar"/>
              </w:rPr>
            </w:pPr>
            <w:r>
              <w:rPr>
                <w:rFonts w:hint="eastAsia" w:hAnsi="宋体" w:cs="宋体"/>
                <w:color w:val="000000"/>
                <w:sz w:val="21"/>
                <w:szCs w:val="21"/>
                <w:lang w:bidi="ar"/>
              </w:rPr>
              <w:t>《中华人民共和国安全生产法》（主席令第88号）第47条</w:t>
            </w:r>
          </w:p>
        </w:tc>
        <w:tc>
          <w:tcPr>
            <w:tcW w:w="2406" w:type="dxa"/>
            <w:shd w:val="clear" w:color="auto" w:fill="auto"/>
            <w:vAlign w:val="center"/>
          </w:tcPr>
          <w:p w14:paraId="2AAD2DA5">
            <w:pPr>
              <w:widowControl/>
              <w:jc w:val="left"/>
              <w:rPr>
                <w:rFonts w:hint="eastAsia" w:hAnsi="宋体" w:cs="宋体"/>
                <w:color w:val="000000"/>
                <w:sz w:val="21"/>
                <w:szCs w:val="21"/>
                <w:lang w:bidi="ar"/>
              </w:rPr>
            </w:pPr>
            <w:r>
              <w:rPr>
                <w:rFonts w:hint="eastAsia" w:hAnsi="宋体" w:cs="宋体"/>
                <w:color w:val="000000"/>
                <w:sz w:val="21"/>
                <w:szCs w:val="21"/>
                <w:lang w:bidi="ar"/>
              </w:rPr>
              <w:t>有相应的经费投入。</w:t>
            </w:r>
          </w:p>
        </w:tc>
        <w:tc>
          <w:tcPr>
            <w:tcW w:w="907" w:type="dxa"/>
            <w:shd w:val="clear" w:color="auto" w:fill="auto"/>
            <w:vAlign w:val="center"/>
          </w:tcPr>
          <w:p w14:paraId="7DCE056A">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24907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7168DEB">
            <w:pPr>
              <w:widowControl/>
              <w:jc w:val="center"/>
              <w:rPr>
                <w:rFonts w:hint="eastAsia" w:hAnsi="宋体" w:cs="宋体"/>
                <w:color w:val="000000"/>
                <w:sz w:val="21"/>
                <w:szCs w:val="21"/>
                <w:lang w:bidi="ar"/>
              </w:rPr>
            </w:pPr>
            <w:r>
              <w:rPr>
                <w:rFonts w:hint="eastAsia" w:hAnsi="宋体" w:cs="宋体"/>
                <w:color w:val="000000"/>
                <w:sz w:val="21"/>
                <w:szCs w:val="21"/>
                <w:lang w:bidi="ar"/>
              </w:rPr>
              <w:t>22</w:t>
            </w:r>
          </w:p>
        </w:tc>
        <w:tc>
          <w:tcPr>
            <w:tcW w:w="3522" w:type="dxa"/>
            <w:shd w:val="clear" w:color="auto" w:fill="auto"/>
            <w:vAlign w:val="center"/>
          </w:tcPr>
          <w:p w14:paraId="429C874B">
            <w:pPr>
              <w:widowControl/>
              <w:jc w:val="left"/>
              <w:rPr>
                <w:rFonts w:hint="eastAsia" w:hAnsi="宋体" w:cs="宋体"/>
                <w:color w:val="000000"/>
                <w:sz w:val="21"/>
                <w:szCs w:val="21"/>
                <w:lang w:bidi="ar"/>
              </w:rPr>
            </w:pPr>
            <w:r>
              <w:rPr>
                <w:rFonts w:hint="eastAsia" w:hAnsi="宋体" w:cs="宋体"/>
                <w:color w:val="000000"/>
                <w:sz w:val="21"/>
                <w:szCs w:val="21"/>
                <w:lang w:bidi="ar"/>
              </w:rPr>
              <w:t>生产经营单位必须为从业人员提供符合国家标准或者行业标准的劳动防护用品，并监督、教育从业人员按照使用规则佩戴、使用。</w:t>
            </w:r>
          </w:p>
        </w:tc>
        <w:tc>
          <w:tcPr>
            <w:tcW w:w="1812" w:type="dxa"/>
            <w:shd w:val="clear" w:color="auto" w:fill="auto"/>
            <w:vAlign w:val="center"/>
          </w:tcPr>
          <w:p w14:paraId="1EF0DBE9">
            <w:pPr>
              <w:widowControl/>
              <w:jc w:val="left"/>
              <w:rPr>
                <w:rFonts w:hint="eastAsia" w:hAnsi="宋体" w:cs="宋体"/>
                <w:color w:val="000000"/>
                <w:sz w:val="21"/>
                <w:szCs w:val="21"/>
                <w:lang w:bidi="ar"/>
              </w:rPr>
            </w:pPr>
            <w:r>
              <w:rPr>
                <w:rFonts w:hint="eastAsia" w:hAnsi="宋体" w:cs="宋体"/>
                <w:color w:val="000000"/>
                <w:sz w:val="21"/>
                <w:szCs w:val="21"/>
                <w:lang w:bidi="ar"/>
              </w:rPr>
              <w:t>《中华人民共和国安全生产法》（主席令第88号）第45条</w:t>
            </w:r>
          </w:p>
        </w:tc>
        <w:tc>
          <w:tcPr>
            <w:tcW w:w="2406" w:type="dxa"/>
            <w:shd w:val="clear" w:color="auto" w:fill="auto"/>
            <w:vAlign w:val="center"/>
          </w:tcPr>
          <w:p w14:paraId="2BE66D8B">
            <w:pPr>
              <w:widowControl/>
              <w:jc w:val="left"/>
              <w:rPr>
                <w:rFonts w:hint="eastAsia" w:hAnsi="宋体" w:cs="宋体"/>
                <w:color w:val="000000"/>
                <w:sz w:val="21"/>
                <w:szCs w:val="21"/>
                <w:lang w:bidi="ar"/>
              </w:rPr>
            </w:pPr>
            <w:r>
              <w:rPr>
                <w:rFonts w:hint="eastAsia" w:hAnsi="宋体" w:cs="宋体"/>
                <w:color w:val="000000"/>
                <w:sz w:val="21"/>
                <w:szCs w:val="21"/>
                <w:lang w:bidi="ar"/>
              </w:rPr>
              <w:t>建立了劳动防护用品发放管理制度，并为从业人员配备了符合要求的个体防护用品。</w:t>
            </w:r>
          </w:p>
        </w:tc>
        <w:tc>
          <w:tcPr>
            <w:tcW w:w="907" w:type="dxa"/>
            <w:shd w:val="clear" w:color="auto" w:fill="auto"/>
            <w:vAlign w:val="center"/>
          </w:tcPr>
          <w:p w14:paraId="2C363B60">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7B777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2AFD476">
            <w:pPr>
              <w:widowControl/>
              <w:jc w:val="center"/>
              <w:rPr>
                <w:rFonts w:hint="eastAsia" w:hAnsi="宋体" w:cs="宋体"/>
                <w:color w:val="000000"/>
                <w:sz w:val="21"/>
                <w:szCs w:val="21"/>
                <w:lang w:bidi="ar"/>
              </w:rPr>
            </w:pPr>
            <w:r>
              <w:rPr>
                <w:rFonts w:hint="eastAsia" w:hAnsi="宋体" w:cs="宋体"/>
                <w:color w:val="000000"/>
                <w:sz w:val="21"/>
                <w:szCs w:val="21"/>
                <w:lang w:bidi="ar"/>
              </w:rPr>
              <w:t>23</w:t>
            </w:r>
          </w:p>
        </w:tc>
        <w:tc>
          <w:tcPr>
            <w:tcW w:w="3522" w:type="dxa"/>
            <w:shd w:val="clear" w:color="auto" w:fill="auto"/>
            <w:vAlign w:val="center"/>
          </w:tcPr>
          <w:p w14:paraId="20D12706">
            <w:pPr>
              <w:widowControl/>
              <w:jc w:val="left"/>
              <w:rPr>
                <w:rFonts w:hint="eastAsia" w:hAnsi="宋体" w:cs="宋体"/>
                <w:color w:val="000000"/>
                <w:sz w:val="21"/>
                <w:szCs w:val="21"/>
                <w:lang w:bidi="ar"/>
              </w:rPr>
            </w:pPr>
            <w:r>
              <w:rPr>
                <w:rFonts w:hint="eastAsia" w:hAnsi="宋体" w:cs="宋体"/>
                <w:color w:val="000000"/>
                <w:sz w:val="21"/>
                <w:szCs w:val="21"/>
                <w:lang w:bidi="ar"/>
              </w:rPr>
              <w:t>生产经营单位必须依法参加工伤保险，为从业人员缴纳保险费。</w:t>
            </w:r>
          </w:p>
        </w:tc>
        <w:tc>
          <w:tcPr>
            <w:tcW w:w="1812" w:type="dxa"/>
            <w:shd w:val="clear" w:color="auto" w:fill="auto"/>
            <w:vAlign w:val="center"/>
          </w:tcPr>
          <w:p w14:paraId="1D7C73B2">
            <w:pPr>
              <w:widowControl/>
              <w:jc w:val="left"/>
              <w:rPr>
                <w:rFonts w:hint="eastAsia" w:hAnsi="宋体" w:cs="宋体"/>
                <w:color w:val="000000"/>
                <w:sz w:val="21"/>
                <w:szCs w:val="21"/>
                <w:lang w:bidi="ar"/>
              </w:rPr>
            </w:pPr>
            <w:r>
              <w:rPr>
                <w:rFonts w:hint="eastAsia" w:hAnsi="宋体" w:cs="宋体"/>
                <w:color w:val="000000"/>
                <w:sz w:val="21"/>
                <w:szCs w:val="21"/>
                <w:lang w:bidi="ar"/>
              </w:rPr>
              <w:t>《中华人民共和国安全生产法》（主席令第88号）第51条</w:t>
            </w:r>
          </w:p>
        </w:tc>
        <w:tc>
          <w:tcPr>
            <w:tcW w:w="2406" w:type="dxa"/>
            <w:shd w:val="clear" w:color="auto" w:fill="auto"/>
            <w:vAlign w:val="center"/>
          </w:tcPr>
          <w:p w14:paraId="1AEA18D8">
            <w:pPr>
              <w:widowControl/>
              <w:jc w:val="left"/>
              <w:rPr>
                <w:rFonts w:hint="eastAsia" w:hAnsi="宋体" w:cs="宋体"/>
                <w:color w:val="000000"/>
                <w:sz w:val="21"/>
                <w:szCs w:val="21"/>
                <w:lang w:bidi="ar"/>
              </w:rPr>
            </w:pPr>
            <w:r>
              <w:rPr>
                <w:rFonts w:hint="eastAsia" w:hAnsi="宋体" w:cs="宋体"/>
                <w:color w:val="000000"/>
                <w:sz w:val="21"/>
                <w:szCs w:val="21"/>
                <w:lang w:bidi="ar"/>
              </w:rPr>
              <w:t>购买了工伤保险。</w:t>
            </w:r>
          </w:p>
        </w:tc>
        <w:tc>
          <w:tcPr>
            <w:tcW w:w="907" w:type="dxa"/>
            <w:shd w:val="clear" w:color="auto" w:fill="auto"/>
            <w:vAlign w:val="center"/>
          </w:tcPr>
          <w:p w14:paraId="270971C3">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7BB78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05136B7">
            <w:pPr>
              <w:widowControl/>
              <w:jc w:val="center"/>
              <w:rPr>
                <w:rFonts w:hint="eastAsia" w:hAnsi="宋体" w:cs="宋体"/>
                <w:color w:val="000000"/>
                <w:sz w:val="21"/>
                <w:szCs w:val="21"/>
                <w:lang w:bidi="ar"/>
              </w:rPr>
            </w:pPr>
            <w:r>
              <w:rPr>
                <w:rFonts w:hint="eastAsia" w:hAnsi="宋体" w:cs="宋体"/>
                <w:color w:val="000000"/>
                <w:sz w:val="21"/>
                <w:szCs w:val="21"/>
                <w:lang w:bidi="ar"/>
              </w:rPr>
              <w:t>24</w:t>
            </w:r>
          </w:p>
        </w:tc>
        <w:tc>
          <w:tcPr>
            <w:tcW w:w="3522" w:type="dxa"/>
            <w:shd w:val="clear" w:color="auto" w:fill="auto"/>
            <w:vAlign w:val="center"/>
          </w:tcPr>
          <w:p w14:paraId="7CFFB61A">
            <w:pPr>
              <w:widowControl/>
              <w:jc w:val="left"/>
              <w:rPr>
                <w:rFonts w:hint="eastAsia" w:hAnsi="宋体" w:cs="宋体"/>
                <w:sz w:val="21"/>
                <w:szCs w:val="21"/>
              </w:rPr>
            </w:pPr>
            <w:r>
              <w:rPr>
                <w:rFonts w:hint="eastAsia" w:hAnsi="宋体" w:cs="宋体"/>
                <w:color w:val="000000"/>
                <w:sz w:val="21"/>
                <w:szCs w:val="21"/>
                <w:lang w:bidi="ar"/>
              </w:rPr>
              <w:t>生产经营单位必须对安全设备进行经常性维护、保养，并定期检测，保证</w:t>
            </w:r>
          </w:p>
          <w:p w14:paraId="03BFE272">
            <w:pPr>
              <w:widowControl/>
              <w:jc w:val="left"/>
              <w:rPr>
                <w:rFonts w:hint="eastAsia" w:hAnsi="宋体" w:cs="宋体"/>
                <w:color w:val="000000"/>
                <w:sz w:val="21"/>
                <w:szCs w:val="21"/>
                <w:lang w:bidi="ar"/>
              </w:rPr>
            </w:pPr>
            <w:r>
              <w:rPr>
                <w:rFonts w:hint="eastAsia" w:hAnsi="宋体" w:cs="宋体"/>
                <w:color w:val="000000"/>
                <w:sz w:val="21"/>
                <w:szCs w:val="21"/>
                <w:lang w:bidi="ar"/>
              </w:rPr>
              <w:t>正常运转。维护、保养、检测应当作好记录，并由有关人员签字。</w:t>
            </w:r>
          </w:p>
        </w:tc>
        <w:tc>
          <w:tcPr>
            <w:tcW w:w="1812" w:type="dxa"/>
            <w:shd w:val="clear" w:color="auto" w:fill="auto"/>
            <w:vAlign w:val="center"/>
          </w:tcPr>
          <w:p w14:paraId="110DD48A">
            <w:pPr>
              <w:widowControl/>
              <w:jc w:val="left"/>
              <w:rPr>
                <w:rFonts w:hint="eastAsia" w:hAnsi="宋体" w:cs="宋体"/>
                <w:color w:val="000000"/>
                <w:sz w:val="21"/>
                <w:szCs w:val="21"/>
                <w:lang w:bidi="ar"/>
              </w:rPr>
            </w:pPr>
            <w:r>
              <w:rPr>
                <w:rFonts w:hint="eastAsia" w:hAnsi="宋体" w:cs="宋体"/>
                <w:color w:val="000000"/>
                <w:sz w:val="21"/>
                <w:szCs w:val="21"/>
                <w:lang w:bidi="ar"/>
              </w:rPr>
              <w:t>《中华人民共和国安全生产法》（主席令第88号）第36条</w:t>
            </w:r>
          </w:p>
        </w:tc>
        <w:tc>
          <w:tcPr>
            <w:tcW w:w="2406" w:type="dxa"/>
            <w:shd w:val="clear" w:color="auto" w:fill="auto"/>
            <w:vAlign w:val="center"/>
          </w:tcPr>
          <w:p w14:paraId="13003B00">
            <w:pPr>
              <w:widowControl/>
              <w:jc w:val="left"/>
              <w:rPr>
                <w:rFonts w:hint="eastAsia" w:hAnsi="宋体" w:cs="宋体"/>
                <w:color w:val="000000"/>
                <w:sz w:val="21"/>
                <w:szCs w:val="21"/>
                <w:lang w:bidi="ar"/>
              </w:rPr>
            </w:pPr>
            <w:r>
              <w:rPr>
                <w:rFonts w:hint="eastAsia" w:hAnsi="宋体" w:cs="宋体"/>
                <w:color w:val="000000"/>
                <w:sz w:val="21"/>
                <w:szCs w:val="21"/>
                <w:lang w:bidi="ar"/>
              </w:rPr>
              <w:t>能做到对安全设备进行经常性维护、保养。</w:t>
            </w:r>
          </w:p>
        </w:tc>
        <w:tc>
          <w:tcPr>
            <w:tcW w:w="907" w:type="dxa"/>
            <w:shd w:val="clear" w:color="auto" w:fill="auto"/>
            <w:vAlign w:val="center"/>
          </w:tcPr>
          <w:p w14:paraId="261DC2DD">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r w14:paraId="0C9C8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6BDC779">
            <w:pPr>
              <w:widowControl/>
              <w:jc w:val="center"/>
              <w:rPr>
                <w:rFonts w:hint="eastAsia" w:hAnsi="宋体" w:cs="宋体"/>
                <w:color w:val="000000"/>
                <w:sz w:val="21"/>
                <w:szCs w:val="21"/>
                <w:lang w:bidi="ar"/>
              </w:rPr>
            </w:pPr>
            <w:r>
              <w:rPr>
                <w:rFonts w:hint="eastAsia" w:hAnsi="宋体" w:cs="宋体"/>
                <w:color w:val="000000"/>
                <w:sz w:val="21"/>
                <w:szCs w:val="21"/>
                <w:lang w:bidi="ar"/>
              </w:rPr>
              <w:t>25</w:t>
            </w:r>
          </w:p>
        </w:tc>
        <w:tc>
          <w:tcPr>
            <w:tcW w:w="3522" w:type="dxa"/>
            <w:shd w:val="clear" w:color="auto" w:fill="auto"/>
            <w:vAlign w:val="center"/>
          </w:tcPr>
          <w:p w14:paraId="04A86B14">
            <w:pPr>
              <w:widowControl/>
              <w:jc w:val="left"/>
              <w:rPr>
                <w:rFonts w:hint="eastAsia" w:hAnsi="宋体" w:cs="宋体"/>
                <w:color w:val="000000"/>
                <w:sz w:val="21"/>
                <w:szCs w:val="21"/>
                <w:lang w:bidi="ar"/>
              </w:rPr>
            </w:pPr>
            <w:r>
              <w:rPr>
                <w:rFonts w:hint="eastAsia" w:hAnsi="宋体" w:cs="宋体"/>
                <w:color w:val="000000"/>
                <w:sz w:val="21"/>
                <w:szCs w:val="21"/>
                <w:lang w:bidi="ar"/>
              </w:rPr>
              <w:t>生产经营单位应建立健全从业人员安全培训档案，详细、准确记录培训考核情况。</w:t>
            </w:r>
          </w:p>
        </w:tc>
        <w:tc>
          <w:tcPr>
            <w:tcW w:w="1812" w:type="dxa"/>
            <w:shd w:val="clear" w:color="auto" w:fill="auto"/>
            <w:vAlign w:val="center"/>
          </w:tcPr>
          <w:p w14:paraId="71852EBB">
            <w:pPr>
              <w:widowControl/>
              <w:jc w:val="left"/>
              <w:rPr>
                <w:rFonts w:hint="eastAsia" w:hAnsi="宋体" w:cs="宋体"/>
                <w:color w:val="000000"/>
                <w:sz w:val="21"/>
                <w:szCs w:val="21"/>
                <w:lang w:bidi="ar"/>
              </w:rPr>
            </w:pPr>
            <w:r>
              <w:rPr>
                <w:rFonts w:hint="eastAsia" w:hAnsi="宋体" w:cs="宋体"/>
                <w:color w:val="000000"/>
                <w:sz w:val="21"/>
                <w:szCs w:val="21"/>
                <w:lang w:bidi="ar"/>
              </w:rPr>
              <w:t>《生产经营单位安全培训规定》（国家安监总局令第3号）第二十四条及《国家安全监管总局关于修改〈生产经营单位安全培训规定〉等11件规章的决定》（国家安全生产监督管理总局令第63号）</w:t>
            </w:r>
          </w:p>
        </w:tc>
        <w:tc>
          <w:tcPr>
            <w:tcW w:w="2406" w:type="dxa"/>
            <w:shd w:val="clear" w:color="auto" w:fill="auto"/>
            <w:vAlign w:val="center"/>
          </w:tcPr>
          <w:p w14:paraId="2937C942">
            <w:pPr>
              <w:widowControl/>
              <w:jc w:val="left"/>
              <w:rPr>
                <w:rFonts w:hint="eastAsia" w:hAnsi="宋体" w:cs="宋体"/>
                <w:color w:val="000000"/>
                <w:sz w:val="21"/>
                <w:szCs w:val="21"/>
                <w:lang w:bidi="ar"/>
              </w:rPr>
            </w:pPr>
            <w:r>
              <w:rPr>
                <w:rFonts w:hint="eastAsia" w:hAnsi="宋体" w:cs="宋体"/>
                <w:color w:val="000000"/>
                <w:sz w:val="21"/>
                <w:szCs w:val="21"/>
                <w:lang w:bidi="ar"/>
              </w:rPr>
              <w:t>已建立了从业人员安全培训档案。</w:t>
            </w:r>
          </w:p>
        </w:tc>
        <w:tc>
          <w:tcPr>
            <w:tcW w:w="907" w:type="dxa"/>
            <w:shd w:val="clear" w:color="auto" w:fill="auto"/>
            <w:vAlign w:val="center"/>
          </w:tcPr>
          <w:p w14:paraId="3E6C107F">
            <w:pPr>
              <w:autoSpaceDE w:val="0"/>
              <w:autoSpaceDN w:val="0"/>
              <w:adjustRightInd w:val="0"/>
              <w:snapToGrid w:val="0"/>
              <w:jc w:val="center"/>
              <w:rPr>
                <w:rFonts w:hint="eastAsia" w:hAnsi="宋体" w:cs="宋体"/>
                <w:sz w:val="21"/>
                <w:szCs w:val="21"/>
              </w:rPr>
            </w:pPr>
            <w:r>
              <w:rPr>
                <w:rFonts w:hint="eastAsia" w:hAnsi="宋体" w:cs="宋体"/>
                <w:sz w:val="21"/>
                <w:szCs w:val="21"/>
              </w:rPr>
              <w:t>符合</w:t>
            </w:r>
          </w:p>
        </w:tc>
      </w:tr>
    </w:tbl>
    <w:p w14:paraId="0D33F39F">
      <w:pPr>
        <w:pStyle w:val="45"/>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snapToGrid w:val="0"/>
          <w:color w:val="000000" w:themeColor="text1"/>
          <w14:textFill>
            <w14:solidFill>
              <w14:schemeClr w14:val="tx1"/>
            </w14:solidFill>
          </w14:textFill>
        </w:rPr>
      </w:pPr>
      <w:r>
        <w:rPr>
          <w:rFonts w:hint="eastAsia" w:ascii="宋体" w:hAnsi="宋体" w:eastAsia="宋体" w:cs="宋体"/>
          <w:snapToGrid w:val="0"/>
          <w:color w:val="000000" w:themeColor="text1"/>
          <w14:textFill>
            <w14:solidFill>
              <w14:schemeClr w14:val="tx1"/>
            </w14:solidFill>
          </w14:textFill>
        </w:rPr>
        <w:t>检查评价结果：</w:t>
      </w:r>
    </w:p>
    <w:p w14:paraId="5EED464F">
      <w:pPr>
        <w:pStyle w:val="45"/>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snapToGrid w:val="0"/>
          <w:color w:val="000000" w:themeColor="text1"/>
          <w14:textFill>
            <w14:solidFill>
              <w14:schemeClr w14:val="tx1"/>
            </w14:solidFill>
          </w14:textFill>
        </w:rPr>
      </w:pPr>
      <w:r>
        <w:rPr>
          <w:rFonts w:hint="eastAsia" w:ascii="宋体" w:hAnsi="宋体" w:eastAsia="宋体" w:cs="宋体"/>
          <w:snapToGrid w:val="0"/>
          <w:color w:val="000000" w:themeColor="text1"/>
          <w14:textFill>
            <w14:solidFill>
              <w14:schemeClr w14:val="tx1"/>
            </w14:solidFill>
          </w14:textFill>
        </w:rPr>
        <w:t>公司成立了安全生产领导小组，</w:t>
      </w:r>
      <w:r>
        <w:rPr>
          <w:rFonts w:hint="eastAsia" w:ascii="宋体" w:hAnsi="宋体" w:eastAsia="宋体" w:cs="宋体"/>
          <w:snapToGrid w:val="0"/>
          <w:color w:val="000000" w:themeColor="text1"/>
          <w:lang w:val="en-US" w:eastAsia="zh-CN"/>
          <w14:textFill>
            <w14:solidFill>
              <w14:schemeClr w14:val="tx1"/>
            </w14:solidFill>
          </w14:textFill>
        </w:rPr>
        <w:t>配备</w:t>
      </w:r>
      <w:r>
        <w:rPr>
          <w:rFonts w:hint="eastAsia" w:ascii="宋体" w:hAnsi="宋体" w:eastAsia="宋体" w:cs="宋体"/>
          <w:snapToGrid w:val="0"/>
          <w:color w:val="000000" w:themeColor="text1"/>
          <w14:textFill>
            <w14:solidFill>
              <w14:schemeClr w14:val="tx1"/>
            </w14:solidFill>
          </w14:textFill>
        </w:rPr>
        <w:t>专职安全</w:t>
      </w:r>
      <w:r>
        <w:rPr>
          <w:rFonts w:hint="eastAsia" w:ascii="宋体" w:hAnsi="宋体" w:eastAsia="宋体" w:cs="宋体"/>
          <w:snapToGrid w:val="0"/>
          <w:color w:val="000000" w:themeColor="text1"/>
          <w:lang w:val="en-US" w:eastAsia="zh-CN"/>
          <w14:textFill>
            <w14:solidFill>
              <w14:schemeClr w14:val="tx1"/>
            </w14:solidFill>
          </w14:textFill>
        </w:rPr>
        <w:t>管理员</w:t>
      </w:r>
      <w:r>
        <w:rPr>
          <w:rFonts w:hint="eastAsia" w:ascii="宋体" w:hAnsi="宋体" w:eastAsia="宋体" w:cs="宋体"/>
          <w:snapToGrid w:val="0"/>
          <w:color w:val="000000" w:themeColor="text1"/>
          <w14:textFill>
            <w14:solidFill>
              <w14:schemeClr w14:val="tx1"/>
            </w14:solidFill>
          </w14:textFill>
        </w:rPr>
        <w:t>，制定了相应的安全生产责任制、安全生产管理规章制度和安全操作规程，各类安全检查、安全教育培训均能正常开展。主要负责人、</w:t>
      </w:r>
      <w:r>
        <w:rPr>
          <w:rFonts w:hint="eastAsia" w:ascii="宋体" w:hAnsi="宋体" w:eastAsia="宋体" w:cs="宋体"/>
          <w:snapToGrid w:val="0"/>
          <w:color w:val="000000" w:themeColor="text1"/>
          <w:lang w:val="en-US" w:eastAsia="zh-CN"/>
          <w14:textFill>
            <w14:solidFill>
              <w14:schemeClr w14:val="tx1"/>
            </w14:solidFill>
          </w14:textFill>
        </w:rPr>
        <w:t>安全生产管理员、</w:t>
      </w:r>
      <w:r>
        <w:rPr>
          <w:rFonts w:hint="eastAsia" w:ascii="宋体" w:hAnsi="宋体" w:eastAsia="宋体" w:cs="宋体"/>
          <w:snapToGrid w:val="0"/>
          <w:color w:val="000000" w:themeColor="text1"/>
          <w14:textFill>
            <w14:solidFill>
              <w14:schemeClr w14:val="tx1"/>
            </w14:solidFill>
          </w14:textFill>
        </w:rPr>
        <w:t>特种作业人员均持证上岗。</w:t>
      </w:r>
    </w:p>
    <w:p w14:paraId="2C06F8A0">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760" w:name="_Toc16893"/>
      <w:bookmarkStart w:id="761" w:name="_Toc18546"/>
      <w:bookmarkStart w:id="762" w:name="_Toc20915"/>
      <w:bookmarkStart w:id="763" w:name="_Toc9999"/>
      <w:bookmarkStart w:id="764" w:name="_Toc11021"/>
      <w:bookmarkStart w:id="765" w:name="_Toc472000511"/>
      <w:bookmarkStart w:id="766" w:name="_Toc465848474"/>
      <w:bookmarkStart w:id="767" w:name="_Toc455045022"/>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5.5.2 应急</w:t>
      </w:r>
      <w:bookmarkEnd w:id="760"/>
      <w:bookmarkEnd w:id="76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救援预案</w:t>
      </w:r>
      <w:bookmarkEnd w:id="762"/>
      <w:bookmarkEnd w:id="763"/>
      <w:bookmarkEnd w:id="764"/>
    </w:p>
    <w:bookmarkEnd w:id="765"/>
    <w:bookmarkEnd w:id="766"/>
    <w:bookmarkEnd w:id="767"/>
    <w:p w14:paraId="20F68C0D">
      <w:pPr>
        <w:adjustRightInd w:val="0"/>
        <w:snapToGrid w:val="0"/>
        <w:spacing w:line="480" w:lineRule="exact"/>
        <w:ind w:firstLine="560"/>
        <w:rPr>
          <w:rFonts w:hint="eastAsia" w:ascii="宋体" w:hAnsi="宋体" w:eastAsia="宋体" w:cs="宋体"/>
          <w:snapToGrid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snapToGrid w:val="0"/>
          <w:color w:val="000000" w:themeColor="text1"/>
          <w:kern w:val="2"/>
          <w:sz w:val="28"/>
          <w:szCs w:val="28"/>
          <w:lang w:val="en-US" w:eastAsia="zh-CN" w:bidi="ar-SA"/>
          <w14:textFill>
            <w14:solidFill>
              <w14:schemeClr w14:val="tx1"/>
            </w14:solidFill>
          </w14:textFill>
        </w:rPr>
        <w:t>根据《中华人民共和国安全生产法》（中华人民共和国主席令第七十号，中华人民共和国主席令第八十八号修改）、《生产安全事故应急预案管理办法》（国家安全生产监督管理总局令第88号，根据应急管理部2号令修正）等法律法规的要求，对项目的事故应急救援管理进行分析评价。</w:t>
      </w:r>
    </w:p>
    <w:p w14:paraId="648E0C23">
      <w:pPr>
        <w:adjustRightInd w:val="0"/>
        <w:snapToGrid w:val="0"/>
        <w:spacing w:line="480" w:lineRule="exact"/>
        <w:ind w:firstLine="802" w:firstLineChars="333"/>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snapToGrid w:val="0"/>
          <w:color w:val="000000" w:themeColor="text1"/>
          <w:kern w:val="2"/>
          <w:sz w:val="24"/>
          <w:szCs w:val="24"/>
          <w:lang w:val="en-US" w:eastAsia="zh-CN" w:bidi="ar-SA"/>
          <w14:textFill>
            <w14:solidFill>
              <w14:schemeClr w14:val="tx1"/>
            </w14:solidFill>
          </w14:textFill>
        </w:rPr>
        <w:t>表5-10</w:t>
      </w:r>
      <w:r>
        <w:rPr>
          <w:rFonts w:hint="eastAsia" w:ascii="宋体" w:hAnsi="宋体" w:eastAsia="宋体" w:cs="宋体"/>
          <w:b/>
          <w:bCs/>
          <w:color w:val="000000" w:themeColor="text1"/>
          <w:sz w:val="24"/>
          <w:szCs w:val="24"/>
          <w14:textFill>
            <w14:solidFill>
              <w14:schemeClr w14:val="tx1"/>
            </w14:solidFill>
          </w14:textFill>
        </w:rPr>
        <w:t>事故应急救援预案检查表</w:t>
      </w:r>
    </w:p>
    <w:tbl>
      <w:tblPr>
        <w:tblStyle w:val="24"/>
        <w:tblW w:w="906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2"/>
        <w:gridCol w:w="3438"/>
        <w:gridCol w:w="2127"/>
        <w:gridCol w:w="2126"/>
        <w:gridCol w:w="709"/>
      </w:tblGrid>
      <w:tr w14:paraId="5021BE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tblHeader/>
          <w:jc w:val="center"/>
        </w:trPr>
        <w:tc>
          <w:tcPr>
            <w:tcW w:w="662" w:type="dxa"/>
            <w:tcBorders>
              <w:top w:val="single" w:color="auto" w:sz="4" w:space="0"/>
              <w:left w:val="single" w:color="auto" w:sz="4" w:space="0"/>
              <w:bottom w:val="single" w:color="auto" w:sz="4" w:space="0"/>
              <w:right w:val="single" w:color="auto" w:sz="4" w:space="0"/>
            </w:tcBorders>
            <w:vAlign w:val="center"/>
          </w:tcPr>
          <w:p w14:paraId="32429D00">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438" w:type="dxa"/>
            <w:tcBorders>
              <w:top w:val="single" w:color="auto" w:sz="4" w:space="0"/>
              <w:left w:val="single" w:color="auto" w:sz="4" w:space="0"/>
              <w:bottom w:val="single" w:color="auto" w:sz="4" w:space="0"/>
              <w:right w:val="single" w:color="auto" w:sz="4" w:space="0"/>
            </w:tcBorders>
            <w:vAlign w:val="center"/>
          </w:tcPr>
          <w:p w14:paraId="5A67A9C7">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27" w:type="dxa"/>
            <w:tcBorders>
              <w:top w:val="single" w:color="auto" w:sz="4" w:space="0"/>
              <w:left w:val="single" w:color="auto" w:sz="4" w:space="0"/>
              <w:bottom w:val="single" w:color="auto" w:sz="4" w:space="0"/>
              <w:right w:val="single" w:color="auto" w:sz="4" w:space="0"/>
            </w:tcBorders>
            <w:vAlign w:val="center"/>
          </w:tcPr>
          <w:p w14:paraId="6EBBA3CF">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2126" w:type="dxa"/>
            <w:tcBorders>
              <w:top w:val="single" w:color="auto" w:sz="4" w:space="0"/>
              <w:left w:val="single" w:color="auto" w:sz="4" w:space="0"/>
              <w:bottom w:val="single" w:color="auto" w:sz="4" w:space="0"/>
              <w:right w:val="single" w:color="auto" w:sz="4" w:space="0"/>
            </w:tcBorders>
            <w:vAlign w:val="center"/>
          </w:tcPr>
          <w:p w14:paraId="2125147A">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709" w:type="dxa"/>
            <w:tcBorders>
              <w:top w:val="single" w:color="auto" w:sz="4" w:space="0"/>
              <w:left w:val="single" w:color="auto" w:sz="4" w:space="0"/>
              <w:bottom w:val="single" w:color="auto" w:sz="4" w:space="0"/>
              <w:right w:val="single" w:color="auto" w:sz="4" w:space="0"/>
            </w:tcBorders>
            <w:vAlign w:val="center"/>
          </w:tcPr>
          <w:p w14:paraId="48598DF6">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19959C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281E32B6">
            <w:pPr>
              <w:numPr>
                <w:ilvl w:val="0"/>
                <w:numId w:val="1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0580749F">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生产经营单位应当制定本单位生产安全事故应急救援预案，与所在地县级以上地方人民政府组织制定的生产安全事故应急救援预案相衔接，并定期组织演练。</w:t>
            </w:r>
          </w:p>
        </w:tc>
        <w:tc>
          <w:tcPr>
            <w:tcW w:w="2127" w:type="dxa"/>
            <w:tcBorders>
              <w:top w:val="single" w:color="auto" w:sz="4" w:space="0"/>
              <w:left w:val="single" w:color="auto" w:sz="4" w:space="0"/>
              <w:bottom w:val="single" w:color="auto" w:sz="4" w:space="0"/>
              <w:right w:val="single" w:color="auto" w:sz="4" w:space="0"/>
            </w:tcBorders>
            <w:vAlign w:val="center"/>
          </w:tcPr>
          <w:p w14:paraId="4D8BBE5F">
            <w:pPr>
              <w:spacing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《中华人民共和国安全生产法》（中华人民共和国主席令第七十号，中华人民共和国主席令第八十八号修改）</w:t>
            </w:r>
          </w:p>
          <w:p w14:paraId="5E11DEB9">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第七十八条</w:t>
            </w:r>
          </w:p>
        </w:tc>
        <w:tc>
          <w:tcPr>
            <w:tcW w:w="2126" w:type="dxa"/>
            <w:tcBorders>
              <w:top w:val="single" w:color="auto" w:sz="4" w:space="0"/>
              <w:left w:val="single" w:color="auto" w:sz="4" w:space="0"/>
              <w:bottom w:val="single" w:color="auto" w:sz="4" w:space="0"/>
              <w:right w:val="single" w:color="auto" w:sz="4" w:space="0"/>
            </w:tcBorders>
            <w:vAlign w:val="center"/>
          </w:tcPr>
          <w:p w14:paraId="5D101A13">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企业制定了生产安全事故应急救援预案。</w:t>
            </w:r>
          </w:p>
        </w:tc>
        <w:tc>
          <w:tcPr>
            <w:tcW w:w="709" w:type="dxa"/>
            <w:tcBorders>
              <w:top w:val="single" w:color="auto" w:sz="4" w:space="0"/>
              <w:left w:val="single" w:color="auto" w:sz="4" w:space="0"/>
              <w:bottom w:val="single" w:color="auto" w:sz="4" w:space="0"/>
              <w:right w:val="single" w:color="auto" w:sz="4" w:space="0"/>
            </w:tcBorders>
            <w:vAlign w:val="center"/>
          </w:tcPr>
          <w:p w14:paraId="65A43345">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7EBB2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682D002C">
            <w:pPr>
              <w:numPr>
                <w:ilvl w:val="0"/>
                <w:numId w:val="1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3586FEFA">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矿山、金属冶炼、建筑施工企业和易燃易爆物品、危险化学品的生产、经营（带储存设施的，下同）、储存企业，以及使用危险化学品达到国家规定数量的化工企业、烟花爆竹生产、批发经营企业和中型规模以上的其他生产经营单位，应当对本单位编制的应急预案进行评审，并形成书面评审纪要。</w:t>
            </w:r>
          </w:p>
          <w:p w14:paraId="528A1DFE">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前款规定以外的其他生产经营单位应当对本单位编制的应急预案进行论证。</w:t>
            </w:r>
          </w:p>
        </w:tc>
        <w:tc>
          <w:tcPr>
            <w:tcW w:w="2127" w:type="dxa"/>
            <w:tcBorders>
              <w:top w:val="single" w:color="auto" w:sz="4" w:space="0"/>
              <w:left w:val="single" w:color="auto" w:sz="4" w:space="0"/>
              <w:bottom w:val="single" w:color="auto" w:sz="4" w:space="0"/>
              <w:right w:val="single" w:color="auto" w:sz="4" w:space="0"/>
            </w:tcBorders>
            <w:vAlign w:val="center"/>
          </w:tcPr>
          <w:p w14:paraId="35565B27">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w:t>
            </w:r>
          </w:p>
          <w:p w14:paraId="1F33DB19">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（国家安全生产监督管理总局令第88号，根据应急管理部2号令修正）</w:t>
            </w:r>
          </w:p>
          <w:p w14:paraId="7A840A64">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第二十一条</w:t>
            </w:r>
          </w:p>
        </w:tc>
        <w:tc>
          <w:tcPr>
            <w:tcW w:w="2126" w:type="dxa"/>
            <w:tcBorders>
              <w:top w:val="single" w:color="auto" w:sz="4" w:space="0"/>
              <w:left w:val="single" w:color="auto" w:sz="4" w:space="0"/>
              <w:bottom w:val="single" w:color="auto" w:sz="4" w:space="0"/>
              <w:right w:val="single" w:color="auto" w:sz="4" w:space="0"/>
            </w:tcBorders>
            <w:vAlign w:val="center"/>
          </w:tcPr>
          <w:p w14:paraId="1490B337">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企业制定了生产安全事故应急救援预案，并对应急预案进行评审，形成书面评审纪要。</w:t>
            </w:r>
          </w:p>
        </w:tc>
        <w:tc>
          <w:tcPr>
            <w:tcW w:w="709" w:type="dxa"/>
            <w:tcBorders>
              <w:top w:val="single" w:color="auto" w:sz="4" w:space="0"/>
              <w:left w:val="single" w:color="auto" w:sz="4" w:space="0"/>
              <w:bottom w:val="single" w:color="auto" w:sz="4" w:space="0"/>
              <w:right w:val="single" w:color="auto" w:sz="4" w:space="0"/>
            </w:tcBorders>
            <w:vAlign w:val="center"/>
          </w:tcPr>
          <w:p w14:paraId="768A0AC8">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26664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5AAFF47F">
            <w:pPr>
              <w:numPr>
                <w:ilvl w:val="0"/>
                <w:numId w:val="1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585195BB">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tc>
        <w:tc>
          <w:tcPr>
            <w:tcW w:w="2127" w:type="dxa"/>
            <w:tcBorders>
              <w:top w:val="single" w:color="auto" w:sz="4" w:space="0"/>
              <w:left w:val="single" w:color="auto" w:sz="4" w:space="0"/>
              <w:bottom w:val="single" w:color="auto" w:sz="4" w:space="0"/>
              <w:right w:val="single" w:color="auto" w:sz="4" w:space="0"/>
            </w:tcBorders>
            <w:vAlign w:val="center"/>
          </w:tcPr>
          <w:p w14:paraId="4AF5A661">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w:t>
            </w:r>
          </w:p>
          <w:p w14:paraId="730F73CE">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（国家安全生产监督管理总局令第88号，根据应急管理部2号令修正）</w:t>
            </w:r>
          </w:p>
          <w:p w14:paraId="593CA87F">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第二十六条</w:t>
            </w:r>
          </w:p>
        </w:tc>
        <w:tc>
          <w:tcPr>
            <w:tcW w:w="2126" w:type="dxa"/>
            <w:tcBorders>
              <w:top w:val="single" w:color="auto" w:sz="4" w:space="0"/>
              <w:left w:val="single" w:color="auto" w:sz="4" w:space="0"/>
              <w:bottom w:val="single" w:color="auto" w:sz="4" w:space="0"/>
              <w:right w:val="single" w:color="auto" w:sz="4" w:space="0"/>
            </w:tcBorders>
            <w:vAlign w:val="center"/>
          </w:tcPr>
          <w:p w14:paraId="3E0D8C8B">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已报送应急管理局备案。</w:t>
            </w:r>
          </w:p>
        </w:tc>
        <w:tc>
          <w:tcPr>
            <w:tcW w:w="709" w:type="dxa"/>
            <w:tcBorders>
              <w:top w:val="single" w:color="auto" w:sz="4" w:space="0"/>
              <w:left w:val="single" w:color="auto" w:sz="4" w:space="0"/>
              <w:bottom w:val="single" w:color="auto" w:sz="4" w:space="0"/>
              <w:right w:val="single" w:color="auto" w:sz="4" w:space="0"/>
            </w:tcBorders>
            <w:vAlign w:val="center"/>
          </w:tcPr>
          <w:p w14:paraId="5C356AA9">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F8F3C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6719B8DC">
            <w:pPr>
              <w:numPr>
                <w:ilvl w:val="0"/>
                <w:numId w:val="1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11091EDF">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各级应急管理部门应当将本部门应急预案的培训纳入安全生产培训工作计划，并组织实施本行政区域内重点生产经营单位的应急预案培训工作。</w:t>
            </w:r>
          </w:p>
          <w:p w14:paraId="36907E1B">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生产经营单位应当组织开展本单位的应急预案、应急知识、自救互救和避险逃生技能的培训活动，使有关人员了解应急预案内容，熟悉应急职责、应急处置程序和措施。</w:t>
            </w:r>
          </w:p>
          <w:p w14:paraId="6F8C04ED">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应急培训的时间、地点、内容、师资、参加人员和考核结果等情况应当如实记入本单位的安全生产教育和培训档案。</w:t>
            </w:r>
          </w:p>
        </w:tc>
        <w:tc>
          <w:tcPr>
            <w:tcW w:w="2127" w:type="dxa"/>
            <w:tcBorders>
              <w:top w:val="single" w:color="auto" w:sz="4" w:space="0"/>
              <w:left w:val="single" w:color="auto" w:sz="4" w:space="0"/>
              <w:bottom w:val="single" w:color="auto" w:sz="4" w:space="0"/>
              <w:right w:val="single" w:color="auto" w:sz="4" w:space="0"/>
            </w:tcBorders>
            <w:vAlign w:val="center"/>
          </w:tcPr>
          <w:p w14:paraId="4D000CAD">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w:t>
            </w:r>
          </w:p>
          <w:p w14:paraId="5E1DA3F8">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（国家安全生产监督管理总局令第88号，根据应急管理部2号令修正）</w:t>
            </w:r>
          </w:p>
          <w:p w14:paraId="2D143738">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bookmarkStart w:id="768" w:name="_Toc2253647"/>
            <w:bookmarkStart w:id="769" w:name="_Toc523950027"/>
            <w:bookmarkStart w:id="770" w:name="_Toc494296193"/>
            <w:bookmarkStart w:id="771" w:name="_Toc510859842"/>
            <w:r>
              <w:rPr>
                <w:rFonts w:hint="eastAsia" w:ascii="宋体" w:hAnsi="宋体" w:eastAsia="宋体" w:cs="宋体"/>
                <w:color w:val="000000" w:themeColor="text1"/>
                <w:sz w:val="21"/>
                <w:szCs w:val="21"/>
                <w14:textFill>
                  <w14:solidFill>
                    <w14:schemeClr w14:val="tx1"/>
                  </w14:solidFill>
                </w14:textFill>
              </w:rPr>
              <w:t>第三十一条</w:t>
            </w:r>
            <w:bookmarkEnd w:id="768"/>
            <w:bookmarkEnd w:id="769"/>
            <w:bookmarkEnd w:id="770"/>
            <w:bookmarkEnd w:id="771"/>
          </w:p>
        </w:tc>
        <w:tc>
          <w:tcPr>
            <w:tcW w:w="2126" w:type="dxa"/>
            <w:tcBorders>
              <w:top w:val="single" w:color="auto" w:sz="4" w:space="0"/>
              <w:left w:val="single" w:color="auto" w:sz="4" w:space="0"/>
              <w:bottom w:val="single" w:color="auto" w:sz="4" w:space="0"/>
              <w:right w:val="single" w:color="auto" w:sz="4" w:space="0"/>
            </w:tcBorders>
            <w:vAlign w:val="center"/>
          </w:tcPr>
          <w:p w14:paraId="4079D43F">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w:t>
            </w:r>
            <w:r>
              <w:rPr>
                <w:rFonts w:hint="eastAsia" w:ascii="宋体" w:hAnsi="宋体" w:eastAsia="宋体" w:cs="宋体"/>
                <w:color w:val="000000" w:themeColor="text1"/>
                <w:sz w:val="21"/>
                <w:szCs w:val="21"/>
                <w:lang w:val="en-US" w:eastAsia="zh-CN"/>
                <w14:textFill>
                  <w14:solidFill>
                    <w14:schemeClr w14:val="tx1"/>
                  </w14:solidFill>
                </w14:textFill>
              </w:rPr>
              <w:t>按要求</w:t>
            </w:r>
            <w:r>
              <w:rPr>
                <w:rFonts w:hint="eastAsia" w:ascii="宋体" w:hAnsi="宋体" w:eastAsia="宋体" w:cs="宋体"/>
                <w:color w:val="000000" w:themeColor="text1"/>
                <w:sz w:val="21"/>
                <w:szCs w:val="21"/>
                <w14:textFill>
                  <w14:solidFill>
                    <w14:schemeClr w14:val="tx1"/>
                  </w14:solidFill>
                </w14:textFill>
              </w:rPr>
              <w:t>组织开展应急预案、应急知识、自救互救和避险逃生技能的培训活动。</w:t>
            </w:r>
          </w:p>
        </w:tc>
        <w:tc>
          <w:tcPr>
            <w:tcW w:w="709" w:type="dxa"/>
            <w:tcBorders>
              <w:top w:val="single" w:color="auto" w:sz="4" w:space="0"/>
              <w:left w:val="single" w:color="auto" w:sz="4" w:space="0"/>
              <w:bottom w:val="single" w:color="auto" w:sz="4" w:space="0"/>
              <w:right w:val="single" w:color="auto" w:sz="4" w:space="0"/>
            </w:tcBorders>
            <w:vAlign w:val="center"/>
          </w:tcPr>
          <w:p w14:paraId="1E38CB34">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8F833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3B2CCBB8">
            <w:pPr>
              <w:numPr>
                <w:ilvl w:val="0"/>
                <w:numId w:val="1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27F7247E">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生产经营单位应当按照应急预案的规定，落实应急指挥体系、应急救援队伍、应急物资及装备，建立应急物资、装备配备及其使用档案，并对应急物资、装备进行定期检测和维护，使其处于适用状态。</w:t>
            </w:r>
          </w:p>
        </w:tc>
        <w:tc>
          <w:tcPr>
            <w:tcW w:w="2127" w:type="dxa"/>
            <w:tcBorders>
              <w:top w:val="single" w:color="auto" w:sz="4" w:space="0"/>
              <w:left w:val="single" w:color="auto" w:sz="4" w:space="0"/>
              <w:bottom w:val="single" w:color="auto" w:sz="4" w:space="0"/>
              <w:right w:val="single" w:color="auto" w:sz="4" w:space="0"/>
            </w:tcBorders>
            <w:vAlign w:val="center"/>
          </w:tcPr>
          <w:p w14:paraId="7AE1E7CF">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w:t>
            </w:r>
          </w:p>
          <w:p w14:paraId="5A3A1DEB">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（国家安全生产监督管理总局令第88号，根据应急管理部2号令修正）</w:t>
            </w:r>
          </w:p>
          <w:p w14:paraId="7FA6DB8C">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bookmarkStart w:id="772" w:name="_Toc494296195"/>
            <w:bookmarkStart w:id="773" w:name="_Toc523950029"/>
            <w:bookmarkStart w:id="774" w:name="_Toc510859844"/>
            <w:bookmarkStart w:id="775" w:name="_Toc2253649"/>
            <w:r>
              <w:rPr>
                <w:rFonts w:hint="eastAsia" w:ascii="宋体" w:hAnsi="宋体" w:eastAsia="宋体" w:cs="宋体"/>
                <w:color w:val="000000" w:themeColor="text1"/>
                <w:sz w:val="21"/>
                <w:szCs w:val="21"/>
                <w14:textFill>
                  <w14:solidFill>
                    <w14:schemeClr w14:val="tx1"/>
                  </w14:solidFill>
                </w14:textFill>
              </w:rPr>
              <w:t>第三十八条</w:t>
            </w:r>
            <w:bookmarkEnd w:id="772"/>
            <w:bookmarkEnd w:id="773"/>
            <w:bookmarkEnd w:id="774"/>
            <w:bookmarkEnd w:id="775"/>
          </w:p>
        </w:tc>
        <w:tc>
          <w:tcPr>
            <w:tcW w:w="2126" w:type="dxa"/>
            <w:tcBorders>
              <w:top w:val="single" w:color="auto" w:sz="4" w:space="0"/>
              <w:left w:val="single" w:color="auto" w:sz="4" w:space="0"/>
              <w:bottom w:val="single" w:color="auto" w:sz="4" w:space="0"/>
              <w:right w:val="single" w:color="auto" w:sz="4" w:space="0"/>
            </w:tcBorders>
            <w:vAlign w:val="center"/>
          </w:tcPr>
          <w:p w14:paraId="3A0EA47A">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企业按照应急预案的规定，落实了应急指挥体系、应急救援队伍、应急物资及装备，应急物资、装备进行处于适用状态。</w:t>
            </w:r>
          </w:p>
        </w:tc>
        <w:tc>
          <w:tcPr>
            <w:tcW w:w="709" w:type="dxa"/>
            <w:tcBorders>
              <w:top w:val="single" w:color="auto" w:sz="4" w:space="0"/>
              <w:left w:val="single" w:color="auto" w:sz="4" w:space="0"/>
              <w:bottom w:val="single" w:color="auto" w:sz="4" w:space="0"/>
              <w:right w:val="single" w:color="auto" w:sz="4" w:space="0"/>
            </w:tcBorders>
            <w:vAlign w:val="center"/>
          </w:tcPr>
          <w:p w14:paraId="20144B30">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C37BE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27B612B8">
            <w:pPr>
              <w:numPr>
                <w:ilvl w:val="0"/>
                <w:numId w:val="1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shd w:val="clear" w:color="auto" w:fill="auto"/>
            <w:vAlign w:val="center"/>
          </w:tcPr>
          <w:p w14:paraId="5EDF30A9">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生产经营单位应当制定本单位的应急预案演练计划，根据本单位的事故风险特点，每年至少组织一次综合应急预案演练或者专项应急预案演练，每半年至少组织一次现场处置方案演练。</w:t>
            </w:r>
          </w:p>
        </w:tc>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14:paraId="31E67CD2">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《生产安全事故应急预案管理办法》第三十三条</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14:paraId="05281C1B">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w:t>
            </w:r>
            <w:r>
              <w:rPr>
                <w:rFonts w:hint="eastAsia" w:ascii="宋体" w:hAnsi="宋体" w:eastAsia="宋体" w:cs="宋体"/>
                <w:color w:val="000000" w:themeColor="text1"/>
                <w:sz w:val="21"/>
                <w:szCs w:val="21"/>
                <w:lang w:val="en-US" w:eastAsia="zh-CN"/>
                <w14:textFill>
                  <w14:solidFill>
                    <w14:schemeClr w14:val="tx1"/>
                  </w14:solidFill>
                </w14:textFill>
              </w:rPr>
              <w:t>将于近期</w:t>
            </w:r>
            <w:r>
              <w:rPr>
                <w:rFonts w:hint="eastAsia" w:ascii="宋体" w:hAnsi="宋体" w:eastAsia="宋体" w:cs="宋体"/>
                <w:color w:val="000000" w:themeColor="text1"/>
                <w:sz w:val="21"/>
                <w:szCs w:val="21"/>
                <w14:textFill>
                  <w14:solidFill>
                    <w14:schemeClr w14:val="tx1"/>
                  </w14:solidFill>
                </w14:textFill>
              </w:rPr>
              <w:t>组织演练。</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CBC3986">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7EDA730A">
      <w:pPr>
        <w:pStyle w:val="45"/>
        <w:adjustRightInd w:val="0"/>
        <w:snapToGrid w:val="0"/>
        <w:ind w:left="0" w:leftChars="0" w:firstLine="560" w:firstLineChars="200"/>
        <w:rPr>
          <w:rFonts w:hint="eastAsia" w:ascii="宋体" w:hAnsi="宋体" w:eastAsia="宋体" w:cs="宋体"/>
          <w:snapToGrid w:val="0"/>
          <w:color w:val="000000" w:themeColor="text1"/>
          <w:lang w:val="en-US" w:eastAsia="zh-CN"/>
          <w14:textFill>
            <w14:solidFill>
              <w14:schemeClr w14:val="tx1"/>
            </w14:solidFill>
          </w14:textFill>
        </w:rPr>
      </w:pPr>
      <w:r>
        <w:rPr>
          <w:rFonts w:hint="eastAsia" w:ascii="宋体" w:hAnsi="宋体" w:eastAsia="宋体" w:cs="宋体"/>
          <w:snapToGrid w:val="0"/>
          <w:color w:val="000000" w:themeColor="text1"/>
          <w:lang w:val="en-US" w:eastAsia="zh-CN"/>
          <w14:textFill>
            <w14:solidFill>
              <w14:schemeClr w14:val="tx1"/>
            </w14:solidFill>
          </w14:textFill>
        </w:rPr>
        <w:t>玉溪正宇智能科技有限公司</w:t>
      </w:r>
      <w:r>
        <w:rPr>
          <w:rFonts w:hint="eastAsia" w:ascii="宋体" w:hAnsi="宋体" w:eastAsia="宋体" w:cs="宋体"/>
          <w:snapToGrid w:val="0"/>
          <w:color w:val="000000" w:themeColor="text1"/>
          <w14:textFill>
            <w14:solidFill>
              <w14:schemeClr w14:val="tx1"/>
            </w14:solidFill>
          </w14:textFill>
        </w:rPr>
        <w:t>编制了生产安全事故综合应急预案，组织专家对预案进行了评审，颁布实施，已备案</w:t>
      </w:r>
      <w:r>
        <w:rPr>
          <w:rFonts w:hint="eastAsia" w:ascii="宋体" w:hAnsi="宋体" w:eastAsia="宋体" w:cs="宋体"/>
          <w:snapToGrid w:val="0"/>
          <w:color w:val="000000" w:themeColor="text1"/>
          <w:lang w:eastAsia="zh-CN"/>
          <w14:textFill>
            <w14:solidFill>
              <w14:schemeClr w14:val="tx1"/>
            </w14:solidFill>
          </w14:textFill>
        </w:rPr>
        <w:t>，</w:t>
      </w:r>
      <w:r>
        <w:rPr>
          <w:rFonts w:hint="eastAsia" w:ascii="宋体" w:hAnsi="宋体" w:eastAsia="宋体" w:cs="宋体"/>
          <w:snapToGrid w:val="0"/>
          <w:color w:val="000000" w:themeColor="text1"/>
          <w:lang w:val="en-US" w:eastAsia="zh-CN"/>
          <w14:textFill>
            <w14:solidFill>
              <w14:schemeClr w14:val="tx1"/>
            </w14:solidFill>
          </w14:textFill>
        </w:rPr>
        <w:t>并能定期组织演练。</w:t>
      </w:r>
    </w:p>
    <w:p w14:paraId="2A4B211C">
      <w:pPr>
        <w:pStyle w:val="4"/>
        <w:keepNext/>
        <w:keepLines/>
        <w:pageBreakBefore w:val="0"/>
        <w:widowControl w:val="0"/>
        <w:kinsoku/>
        <w:wordWrap/>
        <w:overflowPunct/>
        <w:topLinePunct w:val="0"/>
        <w:autoSpaceDE/>
        <w:autoSpaceDN/>
        <w:bidi w:val="0"/>
        <w:adjustRightInd/>
        <w:snapToGrid w:val="0"/>
        <w:spacing w:before="0" w:after="0" w:line="520" w:lineRule="exact"/>
        <w:ind w:leftChars="0"/>
        <w:jc w:val="both"/>
        <w:textAlignment w:val="auto"/>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bookmarkStart w:id="776" w:name="_Toc18420"/>
      <w:bookmarkStart w:id="777" w:name="_Toc8417"/>
      <w:bookmarkStart w:id="778" w:name="_Toc19155"/>
      <w:bookmarkStart w:id="779" w:name="_Toc959"/>
      <w:bookmarkStart w:id="780" w:name="_Toc27751"/>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5.5.3 单元小结</w:t>
      </w:r>
      <w:bookmarkEnd w:id="776"/>
      <w:bookmarkEnd w:id="777"/>
      <w:bookmarkEnd w:id="778"/>
      <w:bookmarkEnd w:id="779"/>
      <w:bookmarkEnd w:id="780"/>
    </w:p>
    <w:p w14:paraId="69704B5A">
      <w:pPr>
        <w:keepNext w:val="0"/>
        <w:keepLines w:val="0"/>
        <w:pageBreakBefore w:val="0"/>
        <w:widowControl w:val="0"/>
        <w:numPr>
          <w:ilvl w:val="0"/>
          <w:numId w:val="1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企业结合自身实际成立了安全</w:t>
      </w:r>
      <w:r>
        <w:rPr>
          <w:rFonts w:hint="eastAsia" w:ascii="宋体" w:hAnsi="宋体" w:eastAsia="宋体" w:cs="宋体"/>
          <w:color w:val="000000" w:themeColor="text1"/>
          <w:sz w:val="28"/>
          <w:szCs w:val="28"/>
          <w:lang w:eastAsia="zh-CN"/>
          <w14:textFill>
            <w14:solidFill>
              <w14:schemeClr w14:val="tx1"/>
            </w14:solidFill>
          </w14:textFill>
        </w:rPr>
        <w:t>生产</w:t>
      </w:r>
      <w:r>
        <w:rPr>
          <w:rFonts w:hint="eastAsia" w:ascii="宋体" w:hAnsi="宋体" w:eastAsia="宋体" w:cs="宋体"/>
          <w:color w:val="000000" w:themeColor="text1"/>
          <w:sz w:val="28"/>
          <w:szCs w:val="28"/>
          <w14:textFill>
            <w14:solidFill>
              <w14:schemeClr w14:val="tx1"/>
            </w14:solidFill>
          </w14:textFill>
        </w:rPr>
        <w:t>领导小组，并任命了专职安全管理人员，建立了全员安全生产责任制、安全管理规章制度、安全操作规程及安全</w:t>
      </w:r>
      <w:r>
        <w:rPr>
          <w:rFonts w:hint="eastAsia" w:ascii="宋体" w:hAnsi="宋体" w:eastAsia="宋体" w:cs="宋体"/>
          <w:color w:val="000000" w:themeColor="text1"/>
          <w:sz w:val="28"/>
          <w:szCs w:val="28"/>
          <w:lang w:eastAsia="zh-CN"/>
          <w14:textFill>
            <w14:solidFill>
              <w14:schemeClr w14:val="tx1"/>
            </w14:solidFill>
          </w14:textFill>
        </w:rPr>
        <w:t>管理台账</w:t>
      </w:r>
      <w:r>
        <w:rPr>
          <w:rFonts w:hint="eastAsia" w:ascii="宋体" w:hAnsi="宋体" w:eastAsia="宋体" w:cs="宋体"/>
          <w:color w:val="000000" w:themeColor="text1"/>
          <w:sz w:val="28"/>
          <w:szCs w:val="28"/>
          <w14:textFill>
            <w14:solidFill>
              <w14:schemeClr w14:val="tx1"/>
            </w14:solidFill>
          </w14:textFill>
        </w:rPr>
        <w:t>，为企业职工配发了劳动防护用品。</w:t>
      </w:r>
    </w:p>
    <w:p w14:paraId="18B3AF1D">
      <w:pPr>
        <w:keepNext w:val="0"/>
        <w:keepLines w:val="0"/>
        <w:pageBreakBefore w:val="0"/>
        <w:widowControl w:val="0"/>
        <w:numPr>
          <w:ilvl w:val="0"/>
          <w:numId w:val="1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企业按照应急预案的规定，</w:t>
      </w:r>
      <w:r>
        <w:rPr>
          <w:rFonts w:hint="eastAsia" w:ascii="宋体" w:hAnsi="宋体" w:eastAsia="宋体" w:cs="宋体"/>
          <w:color w:val="000000" w:themeColor="text1"/>
          <w:sz w:val="28"/>
          <w:szCs w:val="28"/>
          <w:lang w:val="en-US" w:eastAsia="zh-CN"/>
          <w14:textFill>
            <w14:solidFill>
              <w14:schemeClr w14:val="tx1"/>
            </w14:solidFill>
          </w14:textFill>
        </w:rPr>
        <w:t>编制了应急预案，</w:t>
      </w:r>
      <w:r>
        <w:rPr>
          <w:rFonts w:hint="eastAsia" w:ascii="宋体" w:hAnsi="宋体" w:eastAsia="宋体" w:cs="宋体"/>
          <w:color w:val="000000" w:themeColor="text1"/>
          <w:sz w:val="28"/>
          <w:szCs w:val="28"/>
          <w14:textFill>
            <w14:solidFill>
              <w14:schemeClr w14:val="tx1"/>
            </w14:solidFill>
          </w14:textFill>
        </w:rPr>
        <w:t>落实了应急指挥体系、应急救援队伍、应急物资及装备，应急物资、装备进行处于适用状态。</w:t>
      </w:r>
      <w:r>
        <w:rPr>
          <w:rFonts w:hint="eastAsia" w:ascii="宋体" w:hAnsi="宋体" w:eastAsia="宋体" w:cs="宋体"/>
          <w:color w:val="000000" w:themeColor="text1"/>
          <w:sz w:val="28"/>
          <w:szCs w:val="28"/>
          <w:lang w:val="en-US" w:eastAsia="zh-CN"/>
          <w14:textFill>
            <w14:solidFill>
              <w14:schemeClr w14:val="tx1"/>
            </w14:solidFill>
          </w14:textFill>
        </w:rPr>
        <w:t>企业预案已按要求到玉溪市红塔区应急管理局进行了备案。</w:t>
      </w:r>
    </w:p>
    <w:p w14:paraId="3D43C40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根据评价分析，安全管理评价单元</w:t>
      </w:r>
      <w:r>
        <w:rPr>
          <w:rFonts w:hint="eastAsia" w:ascii="宋体" w:hAnsi="宋体" w:eastAsia="宋体" w:cs="宋体"/>
          <w:color w:val="000000" w:themeColor="text1"/>
          <w:sz w:val="28"/>
          <w:szCs w:val="28"/>
          <w14:textFill>
            <w14:solidFill>
              <w14:schemeClr w14:val="tx1"/>
            </w14:solidFill>
          </w14:textFill>
        </w:rPr>
        <w:t>符合</w:t>
      </w:r>
      <w:r>
        <w:rPr>
          <w:rFonts w:hint="eastAsia" w:ascii="宋体" w:hAnsi="宋体" w:eastAsia="宋体" w:cs="宋体"/>
          <w:color w:val="000000" w:themeColor="text1"/>
          <w:sz w:val="28"/>
          <w:szCs w:val="28"/>
          <w:lang w:val="en-US" w:eastAsia="zh-CN"/>
          <w14:textFill>
            <w14:solidFill>
              <w14:schemeClr w14:val="tx1"/>
            </w14:solidFill>
          </w14:textFill>
        </w:rPr>
        <w:t>相关法律规范的</w:t>
      </w:r>
      <w:r>
        <w:rPr>
          <w:rFonts w:hint="eastAsia" w:ascii="宋体" w:hAnsi="宋体" w:eastAsia="宋体" w:cs="宋体"/>
          <w:color w:val="000000" w:themeColor="text1"/>
          <w:sz w:val="28"/>
          <w:szCs w:val="28"/>
          <w14:textFill>
            <w14:solidFill>
              <w14:schemeClr w14:val="tx1"/>
            </w14:solidFill>
          </w14:textFill>
        </w:rPr>
        <w:t>要求。</w:t>
      </w:r>
    </w:p>
    <w:p w14:paraId="5CAC408E">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14:textFill>
            <w14:solidFill>
              <w14:schemeClr w14:val="tx1"/>
            </w14:solidFill>
          </w14:textFill>
        </w:rPr>
      </w:pPr>
      <w:bookmarkStart w:id="781" w:name="_Toc28589"/>
      <w:bookmarkStart w:id="782" w:name="_Toc15947"/>
      <w:bookmarkStart w:id="783" w:name="_Toc28932"/>
      <w:r>
        <w:rPr>
          <w:rFonts w:hint="eastAsia" w:ascii="宋体" w:hAnsi="宋体" w:eastAsia="宋体" w:cs="宋体"/>
          <w:color w:val="000000" w:themeColor="text1"/>
          <w:kern w:val="0"/>
          <w14:textFill>
            <w14:solidFill>
              <w14:schemeClr w14:val="tx1"/>
            </w14:solidFill>
          </w14:textFill>
        </w:rPr>
        <w:t>5.6 重大事故隐患</w:t>
      </w:r>
      <w:r>
        <w:rPr>
          <w:rFonts w:hint="eastAsia" w:ascii="宋体" w:hAnsi="宋体" w:eastAsia="宋体" w:cs="宋体"/>
          <w:color w:val="000000" w:themeColor="text1"/>
          <w:kern w:val="0"/>
          <w:lang w:val="en-US" w:eastAsia="zh-CN"/>
          <w14:textFill>
            <w14:solidFill>
              <w14:schemeClr w14:val="tx1"/>
            </w14:solidFill>
          </w14:textFill>
        </w:rPr>
        <w:t>评价</w:t>
      </w:r>
      <w:r>
        <w:rPr>
          <w:rFonts w:hint="eastAsia" w:ascii="宋体" w:hAnsi="宋体" w:eastAsia="宋体" w:cs="宋体"/>
          <w:color w:val="000000" w:themeColor="text1"/>
          <w:kern w:val="0"/>
          <w14:textFill>
            <w14:solidFill>
              <w14:schemeClr w14:val="tx1"/>
            </w14:solidFill>
          </w14:textFill>
        </w:rPr>
        <w:t>单元</w:t>
      </w:r>
      <w:bookmarkEnd w:id="781"/>
      <w:bookmarkEnd w:id="782"/>
      <w:bookmarkEnd w:id="783"/>
    </w:p>
    <w:p w14:paraId="0D8689E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根据</w:t>
      </w:r>
      <w:r>
        <w:rPr>
          <w:rFonts w:hint="eastAsia" w:ascii="宋体" w:hAnsi="宋体" w:eastAsia="宋体" w:cs="宋体"/>
          <w:color w:val="000000" w:themeColor="text1"/>
          <w:sz w:val="28"/>
          <w:szCs w:val="28"/>
          <w14:textFill>
            <w14:solidFill>
              <w14:schemeClr w14:val="tx1"/>
            </w14:solidFill>
          </w14:textFill>
        </w:rPr>
        <w:t>《工贸企业重大事故隐患判定标准》（中华人民共和国应急管理部令〔</w:t>
      </w:r>
      <w:r>
        <w:rPr>
          <w:rFonts w:hint="eastAsia" w:ascii="宋体" w:hAnsi="宋体" w:eastAsia="宋体" w:cs="宋体"/>
          <w:color w:val="000000" w:themeColor="text1"/>
          <w:sz w:val="28"/>
          <w:szCs w:val="28"/>
          <w:lang w:val="en-US" w:eastAsia="zh-CN"/>
          <w14:textFill>
            <w14:solidFill>
              <w14:schemeClr w14:val="tx1"/>
            </w14:solidFill>
          </w14:textFill>
        </w:rPr>
        <w:t>2023</w:t>
      </w:r>
      <w:r>
        <w:rPr>
          <w:rFonts w:hint="eastAsia" w:ascii="宋体" w:hAnsi="宋体" w:eastAsia="宋体" w:cs="宋体"/>
          <w:color w:val="000000" w:themeColor="text1"/>
          <w:sz w:val="28"/>
          <w:szCs w:val="28"/>
          <w14:textFill>
            <w14:solidFill>
              <w14:schemeClr w14:val="tx1"/>
            </w14:solidFill>
          </w14:textFill>
        </w:rPr>
        <w:t xml:space="preserve">〕第10号）的内容，对该项目在生产过程中，可能存在的重大生产安全事故隐患进行检查。具体检查情况如下： </w:t>
      </w:r>
    </w:p>
    <w:p w14:paraId="1E2A0BA6">
      <w:pPr>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表5-1</w:t>
      </w:r>
      <w:r>
        <w:rPr>
          <w:rFonts w:hint="eastAsia" w:ascii="宋体" w:hAnsi="宋体" w:eastAsia="宋体" w:cs="宋体"/>
          <w:b/>
          <w:bCs/>
          <w:color w:val="000000" w:themeColor="text1"/>
          <w:szCs w:val="21"/>
          <w:lang w:val="en-US" w:eastAsia="zh-CN"/>
          <w14:textFill>
            <w14:solidFill>
              <w14:schemeClr w14:val="tx1"/>
            </w14:solidFill>
          </w14:textFill>
        </w:rPr>
        <w:t>1</w:t>
      </w:r>
      <w:r>
        <w:rPr>
          <w:rFonts w:hint="eastAsia" w:ascii="宋体" w:hAnsi="宋体" w:eastAsia="宋体" w:cs="宋体"/>
          <w:b/>
          <w:bCs/>
          <w:color w:val="000000" w:themeColor="text1"/>
          <w:szCs w:val="21"/>
          <w14:textFill>
            <w14:solidFill>
              <w14:schemeClr w14:val="tx1"/>
            </w14:solidFill>
          </w14:textFill>
        </w:rPr>
        <w:t>重大生产安全事故隐患检查表</w:t>
      </w:r>
    </w:p>
    <w:tbl>
      <w:tblPr>
        <w:tblStyle w:val="24"/>
        <w:tblW w:w="9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3995"/>
        <w:gridCol w:w="1789"/>
        <w:gridCol w:w="1950"/>
        <w:gridCol w:w="1150"/>
      </w:tblGrid>
      <w:tr w14:paraId="43B42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642" w:type="dxa"/>
            <w:vAlign w:val="center"/>
          </w:tcPr>
          <w:p w14:paraId="04A29F3A">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995" w:type="dxa"/>
            <w:vAlign w:val="center"/>
          </w:tcPr>
          <w:p w14:paraId="71462DF4">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条款内容</w:t>
            </w:r>
          </w:p>
        </w:tc>
        <w:tc>
          <w:tcPr>
            <w:tcW w:w="1789" w:type="dxa"/>
            <w:vAlign w:val="center"/>
          </w:tcPr>
          <w:p w14:paraId="78B6AE90">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检查依据</w:t>
            </w:r>
          </w:p>
        </w:tc>
        <w:tc>
          <w:tcPr>
            <w:tcW w:w="1950" w:type="dxa"/>
            <w:vAlign w:val="center"/>
          </w:tcPr>
          <w:p w14:paraId="074C3EB4">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1150" w:type="dxa"/>
            <w:vAlign w:val="center"/>
          </w:tcPr>
          <w:p w14:paraId="33430B8D">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是否构成重大隐患</w:t>
            </w:r>
          </w:p>
        </w:tc>
      </w:tr>
      <w:tr w14:paraId="2BC2C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0671B58C">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3995" w:type="dxa"/>
            <w:vAlign w:val="center"/>
          </w:tcPr>
          <w:p w14:paraId="533920F8">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（一）未对承包单位、承租单位的安全生产工作统一协调、管理，或者未定期进行安全检查的；</w:t>
            </w:r>
          </w:p>
        </w:tc>
        <w:tc>
          <w:tcPr>
            <w:tcW w:w="1789" w:type="dxa"/>
            <w:vMerge w:val="restart"/>
            <w:vAlign w:val="center"/>
          </w:tcPr>
          <w:p w14:paraId="2F35D794">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《工贸企业重大事故隐患判定标准》（中华人民共和国应急管理部令第10号）第三条</w:t>
            </w:r>
          </w:p>
        </w:tc>
        <w:tc>
          <w:tcPr>
            <w:tcW w:w="1950" w:type="dxa"/>
            <w:vAlign w:val="center"/>
          </w:tcPr>
          <w:p w14:paraId="692BB8BE">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对外委检维修的安全生产工作统一协调、管理</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并签订协议。</w:t>
            </w:r>
          </w:p>
        </w:tc>
        <w:tc>
          <w:tcPr>
            <w:tcW w:w="1150" w:type="dxa"/>
            <w:vAlign w:val="center"/>
          </w:tcPr>
          <w:p w14:paraId="7B9DE1A2">
            <w:pPr>
              <w:pStyle w:val="48"/>
              <w:overflowPunct w:val="0"/>
              <w:snapToGrid w:val="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否</w:t>
            </w:r>
          </w:p>
        </w:tc>
      </w:tr>
      <w:tr w14:paraId="4014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5CCF36F9">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3995" w:type="dxa"/>
            <w:vAlign w:val="center"/>
          </w:tcPr>
          <w:p w14:paraId="60DC2A97">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（二）特种作业人员未按照规定经专门的安全作业培训并取得相应资格，上岗作业的；</w:t>
            </w:r>
          </w:p>
        </w:tc>
        <w:tc>
          <w:tcPr>
            <w:tcW w:w="1789" w:type="dxa"/>
            <w:vMerge w:val="continue"/>
            <w:vAlign w:val="center"/>
          </w:tcPr>
          <w:p w14:paraId="6D047C9F">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0A33FC86">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该项目</w:t>
            </w:r>
            <w:r>
              <w:rPr>
                <w:rFonts w:hint="eastAsia" w:ascii="宋体" w:hAnsi="宋体" w:eastAsia="宋体" w:cs="宋体"/>
                <w:color w:val="000000" w:themeColor="text1"/>
                <w:sz w:val="21"/>
                <w:szCs w:val="21"/>
                <w14:textFill>
                  <w14:solidFill>
                    <w14:schemeClr w14:val="tx1"/>
                  </w14:solidFill>
                </w14:textFill>
              </w:rPr>
              <w:t>特种作业人员</w:t>
            </w:r>
            <w:r>
              <w:rPr>
                <w:rFonts w:hint="eastAsia" w:hAnsi="宋体" w:eastAsia="宋体" w:cs="宋体"/>
                <w:color w:val="000000" w:themeColor="text1"/>
                <w:sz w:val="21"/>
                <w:szCs w:val="21"/>
                <w:lang w:val="en-US" w:eastAsia="zh-CN"/>
                <w14:textFill>
                  <w14:solidFill>
                    <w14:schemeClr w14:val="tx1"/>
                  </w14:solidFill>
                </w14:textFill>
              </w:rPr>
              <w:t>均持证</w:t>
            </w:r>
            <w:r>
              <w:rPr>
                <w:rFonts w:hint="eastAsia" w:ascii="宋体" w:hAnsi="宋体" w:eastAsia="宋体" w:cs="宋体"/>
                <w:color w:val="000000" w:themeColor="text1"/>
                <w:sz w:val="21"/>
                <w:szCs w:val="21"/>
                <w:lang w:eastAsia="zh-CN"/>
                <w14:textFill>
                  <w14:solidFill>
                    <w14:schemeClr w14:val="tx1"/>
                  </w14:solidFill>
                </w14:textFill>
              </w:rPr>
              <w:t>。</w:t>
            </w:r>
          </w:p>
        </w:tc>
        <w:tc>
          <w:tcPr>
            <w:tcW w:w="1150" w:type="dxa"/>
            <w:vAlign w:val="center"/>
          </w:tcPr>
          <w:p w14:paraId="594E42C4">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否</w:t>
            </w:r>
          </w:p>
        </w:tc>
      </w:tr>
      <w:tr w14:paraId="40A56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24716CBD">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3995" w:type="dxa"/>
            <w:vAlign w:val="center"/>
          </w:tcPr>
          <w:p w14:paraId="5C0987A2">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（三）金属冶炼企业主要负责人、安全生产管理人员未按照规定经考核合格的。</w:t>
            </w:r>
          </w:p>
        </w:tc>
        <w:tc>
          <w:tcPr>
            <w:tcW w:w="1789" w:type="dxa"/>
            <w:vMerge w:val="continue"/>
            <w:vAlign w:val="center"/>
          </w:tcPr>
          <w:p w14:paraId="10E81DB1">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7048007D">
            <w:pPr>
              <w:pStyle w:val="48"/>
              <w:overflowPunct w:val="0"/>
              <w:snapToGrid w:val="0"/>
              <w:jc w:val="both"/>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该公司不属于金属冶炼企业</w:t>
            </w:r>
            <w:r>
              <w:rPr>
                <w:rFonts w:hint="eastAsia" w:ascii="宋体" w:hAnsi="宋体" w:eastAsia="宋体" w:cs="宋体"/>
                <w:color w:val="000000" w:themeColor="text1"/>
                <w:sz w:val="21"/>
                <w:szCs w:val="21"/>
                <w:lang w:eastAsia="zh-CN"/>
                <w14:textFill>
                  <w14:solidFill>
                    <w14:schemeClr w14:val="tx1"/>
                  </w14:solidFill>
                </w14:textFill>
              </w:rPr>
              <w:t>。</w:t>
            </w:r>
          </w:p>
        </w:tc>
        <w:tc>
          <w:tcPr>
            <w:tcW w:w="1150" w:type="dxa"/>
            <w:vAlign w:val="center"/>
          </w:tcPr>
          <w:p w14:paraId="1D575963">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否</w:t>
            </w:r>
          </w:p>
        </w:tc>
      </w:tr>
      <w:tr w14:paraId="678F5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63729EE6">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3995" w:type="dxa"/>
            <w:vAlign w:val="center"/>
          </w:tcPr>
          <w:p w14:paraId="64A92EB0">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（一）会议室、活动室、休息室、更衣室、交接班室等5类人员聚集场所设置在熔融金属吊运跨或者浇注跨的地坪区域内的；</w:t>
            </w:r>
          </w:p>
        </w:tc>
        <w:tc>
          <w:tcPr>
            <w:tcW w:w="1789" w:type="dxa"/>
            <w:vMerge w:val="restart"/>
            <w:vAlign w:val="center"/>
          </w:tcPr>
          <w:p w14:paraId="19D08E84">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w:t>
            </w:r>
            <w:r>
              <w:rPr>
                <w:rFonts w:hint="eastAsia" w:ascii="宋体" w:hAnsi="宋体" w:eastAsia="宋体" w:cs="宋体"/>
                <w:color w:val="000000" w:themeColor="text1"/>
                <w:sz w:val="21"/>
                <w:szCs w:val="21"/>
                <w:lang w:val="en-US" w:eastAsia="zh-CN"/>
                <w14:textFill>
                  <w14:solidFill>
                    <w14:schemeClr w14:val="tx1"/>
                  </w14:solidFill>
                </w14:textFill>
              </w:rPr>
              <w:t>七</w:t>
            </w:r>
            <w:r>
              <w:rPr>
                <w:rFonts w:hint="eastAsia" w:ascii="宋体" w:hAnsi="宋体" w:eastAsia="宋体" w:cs="宋体"/>
                <w:color w:val="000000" w:themeColor="text1"/>
                <w:sz w:val="21"/>
                <w:szCs w:val="21"/>
                <w14:textFill>
                  <w14:solidFill>
                    <w14:schemeClr w14:val="tx1"/>
                  </w14:solidFill>
                </w14:textFill>
              </w:rPr>
              <w:t>条</w:t>
            </w:r>
            <w:r>
              <w:rPr>
                <w:rFonts w:hint="eastAsia" w:ascii="宋体" w:hAnsi="宋体" w:eastAsia="宋体" w:cs="宋体"/>
                <w:color w:val="000000" w:themeColor="text1"/>
                <w:sz w:val="21"/>
                <w:szCs w:val="21"/>
                <w:lang w:val="en-US" w:eastAsia="zh-CN"/>
                <w14:textFill>
                  <w14:solidFill>
                    <w14:schemeClr w14:val="tx1"/>
                  </w14:solidFill>
                </w14:textFill>
              </w:rPr>
              <w:t xml:space="preserve"> 机械企业有下列情形之一的，应当判定为重大事故隐患：</w:t>
            </w:r>
          </w:p>
          <w:p w14:paraId="32F95FA3">
            <w:pPr>
              <w:rPr>
                <w:rFonts w:hint="eastAsia" w:ascii="宋体" w:hAnsi="宋体" w:eastAsia="宋体" w:cs="宋体"/>
              </w:rPr>
            </w:pPr>
          </w:p>
        </w:tc>
        <w:tc>
          <w:tcPr>
            <w:tcW w:w="1950" w:type="dxa"/>
            <w:vAlign w:val="center"/>
          </w:tcPr>
          <w:p w14:paraId="70F82C66">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vAlign w:val="center"/>
          </w:tcPr>
          <w:p w14:paraId="7BCC4C12">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4A6BF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01A40B91">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3995" w:type="dxa"/>
            <w:vAlign w:val="center"/>
          </w:tcPr>
          <w:p w14:paraId="091857FA">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（二）铸造用熔炼炉、精炼炉、保温炉未设置紧急排放和应急储存设施的；</w:t>
            </w:r>
          </w:p>
        </w:tc>
        <w:tc>
          <w:tcPr>
            <w:tcW w:w="1789" w:type="dxa"/>
            <w:vMerge w:val="continue"/>
            <w:vAlign w:val="center"/>
          </w:tcPr>
          <w:p w14:paraId="2B420075">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1E185E09">
            <w:pPr>
              <w:pStyle w:val="48"/>
              <w:overflowPunct w:val="0"/>
              <w:snapToGrid w:val="0"/>
              <w:ind w:firstLine="630" w:firstLineChars="300"/>
              <w:jc w:val="both"/>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不涉及</w:t>
            </w:r>
          </w:p>
        </w:tc>
        <w:tc>
          <w:tcPr>
            <w:tcW w:w="1150" w:type="dxa"/>
            <w:vAlign w:val="center"/>
          </w:tcPr>
          <w:p w14:paraId="27DC5314">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5165A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2A5FE3A9">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3995" w:type="dxa"/>
            <w:vAlign w:val="center"/>
          </w:tcPr>
          <w:p w14:paraId="3EF17C2C">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（三）生产期间铸造用熔炼炉、精炼炉、保温炉的炉底、炉坑和事故坑，以及熔融金属泄漏、喷溅影响范围内的炉前平台、炉基区域、造型地坑、浇注作业坑和熔融金属转运通道等8类区域存在积水的；</w:t>
            </w:r>
          </w:p>
        </w:tc>
        <w:tc>
          <w:tcPr>
            <w:tcW w:w="1789" w:type="dxa"/>
            <w:vMerge w:val="continue"/>
            <w:vAlign w:val="center"/>
          </w:tcPr>
          <w:p w14:paraId="0F01094B">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35CE2EE8">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vAlign w:val="center"/>
          </w:tcPr>
          <w:p w14:paraId="41EA37A6">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2D59F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jc w:val="center"/>
        </w:trPr>
        <w:tc>
          <w:tcPr>
            <w:tcW w:w="642" w:type="dxa"/>
            <w:vAlign w:val="center"/>
          </w:tcPr>
          <w:p w14:paraId="44874DC3">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3995" w:type="dxa"/>
            <w:vAlign w:val="center"/>
          </w:tcPr>
          <w:p w14:paraId="25E9A931">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（四）铸造用熔炼炉、精炼炉、压铸机、氧枪的冷却水系统未设置出水温度、进出水流量差监测报警装置，或者监测报警装置未与熔融金属加热、输送控制系统联锁的；</w:t>
            </w:r>
          </w:p>
        </w:tc>
        <w:tc>
          <w:tcPr>
            <w:tcW w:w="1789" w:type="dxa"/>
            <w:vMerge w:val="continue"/>
            <w:vAlign w:val="center"/>
          </w:tcPr>
          <w:p w14:paraId="5D1BC4C9">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0D594943">
            <w:pPr>
              <w:pStyle w:val="48"/>
              <w:overflowPunct w:val="0"/>
              <w:snapToGrid w:val="0"/>
              <w:ind w:firstLine="630" w:firstLineChars="30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不涉及</w:t>
            </w:r>
          </w:p>
        </w:tc>
        <w:tc>
          <w:tcPr>
            <w:tcW w:w="1150" w:type="dxa"/>
            <w:vAlign w:val="center"/>
          </w:tcPr>
          <w:p w14:paraId="355C3495">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不涉及</w:t>
            </w:r>
          </w:p>
        </w:tc>
      </w:tr>
      <w:tr w14:paraId="65967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6F45B8BE">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3995" w:type="dxa"/>
            <w:vAlign w:val="center"/>
          </w:tcPr>
          <w:p w14:paraId="4B8DCB2B">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（五）使用煤气（天然气）的燃烧装置的燃气总管未设置管道压力监测报警装置，或者监测报警装置未与紧急自动切断装置联锁，或者燃烧装置未设置火焰监测和熄火保护系统的；</w:t>
            </w:r>
          </w:p>
        </w:tc>
        <w:tc>
          <w:tcPr>
            <w:tcW w:w="1789" w:type="dxa"/>
            <w:vMerge w:val="continue"/>
            <w:vAlign w:val="center"/>
          </w:tcPr>
          <w:p w14:paraId="3EC91A5E">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vAlign w:val="center"/>
          </w:tcPr>
          <w:p w14:paraId="44056403">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vAlign w:val="center"/>
          </w:tcPr>
          <w:p w14:paraId="1DDA9518">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74228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57694304">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w:t>
            </w:r>
          </w:p>
        </w:tc>
        <w:tc>
          <w:tcPr>
            <w:tcW w:w="3995" w:type="dxa"/>
            <w:shd w:val="clear" w:color="auto" w:fill="auto"/>
            <w:vAlign w:val="center"/>
          </w:tcPr>
          <w:p w14:paraId="2511B142">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（六）使用可燃性有机溶剂清洗设备设施、工装器具、地面时，未采取防止可燃气体在周边密闭或者半密闭空间内积聚措施的；</w:t>
            </w:r>
          </w:p>
        </w:tc>
        <w:tc>
          <w:tcPr>
            <w:tcW w:w="1789" w:type="dxa"/>
            <w:vMerge w:val="continue"/>
            <w:shd w:val="clear" w:color="auto" w:fill="auto"/>
            <w:vAlign w:val="center"/>
          </w:tcPr>
          <w:p w14:paraId="440C86B4">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shd w:val="clear" w:color="auto" w:fill="auto"/>
            <w:vAlign w:val="center"/>
          </w:tcPr>
          <w:p w14:paraId="2F986E33">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shd w:val="clear" w:color="auto" w:fill="auto"/>
            <w:vAlign w:val="center"/>
          </w:tcPr>
          <w:p w14:paraId="05C866F5">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00E2D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6B07463F">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p>
        </w:tc>
        <w:tc>
          <w:tcPr>
            <w:tcW w:w="3995" w:type="dxa"/>
            <w:shd w:val="clear" w:color="auto" w:fill="auto"/>
            <w:vAlign w:val="center"/>
          </w:tcPr>
          <w:p w14:paraId="51D0FD7E">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（七）使用非水性漆的调漆间、喷漆室未设置固定式可燃气体浓度监测报警装置或者通风设施的。</w:t>
            </w:r>
          </w:p>
        </w:tc>
        <w:tc>
          <w:tcPr>
            <w:tcW w:w="1789" w:type="dxa"/>
            <w:vMerge w:val="continue"/>
            <w:shd w:val="clear" w:color="auto" w:fill="auto"/>
            <w:vAlign w:val="center"/>
          </w:tcPr>
          <w:p w14:paraId="681C4A34">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shd w:val="clear" w:color="auto" w:fill="auto"/>
            <w:vAlign w:val="center"/>
          </w:tcPr>
          <w:p w14:paraId="2057A36E">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c>
          <w:tcPr>
            <w:tcW w:w="1150" w:type="dxa"/>
            <w:shd w:val="clear" w:color="auto" w:fill="auto"/>
            <w:vAlign w:val="center"/>
          </w:tcPr>
          <w:p w14:paraId="5D257412">
            <w:pPr>
              <w:pStyle w:val="48"/>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不涉及</w:t>
            </w:r>
          </w:p>
        </w:tc>
      </w:tr>
      <w:tr w14:paraId="45D0A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48464196">
            <w:pPr>
              <w:pStyle w:val="48"/>
              <w:overflowPunct w:val="0"/>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eastAsia="宋体" w:cs="宋体"/>
                <w:color w:val="000000" w:themeColor="text1"/>
                <w:sz w:val="21"/>
                <w:szCs w:val="21"/>
                <w:lang w:val="en-US" w:eastAsia="zh-CN"/>
                <w14:textFill>
                  <w14:solidFill>
                    <w14:schemeClr w14:val="tx1"/>
                  </w14:solidFill>
                </w14:textFill>
              </w:rPr>
              <w:t>11</w:t>
            </w:r>
          </w:p>
        </w:tc>
        <w:tc>
          <w:tcPr>
            <w:tcW w:w="3995" w:type="dxa"/>
            <w:shd w:val="clear" w:color="auto" w:fill="auto"/>
            <w:vAlign w:val="center"/>
          </w:tcPr>
          <w:p w14:paraId="1E0DDCA6">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（一）未对有限空间进行辨识、建立安全管理台账，并且未设置明显的安全警示标志的；</w:t>
            </w:r>
          </w:p>
          <w:p w14:paraId="7A5B2F05">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789" w:type="dxa"/>
            <w:vMerge w:val="restart"/>
            <w:shd w:val="clear" w:color="auto" w:fill="auto"/>
            <w:vAlign w:val="center"/>
          </w:tcPr>
          <w:p w14:paraId="14ED0B3E">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w:t>
            </w:r>
            <w:r>
              <w:rPr>
                <w:rFonts w:hint="eastAsia" w:hAnsi="宋体" w:eastAsia="宋体" w:cs="宋体"/>
                <w:color w:val="000000" w:themeColor="text1"/>
                <w:sz w:val="21"/>
                <w:szCs w:val="21"/>
                <w:lang w:val="en-US" w:eastAsia="zh-CN"/>
                <w14:textFill>
                  <w14:solidFill>
                    <w14:schemeClr w14:val="tx1"/>
                  </w14:solidFill>
                </w14:textFill>
              </w:rPr>
              <w:t>十三</w:t>
            </w:r>
            <w:r>
              <w:rPr>
                <w:rFonts w:hint="eastAsia" w:ascii="宋体" w:hAnsi="宋体" w:eastAsia="宋体" w:cs="宋体"/>
                <w:color w:val="000000" w:themeColor="text1"/>
                <w:sz w:val="21"/>
                <w:szCs w:val="21"/>
                <w14:textFill>
                  <w14:solidFill>
                    <w14:schemeClr w14:val="tx1"/>
                  </w14:solidFill>
                </w14:textFill>
              </w:rPr>
              <w:t>条</w:t>
            </w:r>
            <w:r>
              <w:rPr>
                <w:rFonts w:hint="eastAsia" w:ascii="宋体" w:hAnsi="宋体" w:eastAsia="宋体" w:cs="宋体"/>
                <w:color w:val="000000" w:themeColor="text1"/>
                <w:sz w:val="21"/>
                <w:szCs w:val="21"/>
                <w:lang w:val="en-US" w:eastAsia="zh-CN"/>
                <w14:textFill>
                  <w14:solidFill>
                    <w14:schemeClr w14:val="tx1"/>
                  </w14:solidFill>
                </w14:textFill>
              </w:rPr>
              <w:t xml:space="preserve"> 存在硫化氢、一氧化碳等中毒风险的有限空间作业的工贸企业有下列情形之一的，应当判定为重大事故隐患：</w:t>
            </w:r>
          </w:p>
          <w:p w14:paraId="1F4B016F">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shd w:val="clear" w:color="auto" w:fill="auto"/>
            <w:vAlign w:val="center"/>
          </w:tcPr>
          <w:p w14:paraId="78BC3CF5">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hAnsi="宋体" w:eastAsia="宋体" w:cs="宋体"/>
                <w:color w:val="000000" w:themeColor="text1"/>
                <w:sz w:val="21"/>
                <w:szCs w:val="21"/>
                <w:lang w:val="en-US" w:eastAsia="zh-CN"/>
                <w14:textFill>
                  <w14:solidFill>
                    <w14:schemeClr w14:val="tx1"/>
                  </w14:solidFill>
                </w14:textFill>
              </w:rPr>
              <w:t>不涉及</w:t>
            </w:r>
          </w:p>
        </w:tc>
        <w:tc>
          <w:tcPr>
            <w:tcW w:w="1150" w:type="dxa"/>
            <w:shd w:val="clear" w:color="auto" w:fill="auto"/>
            <w:vAlign w:val="center"/>
          </w:tcPr>
          <w:p w14:paraId="39568C55">
            <w:pPr>
              <w:overflowPunct w:val="0"/>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不涉及</w:t>
            </w:r>
          </w:p>
        </w:tc>
      </w:tr>
      <w:tr w14:paraId="1C30D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7ADA8626">
            <w:pPr>
              <w:pStyle w:val="48"/>
              <w:overflowPunct w:val="0"/>
              <w:snapToGrid w:val="0"/>
              <w:jc w:val="center"/>
              <w:rPr>
                <w:rFonts w:hint="default" w:hAnsi="宋体" w:eastAsia="宋体" w:cs="宋体"/>
                <w:color w:val="000000" w:themeColor="text1"/>
                <w:sz w:val="21"/>
                <w:szCs w:val="21"/>
                <w:lang w:val="en-US" w:eastAsia="zh-CN"/>
                <w14:textFill>
                  <w14:solidFill>
                    <w14:schemeClr w14:val="tx1"/>
                  </w14:solidFill>
                </w14:textFill>
              </w:rPr>
            </w:pPr>
            <w:r>
              <w:rPr>
                <w:rFonts w:hint="eastAsia" w:hAnsi="宋体" w:eastAsia="宋体" w:cs="宋体"/>
                <w:color w:val="000000" w:themeColor="text1"/>
                <w:sz w:val="21"/>
                <w:szCs w:val="21"/>
                <w:lang w:val="en-US" w:eastAsia="zh-CN"/>
                <w14:textFill>
                  <w14:solidFill>
                    <w14:schemeClr w14:val="tx1"/>
                  </w14:solidFill>
                </w14:textFill>
              </w:rPr>
              <w:t>12</w:t>
            </w:r>
          </w:p>
        </w:tc>
        <w:tc>
          <w:tcPr>
            <w:tcW w:w="3995" w:type="dxa"/>
            <w:shd w:val="clear" w:color="auto" w:fill="auto"/>
            <w:vAlign w:val="center"/>
          </w:tcPr>
          <w:p w14:paraId="37FED958">
            <w:pPr>
              <w:pStyle w:val="48"/>
              <w:overflowPunct w:val="0"/>
              <w:snapToGrid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（二）未落实有限空间作业审批，或者未执行“先通风、再检测、后作业”要求，或者作业现场未设置监护人员的。</w:t>
            </w:r>
          </w:p>
          <w:p w14:paraId="455FE462">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789" w:type="dxa"/>
            <w:vMerge w:val="continue"/>
            <w:shd w:val="clear" w:color="auto" w:fill="auto"/>
            <w:vAlign w:val="center"/>
          </w:tcPr>
          <w:p w14:paraId="20EEDD90">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p>
        </w:tc>
        <w:tc>
          <w:tcPr>
            <w:tcW w:w="1950" w:type="dxa"/>
            <w:shd w:val="clear" w:color="auto" w:fill="auto"/>
            <w:vAlign w:val="center"/>
          </w:tcPr>
          <w:p w14:paraId="0EE11A6C">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hAnsi="宋体" w:eastAsia="宋体" w:cs="宋体"/>
                <w:color w:val="000000" w:themeColor="text1"/>
                <w:sz w:val="21"/>
                <w:szCs w:val="21"/>
                <w:lang w:val="en-US" w:eastAsia="zh-CN"/>
                <w14:textFill>
                  <w14:solidFill>
                    <w14:schemeClr w14:val="tx1"/>
                  </w14:solidFill>
                </w14:textFill>
              </w:rPr>
              <w:t>不涉及</w:t>
            </w:r>
          </w:p>
        </w:tc>
        <w:tc>
          <w:tcPr>
            <w:tcW w:w="1150" w:type="dxa"/>
            <w:shd w:val="clear" w:color="auto" w:fill="auto"/>
            <w:vAlign w:val="center"/>
          </w:tcPr>
          <w:p w14:paraId="646D9531">
            <w:pPr>
              <w:overflowPunct w:val="0"/>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不涉及</w:t>
            </w:r>
          </w:p>
        </w:tc>
      </w:tr>
      <w:tr w14:paraId="64732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dxa"/>
            <w:vAlign w:val="center"/>
          </w:tcPr>
          <w:p w14:paraId="5F0B77E5">
            <w:pPr>
              <w:pStyle w:val="48"/>
              <w:overflowPunct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hAnsi="宋体" w:eastAsia="宋体" w:cs="宋体"/>
                <w:color w:val="000000" w:themeColor="text1"/>
                <w:sz w:val="21"/>
                <w:szCs w:val="21"/>
                <w:lang w:val="en-US" w:eastAsia="zh-CN"/>
                <w14:textFill>
                  <w14:solidFill>
                    <w14:schemeClr w14:val="tx1"/>
                  </w14:solidFill>
                </w14:textFill>
              </w:rPr>
              <w:t>3</w:t>
            </w:r>
          </w:p>
        </w:tc>
        <w:tc>
          <w:tcPr>
            <w:tcW w:w="3995" w:type="dxa"/>
            <w:shd w:val="clear" w:color="auto" w:fill="auto"/>
            <w:vAlign w:val="center"/>
          </w:tcPr>
          <w:p w14:paraId="7EF189BE">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本标准所列情形中直接关系生产安全的监控、报警、防护等设施、设备、装置，应当保证正常运行、使用，失效或者无效均判定为重大事故隐患。</w:t>
            </w:r>
          </w:p>
        </w:tc>
        <w:tc>
          <w:tcPr>
            <w:tcW w:w="1789" w:type="dxa"/>
            <w:shd w:val="clear" w:color="auto" w:fill="auto"/>
            <w:vAlign w:val="center"/>
          </w:tcPr>
          <w:p w14:paraId="3221582E">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《工贸企业重大事故隐患判定标准》（中华人民共和国应急管理部令第10号）第十四条</w:t>
            </w:r>
          </w:p>
        </w:tc>
        <w:tc>
          <w:tcPr>
            <w:tcW w:w="1950" w:type="dxa"/>
            <w:shd w:val="clear" w:color="auto" w:fill="auto"/>
            <w:vAlign w:val="center"/>
          </w:tcPr>
          <w:p w14:paraId="6E96B640">
            <w:pPr>
              <w:pStyle w:val="48"/>
              <w:overflowPunct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根据现场勘查，该公司防护等设施、设备、装置均能正常运行、使用。</w:t>
            </w:r>
          </w:p>
        </w:tc>
        <w:tc>
          <w:tcPr>
            <w:tcW w:w="1150" w:type="dxa"/>
            <w:shd w:val="clear" w:color="auto" w:fill="auto"/>
            <w:vAlign w:val="center"/>
          </w:tcPr>
          <w:p w14:paraId="769074F1">
            <w:pPr>
              <w:overflowPunct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否</w:t>
            </w:r>
          </w:p>
        </w:tc>
      </w:tr>
    </w:tbl>
    <w:p w14:paraId="4FA8035E">
      <w:pPr>
        <w:pStyle w:val="22"/>
        <w:spacing w:after="0" w:line="500" w:lineRule="exact"/>
        <w:ind w:firstLine="560" w:firstLineChars="200"/>
        <w:rPr>
          <w:rFonts w:hint="eastAsia" w:ascii="宋体" w:hAnsi="宋体" w:eastAsia="宋体" w:cs="宋体"/>
          <w:lang w:val="en-US" w:eastAsia="zh-CN"/>
        </w:rPr>
      </w:pPr>
      <w:r>
        <w:rPr>
          <w:rFonts w:hint="eastAsia" w:ascii="宋体" w:hAnsi="宋体" w:eastAsia="宋体" w:cs="宋体"/>
          <w:color w:val="000000" w:themeColor="text1"/>
          <w:sz w:val="28"/>
          <w:szCs w:val="28"/>
          <w:lang w:val="en-US" w:eastAsia="zh-CN" w:bidi="ar-SA"/>
          <w14:textFill>
            <w14:solidFill>
              <w14:schemeClr w14:val="tx1"/>
            </w14:solidFill>
          </w14:textFill>
        </w:rPr>
        <w:t>根据《工贸企业重大事故隐患判定标准》（中华人民共和国应急管理部令第10号）判定，玉溪正宇智能科技有限公司安全现状评价项目未构成重大事故隐患。</w:t>
      </w:r>
    </w:p>
    <w:p w14:paraId="346C0E2B">
      <w:pPr>
        <w:pStyle w:val="3"/>
        <w:keepNext/>
        <w:keepLines/>
        <w:pageBreakBefore w:val="0"/>
        <w:widowControl w:val="0"/>
        <w:kinsoku/>
        <w:wordWrap/>
        <w:overflowPunct/>
        <w:topLinePunct w:val="0"/>
        <w:autoSpaceDE/>
        <w:autoSpaceDN/>
        <w:bidi w:val="0"/>
        <w:adjustRightInd/>
        <w:snapToGrid w:val="0"/>
        <w:spacing w:before="0" w:after="0" w:line="520" w:lineRule="exact"/>
        <w:jc w:val="both"/>
        <w:textAlignment w:val="auto"/>
        <w:rPr>
          <w:rFonts w:hint="eastAsia" w:ascii="宋体" w:hAnsi="宋体" w:eastAsia="宋体" w:cs="宋体"/>
          <w:color w:val="000000" w:themeColor="text1"/>
          <w:kern w:val="0"/>
          <w:lang w:val="en-US" w:eastAsia="zh-CN"/>
          <w14:textFill>
            <w14:solidFill>
              <w14:schemeClr w14:val="tx1"/>
            </w14:solidFill>
          </w14:textFill>
        </w:rPr>
      </w:pPr>
      <w:bookmarkStart w:id="784" w:name="_Toc15480"/>
      <w:bookmarkStart w:id="785" w:name="_Toc10857"/>
      <w:r>
        <w:rPr>
          <w:rFonts w:hint="eastAsia" w:ascii="宋体" w:hAnsi="宋体" w:eastAsia="宋体" w:cs="宋体"/>
          <w:color w:val="000000" w:themeColor="text1"/>
          <w:kern w:val="0"/>
          <w:lang w:val="en-US" w:eastAsia="zh-CN"/>
          <w14:textFill>
            <w14:solidFill>
              <w14:schemeClr w14:val="tx1"/>
            </w14:solidFill>
          </w14:textFill>
        </w:rPr>
        <w:t>5.7评价小结</w:t>
      </w:r>
      <w:bookmarkEnd w:id="784"/>
      <w:bookmarkEnd w:id="785"/>
    </w:p>
    <w:p w14:paraId="55EFB561">
      <w:pPr>
        <w:pStyle w:val="22"/>
        <w:spacing w:after="0" w:line="500" w:lineRule="exact"/>
        <w:ind w:firstLine="560" w:firstLineChars="200"/>
        <w:rPr>
          <w:rFonts w:hint="default"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通过对该单位安全生产管理现状检查分析，该企业制定了安全管理制度、安全生产责任制、岗位操作规程。主要负责人、安全生产管理人员取得安全合格证；特种作业人员取得了特种作业资格证；从业人员进行了安全教育培训，考核合格后上岗作业；公司有专门的安全投入，并为从业人员购买了工伤保险，编制了《生产安全事故应急预案》。备案证号：530402-2025-0032。</w:t>
      </w:r>
    </w:p>
    <w:p w14:paraId="7015F28C">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p>
    <w:p w14:paraId="0CCEC75A">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p>
    <w:p w14:paraId="0BF40908">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p>
    <w:p w14:paraId="61363B0D">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p>
    <w:p w14:paraId="6966A1A4">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p>
    <w:p w14:paraId="11ABAD0F">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p>
    <w:p w14:paraId="15BFC385">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p>
    <w:p w14:paraId="58F382E1">
      <w:pPr>
        <w:adjustRightInd w:val="0"/>
        <w:snapToGrid w:val="0"/>
        <w:spacing w:line="500" w:lineRule="exact"/>
        <w:rPr>
          <w:rFonts w:hint="eastAsia" w:ascii="宋体" w:hAnsi="宋体" w:eastAsia="宋体" w:cs="宋体"/>
          <w:color w:val="000000" w:themeColor="text1"/>
          <w:sz w:val="28"/>
          <w:szCs w:val="28"/>
          <w14:textFill>
            <w14:solidFill>
              <w14:schemeClr w14:val="tx1"/>
            </w14:solidFill>
          </w14:textFill>
        </w:rPr>
      </w:pPr>
    </w:p>
    <w:p w14:paraId="64A3239B">
      <w:pPr>
        <w:jc w:val="center"/>
        <w:outlineLvl w:val="0"/>
        <w:rPr>
          <w:rFonts w:hint="eastAsia" w:ascii="宋体" w:hAnsi="宋体" w:eastAsia="宋体" w:cs="宋体"/>
          <w:b/>
          <w:bCs/>
          <w:sz w:val="36"/>
          <w:szCs w:val="36"/>
          <w:lang w:val="en-US" w:eastAsia="zh-CN"/>
        </w:rPr>
      </w:pPr>
      <w:bookmarkStart w:id="786" w:name="_Toc17367"/>
      <w:r>
        <w:rPr>
          <w:rFonts w:hint="eastAsia" w:ascii="宋体" w:hAnsi="宋体" w:eastAsia="宋体" w:cs="宋体"/>
          <w:b/>
          <w:bCs/>
          <w:sz w:val="36"/>
          <w:szCs w:val="36"/>
          <w:lang w:val="en-US" w:eastAsia="zh-CN"/>
        </w:rPr>
        <w:t>第6章安全对策措施建议</w:t>
      </w:r>
      <w:bookmarkEnd w:id="786"/>
    </w:p>
    <w:p w14:paraId="71A59CB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787" w:name="_Toc21376"/>
      <w:r>
        <w:rPr>
          <w:rFonts w:hint="eastAsia" w:ascii="宋体" w:hAnsi="宋体" w:eastAsia="宋体" w:cs="宋体"/>
          <w:b/>
          <w:bCs/>
          <w:color w:val="000000"/>
          <w:kern w:val="0"/>
          <w:sz w:val="30"/>
          <w:szCs w:val="30"/>
          <w:lang w:val="en-US" w:eastAsia="zh-CN" w:bidi="ar"/>
        </w:rPr>
        <w:t>6.1存在的问题及整改情况说明</w:t>
      </w:r>
      <w:bookmarkEnd w:id="787"/>
    </w:p>
    <w:p w14:paraId="371AECF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color w:val="000000" w:themeColor="text1"/>
          <w:sz w:val="28"/>
          <w:szCs w:val="28"/>
          <w:lang w:val="en-US" w:eastAsia="zh-CN" w:bidi="ar-SA"/>
          <w14:textFill>
            <w14:solidFill>
              <w14:schemeClr w14:val="tx1"/>
            </w14:solidFill>
          </w14:textFill>
        </w:rPr>
      </w:pPr>
      <w:bookmarkStart w:id="788" w:name="_Toc16269"/>
      <w:r>
        <w:rPr>
          <w:rFonts w:hint="eastAsia" w:ascii="宋体" w:hAnsi="宋体" w:eastAsia="宋体" w:cs="宋体"/>
          <w:b/>
          <w:bCs/>
          <w:color w:val="000000"/>
          <w:kern w:val="0"/>
          <w:sz w:val="28"/>
          <w:szCs w:val="28"/>
          <w:lang w:val="en-US" w:eastAsia="zh-CN" w:bidi="ar"/>
        </w:rPr>
        <w:t>6.1.1存在的主要问题</w:t>
      </w:r>
      <w:bookmarkEnd w:id="788"/>
    </w:p>
    <w:p w14:paraId="43986CF1">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1、行车吊钩防脱钩装置缺失；</w:t>
      </w:r>
    </w:p>
    <w:p w14:paraId="287859B4">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2、生产区域内灭火器未设置日常检查记录；</w:t>
      </w:r>
    </w:p>
    <w:p w14:paraId="1E2F9FFA">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3、生产现场堆放大量可燃物（纸箱等）；</w:t>
      </w:r>
    </w:p>
    <w:p w14:paraId="69289ADF">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4、车间内存在非生产用电动自行车。</w:t>
      </w:r>
    </w:p>
    <w:p w14:paraId="4C6A224B">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outlineLvl w:val="2"/>
        <w:rPr>
          <w:rFonts w:hint="eastAsia" w:ascii="宋体" w:hAnsi="宋体" w:eastAsia="宋体" w:cs="宋体"/>
          <w:b/>
          <w:bCs/>
          <w:sz w:val="28"/>
          <w:szCs w:val="24"/>
          <w:lang w:val="en-US" w:eastAsia="zh-CN"/>
        </w:rPr>
      </w:pPr>
      <w:bookmarkStart w:id="789" w:name="_Toc7684"/>
      <w:bookmarkStart w:id="790" w:name="_Toc29751"/>
      <w:r>
        <w:rPr>
          <w:rFonts w:hint="eastAsia" w:ascii="宋体" w:hAnsi="宋体" w:eastAsia="宋体" w:cs="宋体"/>
          <w:b/>
          <w:bCs/>
          <w:sz w:val="28"/>
          <w:szCs w:val="24"/>
          <w:lang w:val="en-US" w:eastAsia="zh-CN"/>
        </w:rPr>
        <w:t>6.1.2整改建议</w:t>
      </w:r>
      <w:bookmarkEnd w:id="789"/>
      <w:bookmarkEnd w:id="790"/>
    </w:p>
    <w:p w14:paraId="5D3A01FE">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1、全面检查生产用行车，补充防脱钩装置。</w:t>
      </w:r>
    </w:p>
    <w:p w14:paraId="55C361E9">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2、灭火器按规范进行日常检查，并如实记录检查情况。</w:t>
      </w:r>
    </w:p>
    <w:p w14:paraId="728746EC">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3、定期清理现场废弃可燃物。</w:t>
      </w:r>
    </w:p>
    <w:p w14:paraId="17AD9F6A">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4、禁止非生产用车辆进入，并加强日常管理。</w:t>
      </w:r>
    </w:p>
    <w:p w14:paraId="1168E2E4">
      <w:pPr>
        <w:pStyle w:val="35"/>
        <w:keepNext w:val="0"/>
        <w:keepLines w:val="0"/>
        <w:pageBreakBefore w:val="0"/>
        <w:kinsoku/>
        <w:wordWrap/>
        <w:overflowPunct/>
        <w:topLinePunct w:val="0"/>
        <w:bidi w:val="0"/>
        <w:snapToGrid/>
        <w:spacing w:line="600" w:lineRule="exact"/>
        <w:textAlignment w:val="auto"/>
        <w:outlineLvl w:val="2"/>
        <w:rPr>
          <w:rFonts w:hint="eastAsia" w:ascii="宋体" w:hAnsi="宋体" w:eastAsia="宋体" w:cs="宋体"/>
          <w:b/>
          <w:bCs/>
          <w:sz w:val="28"/>
          <w:szCs w:val="24"/>
          <w:lang w:val="en-US" w:eastAsia="zh-CN"/>
        </w:rPr>
      </w:pPr>
      <w:bookmarkStart w:id="791" w:name="_Toc29453"/>
      <w:bookmarkStart w:id="792" w:name="_Toc23618"/>
      <w:r>
        <w:rPr>
          <w:rFonts w:hint="eastAsia" w:ascii="宋体" w:hAnsi="宋体" w:eastAsia="宋体" w:cs="宋体"/>
          <w:b/>
          <w:bCs/>
          <w:sz w:val="28"/>
          <w:szCs w:val="24"/>
          <w:lang w:val="en-US" w:eastAsia="zh-CN"/>
        </w:rPr>
        <w:t>6.1.3整改完成情况</w:t>
      </w:r>
      <w:bookmarkEnd w:id="791"/>
      <w:bookmarkEnd w:id="792"/>
    </w:p>
    <w:p w14:paraId="5B3B112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lang w:val="en-US" w:eastAsia="zh-CN"/>
        </w:rPr>
        <w:t>针对上述问题，企业已认真对照整改，并提供整改反馈见</w:t>
      </w:r>
      <w:r>
        <w:rPr>
          <w:rFonts w:hint="eastAsia" w:ascii="宋体" w:hAnsi="宋体" w:eastAsia="宋体" w:cs="宋体"/>
          <w:sz w:val="28"/>
          <w:szCs w:val="28"/>
          <w:highlight w:val="none"/>
          <w:lang w:val="en-US" w:eastAsia="zh-CN"/>
        </w:rPr>
        <w:t>报告附件</w:t>
      </w:r>
      <w:r>
        <w:rPr>
          <w:rFonts w:hint="eastAsia" w:hAnsi="宋体" w:cs="宋体"/>
          <w:sz w:val="28"/>
          <w:szCs w:val="28"/>
          <w:highlight w:val="none"/>
          <w:lang w:val="en-US" w:eastAsia="zh-CN"/>
        </w:rPr>
        <w:t>24</w:t>
      </w:r>
      <w:r>
        <w:rPr>
          <w:rFonts w:hint="eastAsia" w:ascii="宋体" w:hAnsi="宋体" w:eastAsia="宋体" w:cs="宋体"/>
          <w:sz w:val="28"/>
          <w:szCs w:val="28"/>
          <w:highlight w:val="none"/>
          <w:lang w:val="en-US" w:eastAsia="zh-CN"/>
        </w:rPr>
        <w:t>。</w:t>
      </w:r>
    </w:p>
    <w:p w14:paraId="5C1AE1ED">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hint="eastAsia" w:ascii="宋体" w:hAnsi="宋体" w:eastAsia="宋体" w:cs="宋体"/>
          <w:sz w:val="30"/>
          <w:szCs w:val="30"/>
        </w:rPr>
      </w:pPr>
      <w:bookmarkStart w:id="793" w:name="_Toc24718"/>
      <w:r>
        <w:rPr>
          <w:rFonts w:hint="eastAsia" w:ascii="宋体" w:hAnsi="宋体" w:eastAsia="宋体" w:cs="宋体"/>
          <w:b/>
          <w:bCs/>
          <w:color w:val="000000"/>
          <w:kern w:val="0"/>
          <w:sz w:val="30"/>
          <w:szCs w:val="30"/>
          <w:lang w:val="en-US" w:eastAsia="zh-CN" w:bidi="ar"/>
        </w:rPr>
        <w:t>6.2安全防范措施建议</w:t>
      </w:r>
      <w:bookmarkEnd w:id="793"/>
    </w:p>
    <w:p w14:paraId="292B060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794" w:name="_Toc26238"/>
      <w:r>
        <w:rPr>
          <w:rFonts w:hint="eastAsia" w:ascii="宋体" w:hAnsi="宋体" w:eastAsia="宋体" w:cs="宋体"/>
          <w:b/>
          <w:bCs/>
          <w:color w:val="000000"/>
          <w:kern w:val="0"/>
          <w:sz w:val="28"/>
          <w:szCs w:val="28"/>
          <w:lang w:val="en-US" w:eastAsia="zh-CN" w:bidi="ar"/>
        </w:rPr>
        <w:t>6.2.1厂址及总平面布置方面安全防范措施建议</w:t>
      </w:r>
      <w:bookmarkEnd w:id="794"/>
    </w:p>
    <w:p w14:paraId="363AE1D8">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在生产过程中，要确保各功能区消防安全通道和人行通道畅通，任何部门和个人在任何情况下不能以任何理由占用、堵塞消防安全通道和人行通道，禁止在消防安全通道和人行通道上堆放杂物，每天要对安全通道进行巡回检查，以确保通道畅通。</w:t>
      </w:r>
    </w:p>
    <w:p w14:paraId="1F07E73C">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2、运输车辆在厂内行驶时，应严格按照相关规定驾驶，合理停放，避免发生车辆伤害事故。</w:t>
      </w:r>
    </w:p>
    <w:p w14:paraId="105D2FE8">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3、严禁私搭乱建固定或临时性建筑物，避免导致厂房之间防火间距不足，严禁堵塞消防疏散通道。</w:t>
      </w:r>
    </w:p>
    <w:p w14:paraId="340FF13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795" w:name="_Toc31367"/>
      <w:r>
        <w:rPr>
          <w:rFonts w:hint="eastAsia" w:ascii="宋体" w:hAnsi="宋体" w:eastAsia="宋体" w:cs="宋体"/>
          <w:b/>
          <w:bCs/>
          <w:color w:val="000000"/>
          <w:kern w:val="0"/>
          <w:sz w:val="28"/>
          <w:szCs w:val="28"/>
          <w:lang w:val="en-US" w:eastAsia="zh-CN" w:bidi="ar"/>
        </w:rPr>
        <w:t>6.2.2生产设备安全防范措施建议</w:t>
      </w:r>
      <w:bookmarkEnd w:id="795"/>
    </w:p>
    <w:p w14:paraId="3D0CC53E">
      <w:pPr>
        <w:pStyle w:val="22"/>
        <w:spacing w:after="0" w:line="500" w:lineRule="exact"/>
        <w:ind w:firstLine="560" w:firstLineChars="200"/>
        <w:rPr>
          <w:rFonts w:hint="default"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1、生产车间内有起重设备，且使用较为频繁，因此，必须加强起重设备的安全管理，起重机、钢丝绳、吊钩等应定期进行检查、维护、保养，若发现缺失、损坏、失灵等情况应尽快进行修复、维护。</w:t>
      </w:r>
    </w:p>
    <w:p w14:paraId="25809FFD">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2、定期对起重设备进行检测、检验，确保在用的特种设备在检测、检验有效期内。</w:t>
      </w:r>
    </w:p>
    <w:p w14:paraId="1B5327DE">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3、对防雷接地装置应做好日常的维护工作，保证其良好有效，并定期请具备相应资质的单位进行检测检验，出具相应的检测报告。</w:t>
      </w:r>
    </w:p>
    <w:p w14:paraId="6534599A">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4、机械电气设备必须做好电气保护接地，定期对电气保护接地进行检</w:t>
      </w:r>
    </w:p>
    <w:p w14:paraId="38E5F90B">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查，对漏电保护器进行定期检查。</w:t>
      </w:r>
    </w:p>
    <w:p w14:paraId="516E45F2">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5、加强对消防设施的维护保养，定期对消防设施进行检验，保证消防设施的有效性，经常保持消防器材的清洁。</w:t>
      </w:r>
    </w:p>
    <w:p w14:paraId="06A404A3">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6、在潮湿环境下作业时，应选用合格的防潮防漏电电气设备，使用手持电动工具进行作业时、在金属容器内进行检维修作业时，均应使用安全电压。</w:t>
      </w:r>
    </w:p>
    <w:p w14:paraId="45F3B388">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7、维修人员设备调整、检修，以及需要停机排除各种故障时，都必须</w:t>
      </w:r>
    </w:p>
    <w:p w14:paraId="16841B6B">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在设备启动开关旁挂警示标志牌。警告牌的色调、字体必须醒目易见。必要时应有人监护开关。</w:t>
      </w:r>
    </w:p>
    <w:p w14:paraId="1F6F5C6E">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8、生产车间内使用的手持式电动工具应定期开展绝缘防护检测，开关</w:t>
      </w:r>
    </w:p>
    <w:p w14:paraId="3689E545">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箱内的漏电保护器应定期进行试验。</w:t>
      </w:r>
    </w:p>
    <w:p w14:paraId="603410BE">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9、建议企业对建筑消防设施每年至少进行一次全面检测，确保完好有</w:t>
      </w:r>
    </w:p>
    <w:p w14:paraId="432ECB34">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效，检测记录应当完整准确，存档备查。</w:t>
      </w:r>
    </w:p>
    <w:p w14:paraId="628B5897">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796" w:name="_Toc22865"/>
      <w:r>
        <w:rPr>
          <w:rFonts w:hint="eastAsia" w:ascii="宋体" w:hAnsi="宋体" w:eastAsia="宋体" w:cs="宋体"/>
          <w:b/>
          <w:bCs/>
          <w:color w:val="000000"/>
          <w:kern w:val="0"/>
          <w:sz w:val="28"/>
          <w:szCs w:val="28"/>
          <w:lang w:val="en-US" w:eastAsia="zh-CN" w:bidi="ar"/>
        </w:rPr>
        <w:t>6.2.3公共辅助设施安全防范措施建议</w:t>
      </w:r>
      <w:bookmarkEnd w:id="796"/>
    </w:p>
    <w:p w14:paraId="18805B20">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1、应急安全出口不得堆放杂物，保证畅通无阻。</w:t>
      </w:r>
    </w:p>
    <w:p w14:paraId="0C50D20F">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2、工作位置应保证操作人员的安全，平台和通道必须防滑，必要时设置踏板和栏杆。</w:t>
      </w:r>
    </w:p>
    <w:p w14:paraId="10C86774">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3、消防器材应当设置在明显和便于取用的地方，任何人不得随便移动，</w:t>
      </w:r>
    </w:p>
    <w:p w14:paraId="621498F6">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不得上锁，不得受阳光曝晒、火烤、雨淋，一经使用，应立即更换，不得空置或随意丢弃。</w:t>
      </w:r>
    </w:p>
    <w:p w14:paraId="181016C6">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4、疏散门应向疏散方向开启，入口处应设置明显的标志。</w:t>
      </w:r>
    </w:p>
    <w:p w14:paraId="309D55B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797" w:name="_Toc1776"/>
      <w:r>
        <w:rPr>
          <w:rFonts w:hint="eastAsia" w:ascii="宋体" w:hAnsi="宋体" w:eastAsia="宋体" w:cs="宋体"/>
          <w:b/>
          <w:bCs/>
          <w:color w:val="000000"/>
          <w:kern w:val="0"/>
          <w:sz w:val="28"/>
          <w:szCs w:val="28"/>
          <w:lang w:val="en-US" w:eastAsia="zh-CN" w:bidi="ar"/>
        </w:rPr>
        <w:t>6.2.</w:t>
      </w:r>
      <w:r>
        <w:rPr>
          <w:rFonts w:hint="eastAsia" w:hAnsi="宋体" w:cs="宋体"/>
          <w:b/>
          <w:bCs/>
          <w:color w:val="000000"/>
          <w:kern w:val="0"/>
          <w:sz w:val="28"/>
          <w:szCs w:val="28"/>
          <w:lang w:val="en-US" w:eastAsia="zh-CN" w:bidi="ar"/>
        </w:rPr>
        <w:t>4</w:t>
      </w:r>
      <w:r>
        <w:rPr>
          <w:rFonts w:hint="eastAsia" w:ascii="宋体" w:hAnsi="宋体" w:eastAsia="宋体" w:cs="宋体"/>
          <w:b/>
          <w:bCs/>
          <w:color w:val="000000"/>
          <w:kern w:val="0"/>
          <w:sz w:val="28"/>
          <w:szCs w:val="28"/>
          <w:lang w:val="en-US" w:eastAsia="zh-CN" w:bidi="ar"/>
        </w:rPr>
        <w:t>安全管理安全防范措施建议</w:t>
      </w:r>
      <w:bookmarkEnd w:id="797"/>
    </w:p>
    <w:p w14:paraId="399C4F50">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1、加强对特种作业人员的培训，特种作业人员必须持证上岗，严禁无证上岗。</w:t>
      </w:r>
    </w:p>
    <w:p w14:paraId="2308A196">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2、建立机械设备的操作规程及各工种的安全技术操作规范，并将其悬挂于作业点；</w:t>
      </w:r>
    </w:p>
    <w:p w14:paraId="46D6050F">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3、建立定期的安全教育培训制度，加强对各类职工的安全培训教育，不断提高作业人员的安全意识、素质和安全技能，增强其识别、预防、处理事故的能力。</w:t>
      </w:r>
    </w:p>
    <w:p w14:paraId="414034E4">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4、公司应保证安全管理资金的必要投入，完善相应的安全配套设施。</w:t>
      </w:r>
    </w:p>
    <w:p w14:paraId="5F1FDC98">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5、严格落实安全生产责任制，建立各类安全检查制度，建立完善安全管理台帐；同时严格执行安全生产检查制度，做好安全检查记录。</w:t>
      </w:r>
    </w:p>
    <w:p w14:paraId="28E47BA9">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6、主要机械设备应定期检测，并做好台帐记录。</w:t>
      </w:r>
    </w:p>
    <w:p w14:paraId="4867C35A">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7、加强对员工的安全意识和安全操作的教育，杜绝"三违"。</w:t>
      </w:r>
    </w:p>
    <w:p w14:paraId="16FE2B02">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8、按规定修订职业危害作业人员健康档案，进一步健全员工职业健康档案并妥善保管，定期对职业危害作业人员健康档案进行分析。</w:t>
      </w:r>
    </w:p>
    <w:p w14:paraId="5A0377FC">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9、生产经营单位应当建立安全风险分级管控制度，按照安全风险分级采取相应的管控措施。</w:t>
      </w:r>
    </w:p>
    <w:p w14:paraId="293D7E82">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10、根据《安全标志及其使用导则》（GB2894-2008）和《安全色》（GB2893-2008）的相关要求，进一步完善安全标志、安全色的设置，加强对安全标志的管理，建立定期检查和更换制度。</w:t>
      </w:r>
    </w:p>
    <w:p w14:paraId="5E798B30">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11、应按照《国家安全监管总局关于印发开展工贸企业较大危险因素辨</w:t>
      </w:r>
    </w:p>
    <w:p w14:paraId="0BD6EDEB">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识管控提升防范事故能力行动计划的通知》（安监总管四〔2016〕31号）、《工贸行业较大危险因素辨识与防范指导手册（2016版）》、《云南省安全生产监督管理局关于印发工贸行业遏制重特大事故工作方案的通知》（云安监管〔2016〕80号）等相关规定开展企业较大危险因素识别，建立《企业较大危险因素辨识与防范控制措施登记表（示例）》，在较大危险因素现场设置《较大危险因素告知卡》。</w:t>
      </w:r>
    </w:p>
    <w:p w14:paraId="2AF54A88">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12、应按照《企业安全生产标准化建设定级办法》（应急〔2021〕83号）、《云南省应急管理厅关于印发云南省企业安全生产标准化建设定级实施办法的通知》（云应急〔2023〕6号）等的要求，以《企业安全生产标准化基本规范》（GB/33000-2016）的相关规定，开展安全生产标准化建设，全面夯实安全生产工作基础，提高公司防范事故能力。</w:t>
      </w:r>
    </w:p>
    <w:p w14:paraId="5EB214A9">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13、企业应根据《安全生产法》及《云南省工贸行业企业安全风险源点</w:t>
      </w:r>
    </w:p>
    <w:p w14:paraId="6D83DD0D">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定性定量判别参考标准指南（试行）》（云应急〔2022〕8号）等的有关要求，加大对安全生产资金、物资、技术、人员的投入保障力度，改善安全生产条件，构建并不断完善安全风险分级管控和隐患排查治理双重预防体系，健全风险防范化解机制，提高安全生产水平，确保安全生产。</w:t>
      </w:r>
    </w:p>
    <w:p w14:paraId="0AA94A12">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14、按照《云南省应急管理厅关于印发&lt;云南省工贸企业安全生产主体责任重点事项清单（暂行）&gt;的通知》（云应急﹝2022﹞9号）要求，企业应落实安全生产主体责任，做好《清单》中明确的5个层面29项法定重点事项是落实企业安全生产主体责任的最基本要求。</w:t>
      </w:r>
    </w:p>
    <w:p w14:paraId="22BA0260">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15、应根据《生产安全事故应急预案管理办法》及企业制定的应急预案，</w:t>
      </w:r>
    </w:p>
    <w:p w14:paraId="62DC38CD">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制定本单位的应急预案演练计划，根据本单位的事故风险特点，每年至少组织一次综合应急预案演练或者专项应急预案演练，每半年至少组织一次现场处置方案演练。</w:t>
      </w:r>
    </w:p>
    <w:p w14:paraId="7CC6514B">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16、应定期对应急物资、装备进行定期检测和维护，使其处于适用状态。</w:t>
      </w:r>
    </w:p>
    <w:p w14:paraId="5C91586B">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17、应当加强安全生产费用管理，编制年度企业安全生产费用提取和使</w:t>
      </w:r>
    </w:p>
    <w:p w14:paraId="2C93E2B1">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用计划，纳入企业财务预算，确保资金投入。</w:t>
      </w:r>
    </w:p>
    <w:p w14:paraId="1FC250CE">
      <w:pPr>
        <w:pStyle w:val="22"/>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18、应当保证每年度安全生产所必需的资金投入。按照规定提取、使用</w:t>
      </w:r>
    </w:p>
    <w:p w14:paraId="0953720C">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安全生产费用，在成本中据实列支，专门用于改善安全生产条件。</w:t>
      </w:r>
    </w:p>
    <w:p w14:paraId="00F057B2">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15A5FF6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0E4FFBF1">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3DEB0E9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5A7F82F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279128E8">
      <w:pPr>
        <w:keepNext w:val="0"/>
        <w:keepLines w:val="0"/>
        <w:widowControl/>
        <w:suppressLineNumbers w:val="0"/>
        <w:jc w:val="center"/>
        <w:outlineLvl w:val="0"/>
        <w:rPr>
          <w:rFonts w:hint="eastAsia" w:ascii="宋体" w:hAnsi="宋体" w:eastAsia="宋体" w:cs="宋体"/>
          <w:sz w:val="36"/>
          <w:szCs w:val="36"/>
        </w:rPr>
      </w:pPr>
      <w:bookmarkStart w:id="798" w:name="_Toc4113"/>
      <w:r>
        <w:rPr>
          <w:rFonts w:hint="eastAsia" w:ascii="宋体" w:hAnsi="宋体" w:eastAsia="宋体" w:cs="宋体"/>
          <w:b/>
          <w:bCs/>
          <w:color w:val="000000"/>
          <w:kern w:val="0"/>
          <w:sz w:val="36"/>
          <w:szCs w:val="36"/>
          <w:lang w:val="en-US" w:eastAsia="zh-CN" w:bidi="ar"/>
        </w:rPr>
        <w:t>第7章安全评价结论</w:t>
      </w:r>
      <w:bookmarkEnd w:id="798"/>
    </w:p>
    <w:p w14:paraId="1548386A">
      <w:pPr>
        <w:keepNext w:val="0"/>
        <w:keepLines w:val="0"/>
        <w:pageBreakBefore w:val="0"/>
        <w:widowControl/>
        <w:suppressLineNumbers w:val="0"/>
        <w:kinsoku/>
        <w:wordWrap/>
        <w:overflowPunct/>
        <w:topLinePunct w:val="0"/>
        <w:autoSpaceDE/>
        <w:autoSpaceDN/>
        <w:bidi w:val="0"/>
        <w:adjustRightInd/>
        <w:snapToGrid/>
        <w:spacing w:line="600" w:lineRule="exact"/>
        <w:ind w:left="0" w:right="0"/>
        <w:jc w:val="left"/>
        <w:textAlignment w:val="auto"/>
        <w:outlineLvl w:val="1"/>
        <w:rPr>
          <w:rFonts w:hint="default" w:ascii="宋体" w:hAnsi="宋体" w:eastAsia="宋体" w:cs="宋体"/>
          <w:b/>
          <w:bCs/>
          <w:color w:val="000000"/>
          <w:kern w:val="0"/>
          <w:sz w:val="30"/>
          <w:szCs w:val="30"/>
          <w:lang w:val="en-US" w:eastAsia="zh-CN" w:bidi="ar"/>
        </w:rPr>
      </w:pPr>
      <w:bookmarkStart w:id="799" w:name="_Toc12002"/>
      <w:r>
        <w:rPr>
          <w:rFonts w:hint="eastAsia" w:ascii="宋体" w:hAnsi="宋体" w:eastAsia="宋体" w:cs="宋体"/>
          <w:b/>
          <w:bCs/>
          <w:color w:val="000000"/>
          <w:kern w:val="0"/>
          <w:sz w:val="30"/>
          <w:szCs w:val="30"/>
          <w:lang w:val="en-US" w:eastAsia="zh-CN" w:bidi="ar"/>
        </w:rPr>
        <w:t>7.1综合评述</w:t>
      </w:r>
      <w:bookmarkEnd w:id="799"/>
    </w:p>
    <w:p w14:paraId="39BEF326">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根据前面各章的分析与评价，现将玉溪正宇智能科技有限公司安全现状评价的情况总结如下：</w:t>
      </w:r>
    </w:p>
    <w:p w14:paraId="1A7BFD0F">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1、存在的主要危险、有害因素</w:t>
      </w:r>
    </w:p>
    <w:p w14:paraId="5E68CD05">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本项目生产过程中存在的危险因素有：物体打击、车辆伤害、机械伤害、起重伤害、触电、火灾、高处坠落、坍塌等。</w:t>
      </w:r>
    </w:p>
    <w:p w14:paraId="5CA33F19">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在上述这些危险因素中，发生频率较高的因素有：起重伤害、机械伤害、火灾、触电等，对安全生产影响较大的因素有：起重伤害、为机械伤害。根据重大危险源辨识，本项目不构成重大危险源。</w:t>
      </w:r>
    </w:p>
    <w:p w14:paraId="214026F3">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结合采用的预先危险性、安全检查表等方法对本项目的危险、有害因素分析评价结果，本项目的较大的危险因素，主要分布于生产车间各作业区域。企业应重点针对生产车间采取相应的安全防护措施。</w:t>
      </w:r>
    </w:p>
    <w:p w14:paraId="6BAE75A2">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2、各单元评价结论</w:t>
      </w:r>
    </w:p>
    <w:p w14:paraId="1052E432">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（1）选址及总平面布置评价结论</w:t>
      </w:r>
    </w:p>
    <w:p w14:paraId="7B1DD2D0">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本项目选址符合当地建设规划，符合《工业企业总平面设计规范》（GB50187-2012）、《工业企业厂内铁路、道路运输安全规程》（GB4387-2008）和《建筑设计防火规范（2018版）》（GB50016-2014）的要求。场地周边水源、电源等均能满足企业生产需要，场地工程地质和水文地质较简单，满足建设要求。厂址与周边企业、居住点等均保持有一定防护距离。厂区总平面布置有利于生产，各建（构）筑物按功能分区，生产工艺流程短捷便利，整体布局基本合理。</w:t>
      </w:r>
    </w:p>
    <w:p w14:paraId="499CA35B">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（2）建（构）筑物单元评价结论</w:t>
      </w:r>
    </w:p>
    <w:p w14:paraId="2D4F38A4">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本项目建（构）筑物单元符合《建筑与市政工程抗震通用规范》（GB55002-2021）、《建筑防火通用规范》（GB55037-2022）、《机械工业厂房建筑设计规范》（GB50681-2011）等相关要求，满足安全生产要求。</w:t>
      </w:r>
    </w:p>
    <w:p w14:paraId="49CD7953">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（3）生产工艺及设施设备评价结论</w:t>
      </w:r>
    </w:p>
    <w:p w14:paraId="3DCDB573">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本项目生产工艺简单，设备选型先进、合理，符合《中华人民共和国安</w:t>
      </w:r>
    </w:p>
    <w:p w14:paraId="357F9DE8">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全生产法》、《生产设备安全卫生设计总则》（GB5083-2023）、《生产过程安全卫生要求总则》（GB/T12801-2008）、《手持式电动工具的管理、使用、检查和维修安全技术规程》（GB/T3787-2017）等标准规范中的相关内容规定，符合安全生产的基本要求。</w:t>
      </w:r>
    </w:p>
    <w:p w14:paraId="0BEAA029">
      <w:pPr>
        <w:pStyle w:val="22"/>
        <w:spacing w:after="0" w:line="500" w:lineRule="exact"/>
        <w:ind w:left="0" w:leftChars="0" w:firstLine="0" w:firstLineChars="0"/>
        <w:rPr>
          <w:rFonts w:hint="default"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（4）公用工程和辅助设施评价结论</w:t>
      </w:r>
    </w:p>
    <w:p w14:paraId="4A58647F">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本项目给排水、供配电系统、供气、消防设施、物料储存等符合《工业</w:t>
      </w:r>
    </w:p>
    <w:p w14:paraId="67441932">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企业总平面设计规范》（GB50187-2012）、《消防设施通用规范》（GB55036-2022）及《建筑灭火器配置设计规范》（GB50140-2005）、《用电安全导则》（GB/T13869－2017）等规范标准中的相关内容的规定，能满足安全生产要求。</w:t>
      </w:r>
    </w:p>
    <w:p w14:paraId="6540247B">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（5）安全管理评价结论</w:t>
      </w:r>
    </w:p>
    <w:p w14:paraId="09FE742D">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通过安全检查分析与企业整改，该企业安全管理现状符合《中华人民共</w:t>
      </w:r>
    </w:p>
    <w:p w14:paraId="6D62E700">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和国安全生产法》、《云南省安全生产条例》和《生产安全事故应急预案管理办法》等法律法规、标准规范的要求。</w:t>
      </w:r>
    </w:p>
    <w:p w14:paraId="37D37540">
      <w:pPr>
        <w:pStyle w:val="22"/>
        <w:spacing w:after="0" w:line="500" w:lineRule="exact"/>
        <w:ind w:left="0" w:leftChars="0" w:firstLine="0" w:firstLineChars="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（6）重大事故隐患检查单元</w:t>
      </w:r>
    </w:p>
    <w:p w14:paraId="7EDDE4D5">
      <w:pPr>
        <w:pStyle w:val="22"/>
        <w:spacing w:after="0" w:line="500" w:lineRule="exact"/>
        <w:ind w:left="0" w:leftChars="0" w:firstLine="560" w:firstLineChars="200"/>
        <w:rPr>
          <w:rFonts w:hint="default"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根据《工贸企业重大事故隐患判定标准》（中华人民共和国应急管理部令第10号）及《工贸企业重大事故隐患判定标准》解读等文件，并结合现场踏勘情况，该企业无安全重大隐患。</w:t>
      </w:r>
    </w:p>
    <w:p w14:paraId="53053522">
      <w:pPr>
        <w:bidi w:val="0"/>
        <w:rPr>
          <w:rFonts w:hint="eastAsia"/>
          <w:lang w:val="en-US" w:eastAsia="zh-CN"/>
        </w:rPr>
      </w:pPr>
    </w:p>
    <w:p w14:paraId="0A2009F3">
      <w:pPr>
        <w:bidi w:val="0"/>
        <w:rPr>
          <w:rFonts w:hint="eastAsia"/>
          <w:lang w:val="en-US" w:eastAsia="zh-CN"/>
        </w:rPr>
      </w:pPr>
    </w:p>
    <w:p w14:paraId="77E2BA19">
      <w:pPr>
        <w:keepNext w:val="0"/>
        <w:keepLines w:val="0"/>
        <w:pageBreakBefore w:val="0"/>
        <w:kinsoku/>
        <w:wordWrap/>
        <w:overflowPunct/>
        <w:topLinePunct w:val="0"/>
        <w:autoSpaceDE/>
        <w:autoSpaceDN/>
        <w:bidi w:val="0"/>
        <w:adjustRightInd/>
        <w:snapToGrid/>
        <w:spacing w:line="600" w:lineRule="exact"/>
        <w:ind w:left="0"/>
        <w:textAlignment w:val="auto"/>
        <w:outlineLvl w:val="1"/>
        <w:rPr>
          <w:rFonts w:ascii="宋体" w:hAnsi="宋体" w:eastAsia="宋体" w:cs="宋体"/>
          <w:b/>
          <w:bCs/>
          <w:spacing w:val="2"/>
          <w:sz w:val="28"/>
          <w:szCs w:val="28"/>
        </w:rPr>
      </w:pPr>
      <w:bookmarkStart w:id="800" w:name="_Toc4928"/>
      <w:r>
        <w:rPr>
          <w:rFonts w:hint="eastAsia" w:ascii="宋体" w:hAnsi="宋体" w:eastAsia="宋体" w:cs="宋体"/>
          <w:b/>
          <w:bCs/>
          <w:spacing w:val="2"/>
          <w:sz w:val="28"/>
          <w:szCs w:val="28"/>
          <w:lang w:val="en-US" w:eastAsia="zh-CN"/>
        </w:rPr>
        <w:t>7</w:t>
      </w:r>
      <w:r>
        <w:rPr>
          <w:rFonts w:ascii="宋体" w:hAnsi="宋体" w:eastAsia="宋体" w:cs="宋体"/>
          <w:b/>
          <w:bCs/>
          <w:spacing w:val="2"/>
          <w:sz w:val="28"/>
          <w:szCs w:val="28"/>
        </w:rPr>
        <w:t>.2总体评价结论</w:t>
      </w:r>
      <w:bookmarkEnd w:id="800"/>
    </w:p>
    <w:p w14:paraId="6FB3282F">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受玉溪正宇智能科技有限公司的委托，我们安全现状评价小组，首先辨识和分析了该项目存在的主要危险、有害因素种类、场所及事故发生的主要原因，并根据生产特点和危险有害因素的分布情况进行单元划分，选择较为合理的评价方法对划分的评价单元进行了评价，并根据评价中发现的问题，提出了有针对性的安全对策措施及建议。对公司内的生产设备、辅助公用设施、安全控制措施等方面进行评价，目前符合法律、法规和相关技术标准规范的要求，具备安全生产条件。</w:t>
      </w:r>
    </w:p>
    <w:p w14:paraId="20302CED">
      <w:pPr>
        <w:pStyle w:val="22"/>
        <w:spacing w:after="0" w:line="500" w:lineRule="exact"/>
        <w:ind w:left="0" w:leftChars="0" w:firstLine="562" w:firstLineChars="200"/>
        <w:rPr>
          <w:rFonts w:hint="eastAsia" w:ascii="宋体" w:hAnsi="宋体" w:eastAsia="宋体" w:cs="宋体"/>
          <w:b/>
          <w:bCs/>
          <w:color w:val="000000" w:themeColor="text1"/>
          <w:sz w:val="28"/>
          <w:szCs w:val="28"/>
          <w:lang w:val="en-US" w:eastAsia="zh-CN" w:bidi="ar-SA"/>
          <w14:textFill>
            <w14:solidFill>
              <w14:schemeClr w14:val="tx1"/>
            </w14:solidFill>
          </w14:textFill>
        </w:rPr>
      </w:pPr>
      <w:r>
        <w:rPr>
          <w:rFonts w:hint="eastAsia" w:ascii="宋体" w:hAnsi="宋体" w:eastAsia="宋体" w:cs="宋体"/>
          <w:b/>
          <w:bCs/>
          <w:color w:val="000000" w:themeColor="text1"/>
          <w:sz w:val="28"/>
          <w:szCs w:val="28"/>
          <w:lang w:val="en-US" w:eastAsia="zh-CN" w:bidi="ar-SA"/>
          <w14:textFill>
            <w14:solidFill>
              <w14:schemeClr w14:val="tx1"/>
            </w14:solidFill>
          </w14:textFill>
        </w:rPr>
        <w:t>经评价认为：玉溪正宇智能科技有限公司项目从安全生产角度分析评价符合国家有关法律、法规、标准、规范的要求，现状安全条件满足安全生产要求。</w:t>
      </w:r>
    </w:p>
    <w:p w14:paraId="67B70FD4">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总之，安全生产是一个动态的过程，该公司在今后的生产过程中，应根据条件的变化，把安全管理工作贯穿于生产的全过程，不断完善安全管理，依靠科技进步提升安全技术水平，防止安全事故的发生，实现本质化安全。</w:t>
      </w:r>
    </w:p>
    <w:p w14:paraId="2156FA6A">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1C7F7E92">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30F5BE08">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6BFBC102">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7AE060EF">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1E241846">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4FD3C17A">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47414273">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7E5BD8DA">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63E8A136">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5B468285">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3E3179D2">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55A4673C">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2E18B424">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1B4E0020">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56CDE674">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676359B1">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2B230A22">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outlineLvl w:val="9"/>
        <w:rPr>
          <w:rFonts w:hint="eastAsia" w:ascii="宋体" w:hAnsi="宋体" w:eastAsia="宋体" w:cs="宋体"/>
          <w:b/>
          <w:bCs/>
          <w:kern w:val="2"/>
          <w:sz w:val="36"/>
          <w:szCs w:val="36"/>
          <w:lang w:val="en-US" w:eastAsia="zh-CN" w:bidi="ar-SA"/>
        </w:rPr>
      </w:pPr>
      <w:bookmarkStart w:id="801" w:name="_Toc23011"/>
    </w:p>
    <w:p w14:paraId="6A7AC19B">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0"/>
        <w:rPr>
          <w:rFonts w:hint="eastAsia"/>
          <w:lang w:val="en-US" w:eastAsia="zh-CN"/>
        </w:rPr>
      </w:pPr>
      <w:bookmarkStart w:id="802" w:name="_Toc5475"/>
      <w:r>
        <w:rPr>
          <w:rFonts w:hint="eastAsia" w:ascii="宋体" w:hAnsi="宋体" w:eastAsia="宋体" w:cs="宋体"/>
          <w:b/>
          <w:bCs/>
          <w:kern w:val="2"/>
          <w:sz w:val="36"/>
          <w:szCs w:val="36"/>
          <w:lang w:val="en-US" w:eastAsia="zh-CN" w:bidi="ar-SA"/>
        </w:rPr>
        <w:t>第8章与建设单位交换意见情况说明</w:t>
      </w:r>
      <w:bookmarkEnd w:id="801"/>
      <w:bookmarkEnd w:id="802"/>
    </w:p>
    <w:p w14:paraId="3EFDBA41">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通过对建设项目提供的资料认真分析及对现场实地勘查，就本项目各个方面的情况，本项目安全现状评价中各方面的情况及报告提出的安全对策措施及建议，与被评价单位进行了充分交流，并形成如下统一意见：</w:t>
      </w:r>
    </w:p>
    <w:p w14:paraId="09FC12AB">
      <w:pPr>
        <w:pStyle w:val="22"/>
        <w:spacing w:after="0" w:line="500" w:lineRule="exact"/>
        <w:ind w:left="0" w:leftChars="0" w:firstLine="560" w:firstLineChars="200"/>
        <w:rPr>
          <w:rFonts w:hint="eastAsia" w:ascii="宋体" w:hAnsi="宋体" w:eastAsia="宋体" w:cs="宋体"/>
          <w:b w:val="0"/>
          <w:bCs w:val="0"/>
          <w:sz w:val="28"/>
          <w:szCs w:val="28"/>
          <w:lang w:val="en-US" w:eastAsia="zh-CN"/>
        </w:rPr>
      </w:pPr>
      <w:r>
        <w:rPr>
          <w:rFonts w:hint="eastAsia" w:ascii="宋体" w:hAnsi="宋体" w:eastAsia="宋体" w:cs="宋体"/>
          <w:color w:val="000000" w:themeColor="text1"/>
          <w:sz w:val="28"/>
          <w:szCs w:val="28"/>
          <w:lang w:val="en-US" w:eastAsia="zh-CN" w:bidi="ar-SA"/>
          <w14:textFill>
            <w14:solidFill>
              <w14:schemeClr w14:val="tx1"/>
            </w14:solidFill>
          </w14:textFill>
        </w:rPr>
        <w:t>1.公司编制的安全现状评价报告对项目的场址选择、总平面布置、主要建（构）筑物、工艺系统及设备设施、公用工程、特种设备、安全管理等各个方面进行了全面的检查、分析，安全现状评价结论符合项目实际。</w:t>
      </w:r>
    </w:p>
    <w:p w14:paraId="7FF73190">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2.被评价单位对报告的危险有害因素的分析和辨识、报告所提出的安全对策措施及建议、评价的结论等无异议。</w:t>
      </w:r>
    </w:p>
    <w:p w14:paraId="4562E140">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针对项目的相关资料文件及现场勘查情况，评价组提出了相应的安全对策措施及建议，建设单位对评价组提出的意见可以接受，并进行落实。</w:t>
      </w:r>
    </w:p>
    <w:p w14:paraId="60CFD2BC">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1.企业应按照根据《中华人民共和国安全生产法》（中华人民共和国主席令第88号，2021年9月1日实施）、《企业安全生产标准化建设定级办法》（应急〔2021〕83号，2021年11月1日实施）、《企业安全生产标准化基本规范》（GB33000-2016）、《云南省企业安全生产标准化建设定级实施办法》（云应急〔2023〕6号）等相关规定，深入开展安全生产标准化创建工作，建立科学、规范的安全管理工作机制，全面夯实安全生产工作基础，提高防范事故能力。</w:t>
      </w:r>
    </w:p>
    <w:p w14:paraId="653A5785">
      <w:pPr>
        <w:pStyle w:val="22"/>
        <w:spacing w:after="0" w:line="500" w:lineRule="exact"/>
        <w:ind w:left="0" w:leftChars="0" w:firstLine="560" w:firstLineChars="200"/>
        <w:rPr>
          <w:rFonts w:hint="default" w:ascii="宋体" w:hAnsi="宋体" w:eastAsia="宋体" w:cs="宋体"/>
          <w:color w:val="000000" w:themeColor="text1"/>
          <w:sz w:val="28"/>
          <w:szCs w:val="28"/>
          <w:lang w:val="en-US" w:eastAsia="zh-CN" w:bidi="ar-SA"/>
          <w14:textFill>
            <w14:solidFill>
              <w14:schemeClr w14:val="tx1"/>
            </w14:solidFill>
          </w14:textFill>
        </w:rPr>
      </w:pPr>
      <w:r>
        <w:rPr>
          <w:rFonts w:hint="eastAsia" w:hAnsi="宋体" w:cs="宋体"/>
          <w:color w:val="000000" w:themeColor="text1"/>
          <w:sz w:val="28"/>
          <w:szCs w:val="28"/>
          <w:lang w:val="en-US" w:eastAsia="zh-CN" w:bidi="ar-SA"/>
          <w14:textFill>
            <w14:solidFill>
              <w14:schemeClr w14:val="tx1"/>
            </w14:solidFill>
          </w14:textFill>
        </w:rPr>
        <w:t>2</w:t>
      </w:r>
      <w:r>
        <w:rPr>
          <w:rFonts w:hint="eastAsia" w:ascii="宋体" w:hAnsi="宋体" w:eastAsia="宋体" w:cs="宋体"/>
          <w:color w:val="000000" w:themeColor="text1"/>
          <w:sz w:val="28"/>
          <w:szCs w:val="28"/>
          <w:lang w:val="en-US" w:eastAsia="zh-CN" w:bidi="ar-SA"/>
          <w14:textFill>
            <w14:solidFill>
              <w14:schemeClr w14:val="tx1"/>
            </w14:solidFill>
          </w14:textFill>
        </w:rPr>
        <w:t>.严格按照规范要求开展生产事故应急演练。</w:t>
      </w:r>
    </w:p>
    <w:p w14:paraId="0CC7FBA8">
      <w:pPr>
        <w:pStyle w:val="22"/>
        <w:spacing w:after="0" w:line="500" w:lineRule="exact"/>
        <w:ind w:left="0" w:leftChars="0"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hAnsi="宋体" w:cs="宋体"/>
          <w:color w:val="000000" w:themeColor="text1"/>
          <w:sz w:val="28"/>
          <w:szCs w:val="28"/>
          <w:lang w:val="en-US" w:eastAsia="zh-CN" w:bidi="ar-SA"/>
          <w14:textFill>
            <w14:solidFill>
              <w14:schemeClr w14:val="tx1"/>
            </w14:solidFill>
          </w14:textFill>
        </w:rPr>
        <w:t>3</w:t>
      </w:r>
      <w:r>
        <w:rPr>
          <w:rFonts w:hint="eastAsia" w:ascii="宋体" w:hAnsi="宋体" w:eastAsia="宋体" w:cs="宋体"/>
          <w:color w:val="000000" w:themeColor="text1"/>
          <w:sz w:val="28"/>
          <w:szCs w:val="28"/>
          <w:lang w:val="en-US" w:eastAsia="zh-CN" w:bidi="ar-SA"/>
          <w14:textFill>
            <w14:solidFill>
              <w14:schemeClr w14:val="tx1"/>
            </w14:solidFill>
          </w14:textFill>
        </w:rPr>
        <w:t>.企业应建立安全资金的投入台账记录。</w:t>
      </w:r>
    </w:p>
    <w:p w14:paraId="41159E3A">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default" w:hAnsi="宋体" w:cs="宋体"/>
          <w:b w:val="0"/>
          <w:bCs w:val="0"/>
          <w:color w:val="000000" w:themeColor="text1"/>
          <w:sz w:val="28"/>
          <w:szCs w:val="28"/>
          <w:shd w:val="clear" w:color="auto" w:fill="auto"/>
          <w:lang w:val="en-US" w:eastAsia="zh-CN"/>
          <w14:textFill>
            <w14:solidFill>
              <w14:schemeClr w14:val="tx1"/>
            </w14:solidFill>
          </w14:textFill>
        </w:rPr>
      </w:pPr>
    </w:p>
    <w:sectPr>
      <w:pgSz w:w="11906" w:h="16838"/>
      <w:pgMar w:top="1417" w:right="1134" w:bottom="113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7ED1C">
    <w:pPr>
      <w:pStyle w:val="15"/>
      <w:rPr>
        <w:rFonts w:hint="default" w:eastAsia="宋体"/>
        <w:lang w:val="en-US" w:eastAsia="zh-CN"/>
      </w:rPr>
    </w:pPr>
    <w:r>
      <w:rPr>
        <w:rFonts w:hint="eastAsia"/>
        <w:lang w:val="en-US" w:eastAsia="zh-CN"/>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E32F4">
    <w:pPr>
      <w:pStyle w:val="15"/>
      <w:rPr>
        <w:rFonts w:hint="default"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DB48A7">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5DB48A7">
                    <w:pPr>
                      <w:pStyle w:val="15"/>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9B115">
    <w:pPr>
      <w:pBdr>
        <w:bottom w:val="single" w:color="auto" w:sz="4" w:space="0"/>
      </w:pBdr>
      <w:jc w:val="center"/>
      <w:rPr>
        <w:rFonts w:hint="default" w:eastAsia="宋体"/>
        <w:lang w:val="en-US" w:eastAsia="zh-CN"/>
      </w:rPr>
    </w:pPr>
    <w:r>
      <w:rPr>
        <w:rFonts w:hint="eastAsia"/>
        <w:lang w:val="en-US" w:eastAsia="zh-CN"/>
      </w:rPr>
      <w:t>玉溪正宇智能科技有限公司安全现状评价报告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78B95"/>
    <w:multiLevelType w:val="singleLevel"/>
    <w:tmpl w:val="AA978B95"/>
    <w:lvl w:ilvl="0" w:tentative="0">
      <w:start w:val="1"/>
      <w:numFmt w:val="decimal"/>
      <w:suff w:val="nothing"/>
      <w:lvlText w:val="%1、"/>
      <w:lvlJc w:val="left"/>
    </w:lvl>
  </w:abstractNum>
  <w:abstractNum w:abstractNumId="1">
    <w:nsid w:val="C6C0DB08"/>
    <w:multiLevelType w:val="singleLevel"/>
    <w:tmpl w:val="C6C0DB08"/>
    <w:lvl w:ilvl="0" w:tentative="0">
      <w:start w:val="1"/>
      <w:numFmt w:val="decimal"/>
      <w:suff w:val="nothing"/>
      <w:lvlText w:val="%1．"/>
      <w:lvlJc w:val="left"/>
      <w:pPr>
        <w:ind w:left="0" w:firstLine="400"/>
      </w:pPr>
      <w:rPr>
        <w:rFonts w:hint="default"/>
      </w:rPr>
    </w:lvl>
  </w:abstractNum>
  <w:abstractNum w:abstractNumId="2">
    <w:nsid w:val="DE7DA408"/>
    <w:multiLevelType w:val="multilevel"/>
    <w:tmpl w:val="DE7DA408"/>
    <w:lvl w:ilvl="0" w:tentative="0">
      <w:start w:val="1"/>
      <w:numFmt w:val="decimal"/>
      <w:suff w:val="nothing"/>
      <w:lvlText w:val="%1"/>
      <w:lvlJc w:val="left"/>
      <w:pPr>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DF5FF309"/>
    <w:multiLevelType w:val="singleLevel"/>
    <w:tmpl w:val="DF5FF309"/>
    <w:lvl w:ilvl="0" w:tentative="0">
      <w:start w:val="1"/>
      <w:numFmt w:val="decimal"/>
      <w:suff w:val="nothing"/>
      <w:lvlText w:val="%1、"/>
      <w:lvlJc w:val="left"/>
    </w:lvl>
  </w:abstractNum>
  <w:abstractNum w:abstractNumId="4">
    <w:nsid w:val="0000000B"/>
    <w:multiLevelType w:val="singleLevel"/>
    <w:tmpl w:val="0000000B"/>
    <w:lvl w:ilvl="0" w:tentative="0">
      <w:start w:val="1"/>
      <w:numFmt w:val="decimal"/>
      <w:suff w:val="nothing"/>
      <w:lvlText w:val="%1"/>
      <w:lvlJc w:val="left"/>
      <w:pPr>
        <w:ind w:left="425" w:hanging="425"/>
      </w:pPr>
      <w:rPr>
        <w:rFonts w:hint="default"/>
      </w:rPr>
    </w:lvl>
  </w:abstractNum>
  <w:abstractNum w:abstractNumId="5">
    <w:nsid w:val="00000021"/>
    <w:multiLevelType w:val="multilevel"/>
    <w:tmpl w:val="00000021"/>
    <w:lvl w:ilvl="0" w:tentative="0">
      <w:start w:val="1"/>
      <w:numFmt w:val="decimal"/>
      <w:suff w:val="nothing"/>
      <w:lvlText w:val="%1"/>
      <w:lvlJc w:val="left"/>
      <w:pPr>
        <w:ind w:left="846" w:hanging="420"/>
      </w:pPr>
      <w:rPr>
        <w:rFonts w:hint="eastAsia"/>
      </w:rPr>
    </w:lvl>
    <w:lvl w:ilvl="1" w:tentative="0">
      <w:start w:val="1"/>
      <w:numFmt w:val="lowerLetter"/>
      <w:lvlText w:val="%2)"/>
      <w:lvlJc w:val="left"/>
      <w:pPr>
        <w:tabs>
          <w:tab w:val="left" w:pos="937"/>
        </w:tabs>
        <w:ind w:left="937" w:hanging="420"/>
      </w:pPr>
      <w:rPr>
        <w:rFonts w:hint="eastAsia"/>
      </w:rPr>
    </w:lvl>
    <w:lvl w:ilvl="2" w:tentative="0">
      <w:start w:val="1"/>
      <w:numFmt w:val="lowerRoman"/>
      <w:lvlText w:val="%3."/>
      <w:lvlJc w:val="right"/>
      <w:pPr>
        <w:tabs>
          <w:tab w:val="left" w:pos="1357"/>
        </w:tabs>
        <w:ind w:left="1357" w:hanging="420"/>
      </w:pPr>
      <w:rPr>
        <w:rFonts w:hint="eastAsia"/>
      </w:rPr>
    </w:lvl>
    <w:lvl w:ilvl="3" w:tentative="0">
      <w:start w:val="1"/>
      <w:numFmt w:val="decimal"/>
      <w:lvlText w:val="%4."/>
      <w:lvlJc w:val="left"/>
      <w:pPr>
        <w:tabs>
          <w:tab w:val="left" w:pos="1777"/>
        </w:tabs>
        <w:ind w:left="1777" w:hanging="420"/>
      </w:pPr>
      <w:rPr>
        <w:rFonts w:hint="eastAsia"/>
      </w:rPr>
    </w:lvl>
    <w:lvl w:ilvl="4" w:tentative="0">
      <w:start w:val="1"/>
      <w:numFmt w:val="lowerLetter"/>
      <w:lvlText w:val="%5)"/>
      <w:lvlJc w:val="left"/>
      <w:pPr>
        <w:tabs>
          <w:tab w:val="left" w:pos="2197"/>
        </w:tabs>
        <w:ind w:left="2197" w:hanging="420"/>
      </w:pPr>
      <w:rPr>
        <w:rFonts w:hint="eastAsia"/>
      </w:rPr>
    </w:lvl>
    <w:lvl w:ilvl="5" w:tentative="0">
      <w:start w:val="1"/>
      <w:numFmt w:val="lowerRoman"/>
      <w:lvlText w:val="%6."/>
      <w:lvlJc w:val="right"/>
      <w:pPr>
        <w:tabs>
          <w:tab w:val="left" w:pos="2617"/>
        </w:tabs>
        <w:ind w:left="2617" w:hanging="420"/>
      </w:pPr>
      <w:rPr>
        <w:rFonts w:hint="eastAsia"/>
      </w:rPr>
    </w:lvl>
    <w:lvl w:ilvl="6" w:tentative="0">
      <w:start w:val="1"/>
      <w:numFmt w:val="decimal"/>
      <w:lvlText w:val="%7."/>
      <w:lvlJc w:val="left"/>
      <w:pPr>
        <w:tabs>
          <w:tab w:val="left" w:pos="3037"/>
        </w:tabs>
        <w:ind w:left="3037" w:hanging="420"/>
      </w:pPr>
      <w:rPr>
        <w:rFonts w:hint="eastAsia"/>
      </w:rPr>
    </w:lvl>
    <w:lvl w:ilvl="7" w:tentative="0">
      <w:start w:val="1"/>
      <w:numFmt w:val="lowerLetter"/>
      <w:lvlText w:val="%8)"/>
      <w:lvlJc w:val="left"/>
      <w:pPr>
        <w:tabs>
          <w:tab w:val="left" w:pos="3457"/>
        </w:tabs>
        <w:ind w:left="3457" w:hanging="420"/>
      </w:pPr>
      <w:rPr>
        <w:rFonts w:hint="eastAsia"/>
      </w:rPr>
    </w:lvl>
    <w:lvl w:ilvl="8" w:tentative="0">
      <w:start w:val="1"/>
      <w:numFmt w:val="lowerRoman"/>
      <w:lvlText w:val="%9."/>
      <w:lvlJc w:val="right"/>
      <w:pPr>
        <w:tabs>
          <w:tab w:val="left" w:pos="3877"/>
        </w:tabs>
        <w:ind w:left="3877" w:hanging="420"/>
      </w:pPr>
      <w:rPr>
        <w:rFonts w:hint="eastAsia"/>
      </w:rPr>
    </w:lvl>
  </w:abstractNum>
  <w:abstractNum w:abstractNumId="6">
    <w:nsid w:val="1B44BF0B"/>
    <w:multiLevelType w:val="singleLevel"/>
    <w:tmpl w:val="1B44BF0B"/>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7">
    <w:nsid w:val="5DD447EA"/>
    <w:multiLevelType w:val="multilevel"/>
    <w:tmpl w:val="5DD447EA"/>
    <w:lvl w:ilvl="0" w:tentative="0">
      <w:start w:val="1"/>
      <w:numFmt w:val="decimal"/>
      <w:lvlText w:val="%1."/>
      <w:lvlJc w:val="left"/>
      <w:pPr>
        <w:tabs>
          <w:tab w:val="left" w:pos="420"/>
        </w:tabs>
        <w:ind w:left="420" w:hanging="420"/>
      </w:pPr>
      <w:rPr>
        <w:rFonts w:hint="default" w:ascii="Times New Roman" w:hAnsi="Times New Roman" w:cs="Times New Roman"/>
        <w:sz w:val="28"/>
        <w:szCs w:val="28"/>
      </w:rPr>
    </w:lvl>
    <w:lvl w:ilvl="1" w:tentative="0">
      <w:start w:val="1"/>
      <w:numFmt w:val="decimal"/>
      <w:lvlText w:val="%2．"/>
      <w:lvlJc w:val="left"/>
      <w:pPr>
        <w:tabs>
          <w:tab w:val="left" w:pos="780"/>
        </w:tabs>
        <w:ind w:left="780" w:hanging="360"/>
      </w:pPr>
      <w:rPr>
        <w:rFonts w:hint="default"/>
      </w:rPr>
    </w:lvl>
    <w:lvl w:ilvl="2" w:tentative="0">
      <w:start w:val="1"/>
      <w:numFmt w:val="decimal"/>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8">
    <w:nsid w:val="5F47610E"/>
    <w:multiLevelType w:val="singleLevel"/>
    <w:tmpl w:val="5F47610E"/>
    <w:lvl w:ilvl="0" w:tentative="0">
      <w:start w:val="1"/>
      <w:numFmt w:val="decimal"/>
      <w:suff w:val="nothing"/>
      <w:lvlText w:val="%1．"/>
      <w:lvlJc w:val="left"/>
      <w:pPr>
        <w:ind w:left="0" w:firstLine="400"/>
      </w:pPr>
      <w:rPr>
        <w:rFonts w:hint="default" w:ascii="宋体" w:hAnsi="宋体" w:eastAsia="宋体" w:cstheme="minorEastAsia"/>
        <w:sz w:val="28"/>
        <w:szCs w:val="28"/>
      </w:rPr>
    </w:lvl>
  </w:abstractNum>
  <w:abstractNum w:abstractNumId="9">
    <w:nsid w:val="64293BCC"/>
    <w:multiLevelType w:val="multilevel"/>
    <w:tmpl w:val="64293BCC"/>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0">
    <w:nsid w:val="6BE6238A"/>
    <w:multiLevelType w:val="multilevel"/>
    <w:tmpl w:val="6BE6238A"/>
    <w:lvl w:ilvl="0" w:tentative="0">
      <w:start w:val="1"/>
      <w:numFmt w:val="decimal"/>
      <w:suff w:val="nothing"/>
      <w:lvlText w:val="%1"/>
      <w:lvlJc w:val="left"/>
      <w:pPr>
        <w:ind w:left="0" w:firstLine="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6"/>
  </w:num>
  <w:num w:numId="2">
    <w:abstractNumId w:val="8"/>
  </w:num>
  <w:num w:numId="3">
    <w:abstractNumId w:val="3"/>
  </w:num>
  <w:num w:numId="4">
    <w:abstractNumId w:val="7"/>
  </w:num>
  <w:num w:numId="5">
    <w:abstractNumId w:val="0"/>
  </w:num>
  <w:num w:numId="6">
    <w:abstractNumId w:val="5"/>
  </w:num>
  <w:num w:numId="7">
    <w:abstractNumId w:val="4"/>
  </w:num>
  <w:num w:numId="8">
    <w:abstractNumId w:val="10"/>
  </w:num>
  <w:num w:numId="9">
    <w:abstractNumId w:val="2"/>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172A27"/>
    <w:rsid w:val="00037FFE"/>
    <w:rsid w:val="0037091A"/>
    <w:rsid w:val="003B4D07"/>
    <w:rsid w:val="00403264"/>
    <w:rsid w:val="004615F6"/>
    <w:rsid w:val="008058AF"/>
    <w:rsid w:val="00977B14"/>
    <w:rsid w:val="00EA058C"/>
    <w:rsid w:val="00F52A8D"/>
    <w:rsid w:val="01307B36"/>
    <w:rsid w:val="01390BCC"/>
    <w:rsid w:val="01F84F88"/>
    <w:rsid w:val="01FD42EF"/>
    <w:rsid w:val="026305F6"/>
    <w:rsid w:val="026D18C9"/>
    <w:rsid w:val="02F318A5"/>
    <w:rsid w:val="031E62CB"/>
    <w:rsid w:val="036208AE"/>
    <w:rsid w:val="03CE2FD9"/>
    <w:rsid w:val="04295BCF"/>
    <w:rsid w:val="043F299D"/>
    <w:rsid w:val="04BF3ADE"/>
    <w:rsid w:val="04E325EE"/>
    <w:rsid w:val="057E74F5"/>
    <w:rsid w:val="05DE7F94"/>
    <w:rsid w:val="066F6E3E"/>
    <w:rsid w:val="06883548"/>
    <w:rsid w:val="06C21663"/>
    <w:rsid w:val="075B5D40"/>
    <w:rsid w:val="07797F74"/>
    <w:rsid w:val="078A2181"/>
    <w:rsid w:val="08597DA5"/>
    <w:rsid w:val="088F5575"/>
    <w:rsid w:val="08B17BE1"/>
    <w:rsid w:val="08D12032"/>
    <w:rsid w:val="0917312A"/>
    <w:rsid w:val="09216B15"/>
    <w:rsid w:val="096021F9"/>
    <w:rsid w:val="097A7FD3"/>
    <w:rsid w:val="09905A49"/>
    <w:rsid w:val="09DF3C07"/>
    <w:rsid w:val="0A665FDA"/>
    <w:rsid w:val="0AA62FCB"/>
    <w:rsid w:val="0B060DD8"/>
    <w:rsid w:val="0B1F0CD8"/>
    <w:rsid w:val="0BE31E81"/>
    <w:rsid w:val="0C547201"/>
    <w:rsid w:val="0C6236CC"/>
    <w:rsid w:val="0CBE246E"/>
    <w:rsid w:val="0CF14A50"/>
    <w:rsid w:val="0CF626F0"/>
    <w:rsid w:val="0D0F4ED6"/>
    <w:rsid w:val="0D3E26CF"/>
    <w:rsid w:val="0D841421"/>
    <w:rsid w:val="0DA970D9"/>
    <w:rsid w:val="0DAD0977"/>
    <w:rsid w:val="0DD57ECE"/>
    <w:rsid w:val="0E373772"/>
    <w:rsid w:val="0F841BAC"/>
    <w:rsid w:val="10DD5A17"/>
    <w:rsid w:val="10ED05B0"/>
    <w:rsid w:val="11012E9F"/>
    <w:rsid w:val="11044587"/>
    <w:rsid w:val="11292A0B"/>
    <w:rsid w:val="11382FB5"/>
    <w:rsid w:val="11567578"/>
    <w:rsid w:val="118E0AC0"/>
    <w:rsid w:val="11A82B18"/>
    <w:rsid w:val="1210334B"/>
    <w:rsid w:val="124F46F3"/>
    <w:rsid w:val="125A6BF4"/>
    <w:rsid w:val="12777B92"/>
    <w:rsid w:val="129F3029"/>
    <w:rsid w:val="12C26BBA"/>
    <w:rsid w:val="1306399B"/>
    <w:rsid w:val="139E0D62"/>
    <w:rsid w:val="13B93BBD"/>
    <w:rsid w:val="13CE2B9A"/>
    <w:rsid w:val="149363ED"/>
    <w:rsid w:val="149D5E73"/>
    <w:rsid w:val="150B2B6F"/>
    <w:rsid w:val="15152803"/>
    <w:rsid w:val="15916DD0"/>
    <w:rsid w:val="15BB3E4D"/>
    <w:rsid w:val="15F5110D"/>
    <w:rsid w:val="16AD19E8"/>
    <w:rsid w:val="16BD6872"/>
    <w:rsid w:val="16E97B46"/>
    <w:rsid w:val="16F05D79"/>
    <w:rsid w:val="17D17958"/>
    <w:rsid w:val="186B3909"/>
    <w:rsid w:val="186D0114"/>
    <w:rsid w:val="18C4126B"/>
    <w:rsid w:val="18CB25F9"/>
    <w:rsid w:val="196B7938"/>
    <w:rsid w:val="1A08459F"/>
    <w:rsid w:val="1A891583"/>
    <w:rsid w:val="1A8E444A"/>
    <w:rsid w:val="1A9A2283"/>
    <w:rsid w:val="1B302BE8"/>
    <w:rsid w:val="1B4F7934"/>
    <w:rsid w:val="1B59213E"/>
    <w:rsid w:val="1B7F1479"/>
    <w:rsid w:val="1BA36398"/>
    <w:rsid w:val="1BDE2644"/>
    <w:rsid w:val="1C004683"/>
    <w:rsid w:val="1C29566E"/>
    <w:rsid w:val="1C6C7C4F"/>
    <w:rsid w:val="1CFB0616"/>
    <w:rsid w:val="1D102CD1"/>
    <w:rsid w:val="1DE5415D"/>
    <w:rsid w:val="1DE877AA"/>
    <w:rsid w:val="1E0B5246"/>
    <w:rsid w:val="1E636E30"/>
    <w:rsid w:val="1E6B7089"/>
    <w:rsid w:val="1EB22117"/>
    <w:rsid w:val="1F176598"/>
    <w:rsid w:val="1F8B2AE2"/>
    <w:rsid w:val="1F973235"/>
    <w:rsid w:val="1FCD0CAE"/>
    <w:rsid w:val="204D1B46"/>
    <w:rsid w:val="20B84567"/>
    <w:rsid w:val="222114DC"/>
    <w:rsid w:val="22572F61"/>
    <w:rsid w:val="22E22A19"/>
    <w:rsid w:val="234676BE"/>
    <w:rsid w:val="23A23E0D"/>
    <w:rsid w:val="23D9206E"/>
    <w:rsid w:val="25396B3D"/>
    <w:rsid w:val="253F23A5"/>
    <w:rsid w:val="25551BC9"/>
    <w:rsid w:val="257F27A2"/>
    <w:rsid w:val="258437D0"/>
    <w:rsid w:val="2584425C"/>
    <w:rsid w:val="258A1146"/>
    <w:rsid w:val="25951FC5"/>
    <w:rsid w:val="25EB42DB"/>
    <w:rsid w:val="26081520"/>
    <w:rsid w:val="267F67D1"/>
    <w:rsid w:val="272A498F"/>
    <w:rsid w:val="274E4B21"/>
    <w:rsid w:val="27566B40"/>
    <w:rsid w:val="2780282B"/>
    <w:rsid w:val="27B506FD"/>
    <w:rsid w:val="27D16514"/>
    <w:rsid w:val="281A6B8D"/>
    <w:rsid w:val="28AA471D"/>
    <w:rsid w:val="28B906C0"/>
    <w:rsid w:val="28FC56D6"/>
    <w:rsid w:val="295757E3"/>
    <w:rsid w:val="29B843B4"/>
    <w:rsid w:val="29DA08EE"/>
    <w:rsid w:val="2A571F3F"/>
    <w:rsid w:val="2A832D34"/>
    <w:rsid w:val="2AE9690F"/>
    <w:rsid w:val="2B7D7783"/>
    <w:rsid w:val="2BB4516F"/>
    <w:rsid w:val="2BB533C1"/>
    <w:rsid w:val="2BDB6BA0"/>
    <w:rsid w:val="2C02412C"/>
    <w:rsid w:val="2C0E213A"/>
    <w:rsid w:val="2C567FD4"/>
    <w:rsid w:val="2C7F577D"/>
    <w:rsid w:val="2D9A2728"/>
    <w:rsid w:val="2DB26A8C"/>
    <w:rsid w:val="2E4C78E1"/>
    <w:rsid w:val="2E7110F5"/>
    <w:rsid w:val="2EAB35E9"/>
    <w:rsid w:val="2F882B9B"/>
    <w:rsid w:val="308E5F8F"/>
    <w:rsid w:val="30C65728"/>
    <w:rsid w:val="30FF7C03"/>
    <w:rsid w:val="310444A3"/>
    <w:rsid w:val="31501496"/>
    <w:rsid w:val="31804A78"/>
    <w:rsid w:val="3193376C"/>
    <w:rsid w:val="3198110D"/>
    <w:rsid w:val="31C6228B"/>
    <w:rsid w:val="32087FC3"/>
    <w:rsid w:val="32285F6F"/>
    <w:rsid w:val="32591540"/>
    <w:rsid w:val="327D275F"/>
    <w:rsid w:val="328C29A2"/>
    <w:rsid w:val="32C77B0E"/>
    <w:rsid w:val="33574D5E"/>
    <w:rsid w:val="33820877"/>
    <w:rsid w:val="33BF5CC6"/>
    <w:rsid w:val="33CA08A1"/>
    <w:rsid w:val="33FE24D0"/>
    <w:rsid w:val="34203A14"/>
    <w:rsid w:val="343E7CCC"/>
    <w:rsid w:val="34533777"/>
    <w:rsid w:val="34F2334A"/>
    <w:rsid w:val="35647C06"/>
    <w:rsid w:val="35A4250B"/>
    <w:rsid w:val="35EF74CF"/>
    <w:rsid w:val="35F44AE6"/>
    <w:rsid w:val="36FF3742"/>
    <w:rsid w:val="37760B2A"/>
    <w:rsid w:val="37C56452"/>
    <w:rsid w:val="37C624B2"/>
    <w:rsid w:val="37FA215C"/>
    <w:rsid w:val="380F3E59"/>
    <w:rsid w:val="3832488B"/>
    <w:rsid w:val="384358B1"/>
    <w:rsid w:val="38C23B11"/>
    <w:rsid w:val="393873DF"/>
    <w:rsid w:val="39D0586A"/>
    <w:rsid w:val="3A0A3280"/>
    <w:rsid w:val="3A2160C5"/>
    <w:rsid w:val="3A4A1178"/>
    <w:rsid w:val="3AA0523C"/>
    <w:rsid w:val="3AAF1923"/>
    <w:rsid w:val="3AB94550"/>
    <w:rsid w:val="3AF235BE"/>
    <w:rsid w:val="3B201ED9"/>
    <w:rsid w:val="3B4D1D67"/>
    <w:rsid w:val="3B4E14F1"/>
    <w:rsid w:val="3BEB24E7"/>
    <w:rsid w:val="3C0506CE"/>
    <w:rsid w:val="3C485B8B"/>
    <w:rsid w:val="3DD35929"/>
    <w:rsid w:val="3DDC47DD"/>
    <w:rsid w:val="3E1F46CA"/>
    <w:rsid w:val="3E4B4E68"/>
    <w:rsid w:val="3E4E3201"/>
    <w:rsid w:val="3ED62C86"/>
    <w:rsid w:val="3EE74B4F"/>
    <w:rsid w:val="3F27799F"/>
    <w:rsid w:val="3F687994"/>
    <w:rsid w:val="3F9F3D14"/>
    <w:rsid w:val="3FAA090B"/>
    <w:rsid w:val="3FD31C10"/>
    <w:rsid w:val="3FD61700"/>
    <w:rsid w:val="402B46CB"/>
    <w:rsid w:val="40A84E4B"/>
    <w:rsid w:val="411918A4"/>
    <w:rsid w:val="411C1F81"/>
    <w:rsid w:val="413A4D69"/>
    <w:rsid w:val="41D81760"/>
    <w:rsid w:val="422C255F"/>
    <w:rsid w:val="42770F78"/>
    <w:rsid w:val="427D1638"/>
    <w:rsid w:val="42CA4AC4"/>
    <w:rsid w:val="42D812EB"/>
    <w:rsid w:val="438831B3"/>
    <w:rsid w:val="43910F3B"/>
    <w:rsid w:val="43996CCD"/>
    <w:rsid w:val="43D451DF"/>
    <w:rsid w:val="442A5B77"/>
    <w:rsid w:val="4473751E"/>
    <w:rsid w:val="44A21BB1"/>
    <w:rsid w:val="45036AF3"/>
    <w:rsid w:val="4513625F"/>
    <w:rsid w:val="454E2BF1"/>
    <w:rsid w:val="45C329E8"/>
    <w:rsid w:val="46236D21"/>
    <w:rsid w:val="46317690"/>
    <w:rsid w:val="46333408"/>
    <w:rsid w:val="46722AEC"/>
    <w:rsid w:val="46750719"/>
    <w:rsid w:val="46E93AC7"/>
    <w:rsid w:val="46F56910"/>
    <w:rsid w:val="47065BC0"/>
    <w:rsid w:val="470E79D1"/>
    <w:rsid w:val="471274C2"/>
    <w:rsid w:val="473E2065"/>
    <w:rsid w:val="47B62FF4"/>
    <w:rsid w:val="47CD6D4D"/>
    <w:rsid w:val="47D06A35"/>
    <w:rsid w:val="48455675"/>
    <w:rsid w:val="48587156"/>
    <w:rsid w:val="48621D83"/>
    <w:rsid w:val="4880581D"/>
    <w:rsid w:val="48C742DC"/>
    <w:rsid w:val="49974E90"/>
    <w:rsid w:val="49BA37A8"/>
    <w:rsid w:val="49F20EE5"/>
    <w:rsid w:val="49FE3D2D"/>
    <w:rsid w:val="4A5E3AB1"/>
    <w:rsid w:val="4A965D14"/>
    <w:rsid w:val="4A995804"/>
    <w:rsid w:val="4B1F5D09"/>
    <w:rsid w:val="4B2477C4"/>
    <w:rsid w:val="4B50680B"/>
    <w:rsid w:val="4B771FE9"/>
    <w:rsid w:val="4BBC17AA"/>
    <w:rsid w:val="4BC36017"/>
    <w:rsid w:val="4BE420AE"/>
    <w:rsid w:val="4BE5114D"/>
    <w:rsid w:val="4C854620"/>
    <w:rsid w:val="4CF80F08"/>
    <w:rsid w:val="4D2770F7"/>
    <w:rsid w:val="4D340BFE"/>
    <w:rsid w:val="4D4C4DB0"/>
    <w:rsid w:val="4D5325E2"/>
    <w:rsid w:val="4D793730"/>
    <w:rsid w:val="4DCF7EBB"/>
    <w:rsid w:val="4E41068C"/>
    <w:rsid w:val="4E6A373F"/>
    <w:rsid w:val="4E892E8C"/>
    <w:rsid w:val="4E97165A"/>
    <w:rsid w:val="4F7F146C"/>
    <w:rsid w:val="50EF6964"/>
    <w:rsid w:val="51714DE5"/>
    <w:rsid w:val="51D83E65"/>
    <w:rsid w:val="52330C8E"/>
    <w:rsid w:val="52972F71"/>
    <w:rsid w:val="52EF6909"/>
    <w:rsid w:val="5325232B"/>
    <w:rsid w:val="53DB6F19"/>
    <w:rsid w:val="542645AC"/>
    <w:rsid w:val="54884EDD"/>
    <w:rsid w:val="5495528E"/>
    <w:rsid w:val="54CB0CB0"/>
    <w:rsid w:val="54E7478C"/>
    <w:rsid w:val="55110DB9"/>
    <w:rsid w:val="5578545A"/>
    <w:rsid w:val="55B77639"/>
    <w:rsid w:val="55D63DB0"/>
    <w:rsid w:val="560C7C45"/>
    <w:rsid w:val="564A3F4D"/>
    <w:rsid w:val="56535401"/>
    <w:rsid w:val="566B61EE"/>
    <w:rsid w:val="57EC0DF5"/>
    <w:rsid w:val="57FF139C"/>
    <w:rsid w:val="584D35E0"/>
    <w:rsid w:val="58591489"/>
    <w:rsid w:val="58BF6D7E"/>
    <w:rsid w:val="58D81BED"/>
    <w:rsid w:val="58FF717A"/>
    <w:rsid w:val="59301A29"/>
    <w:rsid w:val="594C6863"/>
    <w:rsid w:val="5A3A490E"/>
    <w:rsid w:val="5AB1356F"/>
    <w:rsid w:val="5B062A42"/>
    <w:rsid w:val="5B4A6DD2"/>
    <w:rsid w:val="5BD20B76"/>
    <w:rsid w:val="5BD7618C"/>
    <w:rsid w:val="5BE10DB9"/>
    <w:rsid w:val="5C1E6167"/>
    <w:rsid w:val="5C6E6AF1"/>
    <w:rsid w:val="5C8C6810"/>
    <w:rsid w:val="5C9A6ADB"/>
    <w:rsid w:val="5CB65CF2"/>
    <w:rsid w:val="5D600B2F"/>
    <w:rsid w:val="5DBE2757"/>
    <w:rsid w:val="5E766130"/>
    <w:rsid w:val="5F30008D"/>
    <w:rsid w:val="5F4E71A1"/>
    <w:rsid w:val="5FB041E9"/>
    <w:rsid w:val="5FFD237F"/>
    <w:rsid w:val="5FFF0712"/>
    <w:rsid w:val="60235E44"/>
    <w:rsid w:val="603242D9"/>
    <w:rsid w:val="60682E56"/>
    <w:rsid w:val="608F0407"/>
    <w:rsid w:val="609615E6"/>
    <w:rsid w:val="61087543"/>
    <w:rsid w:val="61193647"/>
    <w:rsid w:val="61271964"/>
    <w:rsid w:val="61F555BE"/>
    <w:rsid w:val="62061579"/>
    <w:rsid w:val="620F65C7"/>
    <w:rsid w:val="623E51B7"/>
    <w:rsid w:val="62742987"/>
    <w:rsid w:val="629E7A04"/>
    <w:rsid w:val="63193A32"/>
    <w:rsid w:val="632048BD"/>
    <w:rsid w:val="63D25BB7"/>
    <w:rsid w:val="649C61BD"/>
    <w:rsid w:val="64B86254"/>
    <w:rsid w:val="64BE438D"/>
    <w:rsid w:val="64E6473C"/>
    <w:rsid w:val="652A08E5"/>
    <w:rsid w:val="654C1999"/>
    <w:rsid w:val="65817895"/>
    <w:rsid w:val="65A74E21"/>
    <w:rsid w:val="65E95170"/>
    <w:rsid w:val="65F00576"/>
    <w:rsid w:val="668802AE"/>
    <w:rsid w:val="669B4986"/>
    <w:rsid w:val="66C11F13"/>
    <w:rsid w:val="66EA1469"/>
    <w:rsid w:val="672229B1"/>
    <w:rsid w:val="67430B73"/>
    <w:rsid w:val="675E59B4"/>
    <w:rsid w:val="678E0047"/>
    <w:rsid w:val="684B5F38"/>
    <w:rsid w:val="68915F2A"/>
    <w:rsid w:val="68BB2E2F"/>
    <w:rsid w:val="68E36170"/>
    <w:rsid w:val="68ED5241"/>
    <w:rsid w:val="69216C99"/>
    <w:rsid w:val="69821E2D"/>
    <w:rsid w:val="69CA2572"/>
    <w:rsid w:val="69F30635"/>
    <w:rsid w:val="6AD246EE"/>
    <w:rsid w:val="6ADC731B"/>
    <w:rsid w:val="6BA45FD2"/>
    <w:rsid w:val="6BC04E8F"/>
    <w:rsid w:val="6BC229B5"/>
    <w:rsid w:val="6BC77FCB"/>
    <w:rsid w:val="6BE566A3"/>
    <w:rsid w:val="6C3F7B62"/>
    <w:rsid w:val="6C5C0714"/>
    <w:rsid w:val="6C700663"/>
    <w:rsid w:val="6CC87B57"/>
    <w:rsid w:val="6CEE46A5"/>
    <w:rsid w:val="6D8A7502"/>
    <w:rsid w:val="6D8D0DA1"/>
    <w:rsid w:val="6E1A6AD8"/>
    <w:rsid w:val="6E5D0773"/>
    <w:rsid w:val="6F235460"/>
    <w:rsid w:val="6F685621"/>
    <w:rsid w:val="6F6A75EB"/>
    <w:rsid w:val="6FA13AE2"/>
    <w:rsid w:val="71125845"/>
    <w:rsid w:val="717B5AE0"/>
    <w:rsid w:val="71D469C8"/>
    <w:rsid w:val="72BF1310"/>
    <w:rsid w:val="7407365B"/>
    <w:rsid w:val="745F57B0"/>
    <w:rsid w:val="74730CF0"/>
    <w:rsid w:val="74AA4CE6"/>
    <w:rsid w:val="74DD260E"/>
    <w:rsid w:val="74DF3C86"/>
    <w:rsid w:val="750870CF"/>
    <w:rsid w:val="750D2EF3"/>
    <w:rsid w:val="75267B7B"/>
    <w:rsid w:val="755328D0"/>
    <w:rsid w:val="757C1E26"/>
    <w:rsid w:val="75880FDA"/>
    <w:rsid w:val="759A405B"/>
    <w:rsid w:val="76714D02"/>
    <w:rsid w:val="76C05D43"/>
    <w:rsid w:val="76C27D0D"/>
    <w:rsid w:val="76E5121D"/>
    <w:rsid w:val="7735228D"/>
    <w:rsid w:val="77974CF6"/>
    <w:rsid w:val="779F77C8"/>
    <w:rsid w:val="77AD276B"/>
    <w:rsid w:val="77C005B0"/>
    <w:rsid w:val="77CC6C00"/>
    <w:rsid w:val="77D45166"/>
    <w:rsid w:val="780332D0"/>
    <w:rsid w:val="78680440"/>
    <w:rsid w:val="78FE2B52"/>
    <w:rsid w:val="79091C23"/>
    <w:rsid w:val="79646E59"/>
    <w:rsid w:val="79AE76D4"/>
    <w:rsid w:val="79C142AC"/>
    <w:rsid w:val="79F30795"/>
    <w:rsid w:val="79FB37F8"/>
    <w:rsid w:val="7A3C38ED"/>
    <w:rsid w:val="7AAD0390"/>
    <w:rsid w:val="7ACD6C80"/>
    <w:rsid w:val="7AFE32DE"/>
    <w:rsid w:val="7AFE508C"/>
    <w:rsid w:val="7BA619AB"/>
    <w:rsid w:val="7BFC781D"/>
    <w:rsid w:val="7BFD5489"/>
    <w:rsid w:val="7C286864"/>
    <w:rsid w:val="7C2E374F"/>
    <w:rsid w:val="7C58175D"/>
    <w:rsid w:val="7CAD6D69"/>
    <w:rsid w:val="7CB400F8"/>
    <w:rsid w:val="7CF90201"/>
    <w:rsid w:val="7D20753B"/>
    <w:rsid w:val="7D697134"/>
    <w:rsid w:val="7D84182A"/>
    <w:rsid w:val="7E141EC2"/>
    <w:rsid w:val="7E301A00"/>
    <w:rsid w:val="7E660BD9"/>
    <w:rsid w:val="7E6671D0"/>
    <w:rsid w:val="7EA877E8"/>
    <w:rsid w:val="7EB50157"/>
    <w:rsid w:val="7F517E80"/>
    <w:rsid w:val="7F8A5140"/>
    <w:rsid w:val="7F8F2756"/>
    <w:rsid w:val="7FDC1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24"/>
      <w:lang w:val="en-US" w:eastAsia="zh-CN" w:bidi="ar-SA"/>
    </w:rPr>
  </w:style>
  <w:style w:type="paragraph" w:styleId="2">
    <w:name w:val="heading 1"/>
    <w:basedOn w:val="1"/>
    <w:next w:val="1"/>
    <w:qFormat/>
    <w:uiPriority w:val="0"/>
    <w:pPr>
      <w:keepNext/>
      <w:keepLines/>
      <w:snapToGrid w:val="0"/>
      <w:spacing w:beforeLines="50" w:afterLines="50" w:line="520" w:lineRule="exact"/>
      <w:jc w:val="center"/>
      <w:outlineLvl w:val="0"/>
    </w:pPr>
    <w:rPr>
      <w:rFonts w:ascii="黑体" w:hAnsi="黑体" w:eastAsia="黑体"/>
      <w:b/>
      <w:bCs/>
      <w:kern w:val="44"/>
      <w:sz w:val="36"/>
      <w:szCs w:val="36"/>
    </w:rPr>
  </w:style>
  <w:style w:type="paragraph" w:styleId="3">
    <w:name w:val="heading 2"/>
    <w:basedOn w:val="1"/>
    <w:next w:val="1"/>
    <w:qFormat/>
    <w:uiPriority w:val="0"/>
    <w:pPr>
      <w:keepNext/>
      <w:keepLines/>
      <w:spacing w:before="260" w:after="260" w:line="415" w:lineRule="auto"/>
      <w:jc w:val="left"/>
      <w:outlineLvl w:val="1"/>
    </w:pPr>
    <w:rPr>
      <w:rFonts w:ascii="Arial" w:hAnsi="Arial"/>
      <w:b/>
      <w:bCs/>
      <w:kern w:val="2"/>
      <w:sz w:val="32"/>
      <w:szCs w:val="32"/>
    </w:rPr>
  </w:style>
  <w:style w:type="paragraph" w:styleId="4">
    <w:name w:val="heading 3"/>
    <w:basedOn w:val="1"/>
    <w:next w:val="1"/>
    <w:link w:val="42"/>
    <w:qFormat/>
    <w:uiPriority w:val="0"/>
    <w:pPr>
      <w:keepNext/>
      <w:keepLines/>
      <w:spacing w:before="260" w:after="260" w:line="360" w:lineRule="auto"/>
      <w:ind w:leftChars="200"/>
      <w:jc w:val="left"/>
      <w:outlineLvl w:val="2"/>
    </w:pPr>
    <w:rPr>
      <w:b/>
      <w:bCs/>
      <w:kern w:val="2"/>
      <w:sz w:val="30"/>
      <w:szCs w:val="32"/>
    </w:rPr>
  </w:style>
  <w:style w:type="paragraph" w:styleId="5">
    <w:name w:val="heading 4"/>
    <w:basedOn w:val="1"/>
    <w:next w:val="1"/>
    <w:link w:val="43"/>
    <w:qFormat/>
    <w:uiPriority w:val="0"/>
    <w:pPr>
      <w:snapToGrid w:val="0"/>
      <w:spacing w:line="360" w:lineRule="auto"/>
      <w:jc w:val="left"/>
      <w:outlineLvl w:val="3"/>
    </w:pPr>
    <w:rPr>
      <w:rFonts w:ascii="黑体" w:hAnsi="黑体" w:eastAsia="黑体"/>
      <w:b/>
      <w:bCs/>
      <w:kern w:val="2"/>
      <w:sz w:val="28"/>
      <w:szCs w:val="28"/>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6">
    <w:name w:val="Normal Indent"/>
    <w:basedOn w:val="1"/>
    <w:next w:val="1"/>
    <w:qFormat/>
    <w:uiPriority w:val="0"/>
    <w:pPr>
      <w:snapToGrid w:val="0"/>
      <w:spacing w:line="360" w:lineRule="auto"/>
      <w:ind w:firstLine="420" w:firstLineChars="200"/>
    </w:pPr>
    <w:rPr>
      <w:rFonts w:ascii="Times New Roman" w:hAnsi="Times New Roman" w:eastAsia="宋体" w:cs="Times New Roman"/>
      <w:sz w:val="28"/>
      <w:szCs w:val="28"/>
    </w:rPr>
  </w:style>
  <w:style w:type="paragraph" w:styleId="7">
    <w:name w:val="caption"/>
    <w:basedOn w:val="1"/>
    <w:next w:val="1"/>
    <w:qFormat/>
    <w:uiPriority w:val="0"/>
    <w:rPr>
      <w:rFonts w:ascii="Arial" w:hAnsi="Arial" w:eastAsia="黑体" w:cs="Arial"/>
      <w:sz w:val="15"/>
    </w:rPr>
  </w:style>
  <w:style w:type="paragraph" w:styleId="8">
    <w:name w:val="Document Map"/>
    <w:basedOn w:val="1"/>
    <w:semiHidden/>
    <w:qFormat/>
    <w:uiPriority w:val="0"/>
    <w:pPr>
      <w:shd w:val="clear" w:color="auto" w:fill="000080"/>
    </w:pPr>
  </w:style>
  <w:style w:type="paragraph" w:styleId="9">
    <w:name w:val="annotation text"/>
    <w:basedOn w:val="1"/>
    <w:semiHidden/>
    <w:qFormat/>
    <w:uiPriority w:val="0"/>
    <w:pPr>
      <w:jc w:val="left"/>
    </w:pPr>
  </w:style>
  <w:style w:type="paragraph" w:styleId="10">
    <w:name w:val="Body Text"/>
    <w:basedOn w:val="1"/>
    <w:semiHidden/>
    <w:qFormat/>
    <w:uiPriority w:val="0"/>
    <w:rPr>
      <w:rFonts w:ascii="Arial" w:hAnsi="Arial" w:eastAsia="Arial" w:cs="Arial"/>
      <w:sz w:val="21"/>
      <w:szCs w:val="21"/>
      <w:lang w:val="en-US" w:eastAsia="en-US" w:bidi="ar-SA"/>
    </w:rPr>
  </w:style>
  <w:style w:type="paragraph" w:styleId="11">
    <w:name w:val="Body Text Indent"/>
    <w:basedOn w:val="1"/>
    <w:qFormat/>
    <w:uiPriority w:val="0"/>
    <w:pPr>
      <w:ind w:left="420" w:leftChars="200"/>
    </w:pPr>
  </w:style>
  <w:style w:type="paragraph" w:styleId="12">
    <w:name w:val="toc 3"/>
    <w:basedOn w:val="1"/>
    <w:next w:val="1"/>
    <w:qFormat/>
    <w:uiPriority w:val="0"/>
    <w:pPr>
      <w:ind w:left="840" w:leftChars="400"/>
    </w:pPr>
  </w:style>
  <w:style w:type="paragraph" w:styleId="13">
    <w:name w:val="Plain Text"/>
    <w:basedOn w:val="1"/>
    <w:qFormat/>
    <w:uiPriority w:val="0"/>
    <w:rPr>
      <w:rFonts w:ascii="宋体" w:hAnsi="Consolas"/>
      <w:szCs w:val="21"/>
    </w:rPr>
  </w:style>
  <w:style w:type="paragraph" w:styleId="14">
    <w:name w:val="Body Text Indent 2"/>
    <w:basedOn w:val="1"/>
    <w:qFormat/>
    <w:uiPriority w:val="0"/>
    <w:pPr>
      <w:spacing w:after="120" w:line="480" w:lineRule="auto"/>
      <w:ind w:left="420" w:leftChars="200"/>
    </w:p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style>
  <w:style w:type="paragraph" w:styleId="18">
    <w:name w:val="index heading"/>
    <w:basedOn w:val="1"/>
    <w:next w:val="19"/>
    <w:qFormat/>
    <w:uiPriority w:val="0"/>
  </w:style>
  <w:style w:type="paragraph" w:styleId="19">
    <w:name w:val="index 1"/>
    <w:basedOn w:val="1"/>
    <w:next w:val="1"/>
    <w:qFormat/>
    <w:uiPriority w:val="0"/>
  </w:style>
  <w:style w:type="paragraph" w:styleId="20">
    <w:name w:val="toc 2"/>
    <w:basedOn w:val="1"/>
    <w:next w:val="1"/>
    <w:qFormat/>
    <w:uiPriority w:val="0"/>
    <w:pPr>
      <w:ind w:left="420" w:leftChars="200"/>
    </w:pPr>
  </w:style>
  <w:style w:type="paragraph" w:styleId="21">
    <w:name w:val="Normal (Web)"/>
    <w:basedOn w:val="1"/>
    <w:qFormat/>
    <w:uiPriority w:val="0"/>
    <w:pPr>
      <w:widowControl/>
      <w:spacing w:before="100" w:beforeAutospacing="1" w:after="100" w:afterAutospacing="1"/>
      <w:jc w:val="left"/>
    </w:pPr>
    <w:rPr>
      <w:rFonts w:ascii="宋体" w:hAnsi="宋体"/>
      <w:kern w:val="0"/>
      <w:sz w:val="24"/>
    </w:rPr>
  </w:style>
  <w:style w:type="paragraph" w:styleId="22">
    <w:name w:val="Body Text First Indent"/>
    <w:basedOn w:val="1"/>
    <w:next w:val="1"/>
    <w:qFormat/>
    <w:uiPriority w:val="0"/>
    <w:pPr>
      <w:ind w:firstLine="420" w:firstLineChars="100"/>
    </w:pPr>
  </w:style>
  <w:style w:type="paragraph" w:styleId="23">
    <w:name w:val="Body Text First Indent 2"/>
    <w:basedOn w:val="11"/>
    <w:qFormat/>
    <w:uiPriority w:val="0"/>
    <w:pPr>
      <w:ind w:left="0" w:leftChars="0" w:firstLine="420"/>
    </w:pPr>
    <w:rPr>
      <w:rFonts w:ascii="宋体" w:hAnsi="宋体" w:cs="宋体"/>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22"/>
    <w:rPr>
      <w:b/>
      <w:bCs/>
    </w:rPr>
  </w:style>
  <w:style w:type="character" w:styleId="28">
    <w:name w:val="page number"/>
    <w:basedOn w:val="26"/>
    <w:qFormat/>
    <w:uiPriority w:val="0"/>
  </w:style>
  <w:style w:type="character" w:styleId="29">
    <w:name w:val="annotation reference"/>
    <w:qFormat/>
    <w:uiPriority w:val="0"/>
    <w:rPr>
      <w:sz w:val="21"/>
      <w:szCs w:val="21"/>
    </w:rPr>
  </w:style>
  <w:style w:type="paragraph" w:customStyle="1" w:styleId="30">
    <w:name w:val="默认段落字体 Para Char Char Char Char Char Char Char Char Char1 Char Char Char Char Char Char Char"/>
    <w:basedOn w:val="8"/>
    <w:qFormat/>
    <w:uiPriority w:val="0"/>
    <w:pPr>
      <w:snapToGrid w:val="0"/>
    </w:pPr>
    <w:rPr>
      <w:rFonts w:ascii="Times New Roman"/>
      <w:kern w:val="2"/>
      <w:sz w:val="21"/>
      <w:szCs w:val="24"/>
      <w:shd w:val="clear" w:color="auto" w:fill="000080"/>
    </w:rPr>
  </w:style>
  <w:style w:type="paragraph" w:customStyle="1" w:styleId="31">
    <w:name w:val="表格"/>
    <w:basedOn w:val="32"/>
    <w:qFormat/>
    <w:uiPriority w:val="0"/>
    <w:pPr>
      <w:jc w:val="center"/>
    </w:pPr>
    <w:rPr>
      <w:rFonts w:ascii="宋体" w:hAnsi="Calibri"/>
    </w:rPr>
  </w:style>
  <w:style w:type="paragraph" w:customStyle="1" w:styleId="32">
    <w:name w:val="表格标题"/>
    <w:basedOn w:val="1"/>
    <w:autoRedefine/>
    <w:qFormat/>
    <w:uiPriority w:val="0"/>
    <w:pPr>
      <w:keepNext/>
      <w:widowControl/>
      <w:overflowPunct w:val="0"/>
      <w:adjustRightInd w:val="0"/>
      <w:snapToGrid w:val="0"/>
      <w:spacing w:line="480" w:lineRule="exact"/>
      <w:jc w:val="center"/>
      <w:textAlignment w:val="baseline"/>
    </w:pPr>
    <w:rPr>
      <w:rFonts w:ascii="Arial" w:hAnsi="Arial" w:eastAsia="黑体"/>
    </w:rPr>
  </w:style>
  <w:style w:type="paragraph" w:customStyle="1" w:styleId="33">
    <w:name w:val="Table Text"/>
    <w:basedOn w:val="1"/>
    <w:semiHidden/>
    <w:qFormat/>
    <w:uiPriority w:val="0"/>
    <w:rPr>
      <w:rFonts w:ascii="宋体" w:hAnsi="宋体" w:eastAsia="宋体" w:cs="宋体"/>
      <w:sz w:val="24"/>
      <w:szCs w:val="24"/>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paragraph" w:customStyle="1" w:styleId="35">
    <w:name w:val="Default"/>
    <w:basedOn w:val="36"/>
    <w:qFormat/>
    <w:uiPriority w:val="0"/>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36">
    <w:name w:val="纯文本1"/>
    <w:basedOn w:val="1"/>
    <w:qFormat/>
    <w:uiPriority w:val="0"/>
    <w:pPr>
      <w:adjustRightInd w:val="0"/>
    </w:pPr>
    <w:rPr>
      <w:rFonts w:hAnsi="Courier New"/>
    </w:rPr>
  </w:style>
  <w:style w:type="paragraph" w:customStyle="1" w:styleId="37">
    <w:name w:val="WPSOffice手动目录 1"/>
    <w:qFormat/>
    <w:uiPriority w:val="0"/>
    <w:pPr>
      <w:ind w:leftChars="0"/>
    </w:pPr>
    <w:rPr>
      <w:rFonts w:ascii="Times New Roman" w:hAnsi="Times New Roman" w:eastAsia="宋体" w:cs="Times New Roman"/>
      <w:sz w:val="20"/>
      <w:szCs w:val="20"/>
    </w:rPr>
  </w:style>
  <w:style w:type="paragraph" w:customStyle="1" w:styleId="38">
    <w:name w:val="WPSOffice手动目录 2"/>
    <w:qFormat/>
    <w:uiPriority w:val="0"/>
    <w:pPr>
      <w:ind w:leftChars="200"/>
    </w:pPr>
    <w:rPr>
      <w:rFonts w:ascii="Times New Roman" w:hAnsi="Times New Roman" w:eastAsia="宋体" w:cs="Times New Roman"/>
      <w:sz w:val="20"/>
      <w:szCs w:val="20"/>
    </w:rPr>
  </w:style>
  <w:style w:type="paragraph" w:customStyle="1" w:styleId="39">
    <w:name w:val="WPSOffice手动目录 3"/>
    <w:qFormat/>
    <w:uiPriority w:val="0"/>
    <w:pPr>
      <w:ind w:leftChars="400"/>
    </w:pPr>
    <w:rPr>
      <w:rFonts w:ascii="Times New Roman" w:hAnsi="Times New Roman" w:eastAsia="宋体" w:cs="Times New Roman"/>
      <w:sz w:val="20"/>
      <w:szCs w:val="20"/>
    </w:rPr>
  </w:style>
  <w:style w:type="paragraph" w:styleId="40">
    <w:name w:val="List Paragraph"/>
    <w:basedOn w:val="1"/>
    <w:unhideWhenUsed/>
    <w:qFormat/>
    <w:uiPriority w:val="99"/>
    <w:pPr>
      <w:ind w:firstLine="420" w:firstLineChars="200"/>
    </w:pPr>
  </w:style>
  <w:style w:type="paragraph" w:customStyle="1" w:styleId="41">
    <w:name w:val="中文报告书"/>
    <w:basedOn w:val="1"/>
    <w:autoRedefine/>
    <w:qFormat/>
    <w:uiPriority w:val="0"/>
    <w:pPr>
      <w:adjustRightInd w:val="0"/>
      <w:spacing w:after="80" w:line="420" w:lineRule="atLeast"/>
      <w:jc w:val="left"/>
      <w:textAlignment w:val="baseline"/>
    </w:pPr>
    <w:rPr>
      <w:rFonts w:ascii="Times New Roman"/>
      <w:kern w:val="2"/>
    </w:rPr>
  </w:style>
  <w:style w:type="character" w:customStyle="1" w:styleId="42">
    <w:name w:val="标题 3 Char"/>
    <w:link w:val="4"/>
    <w:qFormat/>
    <w:uiPriority w:val="0"/>
    <w:rPr>
      <w:b/>
      <w:bCs/>
      <w:kern w:val="2"/>
      <w:sz w:val="30"/>
      <w:szCs w:val="32"/>
    </w:rPr>
  </w:style>
  <w:style w:type="character" w:customStyle="1" w:styleId="43">
    <w:name w:val="标题 4 Char"/>
    <w:link w:val="5"/>
    <w:qFormat/>
    <w:uiPriority w:val="0"/>
    <w:rPr>
      <w:rFonts w:ascii="黑体" w:hAnsi="黑体" w:eastAsia="黑体"/>
      <w:b/>
      <w:bCs/>
      <w:kern w:val="2"/>
      <w:sz w:val="28"/>
      <w:szCs w:val="28"/>
    </w:rPr>
  </w:style>
  <w:style w:type="character" w:customStyle="1" w:styleId="44">
    <w:name w:val="正文6"/>
    <w:autoRedefine/>
    <w:qFormat/>
    <w:uiPriority w:val="0"/>
    <w:rPr>
      <w:rFonts w:ascii="Times New Roman" w:hAnsi="Times New Roman" w:eastAsia="宋体"/>
      <w:spacing w:val="0"/>
      <w:w w:val="100"/>
      <w:position w:val="0"/>
      <w:sz w:val="28"/>
      <w:szCs w:val="28"/>
    </w:rPr>
  </w:style>
  <w:style w:type="paragraph" w:customStyle="1" w:styleId="45">
    <w:name w:val="正文2"/>
    <w:basedOn w:val="1"/>
    <w:autoRedefine/>
    <w:qFormat/>
    <w:uiPriority w:val="0"/>
    <w:pPr>
      <w:spacing w:line="500" w:lineRule="exact"/>
      <w:ind w:firstLine="560" w:firstLineChars="200"/>
    </w:pPr>
    <w:rPr>
      <w:rFonts w:cs="宋体"/>
      <w:kern w:val="2"/>
      <w:sz w:val="28"/>
      <w:szCs w:val="28"/>
    </w:rPr>
  </w:style>
  <w:style w:type="paragraph" w:customStyle="1" w:styleId="46">
    <w:name w:val="Table Paragraph"/>
    <w:basedOn w:val="1"/>
    <w:qFormat/>
    <w:uiPriority w:val="1"/>
    <w:pPr>
      <w:jc w:val="left"/>
    </w:pPr>
    <w:rPr>
      <w:rFonts w:ascii="Calibri" w:hAnsi="Calibri" w:eastAsia="宋体" w:cs="Times New Roman"/>
      <w:kern w:val="0"/>
      <w:sz w:val="22"/>
      <w:szCs w:val="22"/>
      <w:lang w:eastAsia="en-US"/>
    </w:rPr>
  </w:style>
  <w:style w:type="paragraph" w:customStyle="1" w:styleId="47">
    <w:name w:val="表格1"/>
    <w:autoRedefine/>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paragraph" w:customStyle="1" w:styleId="48">
    <w:name w:val="填表5"/>
    <w:basedOn w:val="1"/>
    <w:next w:val="1"/>
    <w:qFormat/>
    <w:uiPriority w:val="0"/>
    <w:pPr>
      <w:spacing w:line="300" w:lineRule="exact"/>
      <w:jc w:val="left"/>
    </w:pPr>
    <w:rPr>
      <w:rFonts w:ascii="宋体"/>
      <w:sz w:val="24"/>
      <w:szCs w:val="21"/>
    </w:rPr>
  </w:style>
  <w:style w:type="paragraph" w:customStyle="1" w:styleId="49">
    <w:name w:val="填表5行距12磅"/>
    <w:basedOn w:val="48"/>
    <w:qFormat/>
    <w:uiPriority w:val="0"/>
    <w:pPr>
      <w:spacing w:line="240" w:lineRule="exact"/>
    </w:pPr>
    <w:rPr>
      <w:rFonts w:cs="宋体"/>
      <w:sz w:val="21"/>
      <w:szCs w:val="20"/>
    </w:rPr>
  </w:style>
  <w:style w:type="paragraph" w:customStyle="1" w:styleId="50">
    <w:name w:val="表格内容"/>
    <w:basedOn w:val="1"/>
    <w:autoRedefine/>
    <w:qFormat/>
    <w:uiPriority w:val="0"/>
    <w:pPr>
      <w:overflowPunct w:val="0"/>
      <w:adjustRightInd w:val="0"/>
      <w:spacing w:line="200" w:lineRule="atLeast"/>
      <w:textAlignment w:val="baseline"/>
    </w:pPr>
    <w:rPr>
      <w:rFonts w:ascii="Arial" w:hAnsi="Arial" w:eastAsia="仿宋_GB2312"/>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6.emf"/><Relationship Id="rId24" Type="http://schemas.openxmlformats.org/officeDocument/2006/relationships/oleObject" Target="embeddings/oleObject3.bin"/><Relationship Id="rId23" Type="http://schemas.openxmlformats.org/officeDocument/2006/relationships/image" Target="media/image15.emf"/><Relationship Id="rId22" Type="http://schemas.openxmlformats.org/officeDocument/2006/relationships/oleObject" Target="embeddings/oleObject2.bin"/><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emf"/><Relationship Id="rId17" Type="http://schemas.openxmlformats.org/officeDocument/2006/relationships/oleObject" Target="embeddings/oleObject1.bin"/><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108</Pages>
  <Words>15479</Words>
  <Characters>17485</Characters>
  <Lines>0</Lines>
  <Paragraphs>0</Paragraphs>
  <TotalTime>15</TotalTime>
  <ScaleCrop>false</ScaleCrop>
  <LinksUpToDate>false</LinksUpToDate>
  <CharactersWithSpaces>18267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2024-11-05T06:34:00Z</dcterms:created>
  <dc:creator>jjjyyy</dc:creator>
  <cp:lastModifiedBy>秋夜</cp:lastModifiedBy>
  <dcterms:modified xsi:type="dcterms:W3CDTF">2025-08-27T09:24:38Z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967600DCBF3049CD8D0EBEFB25042E73_13</vt:lpwstr>
  </property>
  <property fmtid="{D5CDD505-2E9C-101B-9397-08002B2CF9AE}" pid="4" name="KSOTemplateDocerSaveRecord">
    <vt:lpwstr>eyJoZGlkIjoiZjFmZWIzNDg2MmIzZjExOTIzMmViNTBmYTMwYTk0ZWYiLCJ1c2VySWQiOiI4MDAwNTQ5MTIifQ==</vt:lpwstr>
  </property>
</Properties>
</file>